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98.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2.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293.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294.xml" ContentType="application/vnd.openxmlformats-officedocument.wordprocessingml.footer+xml"/>
  <Override PartName="/word/footer31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96.xml" ContentType="application/vnd.openxmlformats-officedocument.wordprocessingml.footer+xml"/>
  <Override PartName="/word/footer312.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32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291.xml" ContentType="application/vnd.openxmlformats-officedocument.wordprocessingml.footer+xml"/>
  <Override PartName="/word/footer290.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دراسات علمیة </w:t>
      </w:r>
      <w:r>
        <w:rPr>
          <w:rtl w:val="true"/>
        </w:rPr>
        <w:t xml:space="preserve">- </w:t>
      </w:r>
      <w:r>
        <w:rPr/>
        <w:t>16</w:t>
      </w:r>
      <w:r>
        <w:rPr>
          <w:rtl w:val="true"/>
        </w:rPr>
        <w:t xml:space="preserve"> </w:t>
      </w:r>
      <w:r>
        <w:rPr>
          <w:rtl w:val="true"/>
        </w:rPr>
        <w:t>مجلة نصف سنویة تعنى بالأبحاث التخصصیة فی الحوزة العلمیة</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266040_2870459653">
            <w:r>
              <w:rPr>
                <w:webHidden/>
                <w:rStyle w:val="IndexLink"/>
                <w:rtl w:val="true"/>
              </w:rPr>
              <w:t>هویة الکتاب</w:t>
            </w:r>
            <w:r>
              <w:rPr>
                <w:rStyle w:val="IndexLink"/>
                <w:rtl w:val="true"/>
              </w:rPr>
              <w:tab/>
            </w:r>
            <w:r>
              <w:rPr>
                <w:rStyle w:val="IndexLink"/>
              </w:rPr>
              <w:t>9</w:t>
            </w:r>
          </w:hyperlink>
        </w:p>
        <w:p>
          <w:pPr>
            <w:pStyle w:val="Contents2"/>
            <w:tabs>
              <w:tab w:val="clear" w:pos="8743"/>
              <w:tab w:val="right" w:pos="9026" w:leader="dot"/>
            </w:tabs>
            <w:rPr/>
          </w:pPr>
          <w:hyperlink w:anchor="__RefHeading___Toc3266042_2870459653">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3266044_2870459653">
            <w:r>
              <w:rPr>
                <w:webHidden/>
                <w:rStyle w:val="IndexLink"/>
                <w:rtl w:val="true"/>
              </w:rPr>
              <w:t>الأسس المعتمدة للنشر</w:t>
            </w:r>
            <w:r>
              <w:rPr>
                <w:rStyle w:val="IndexLink"/>
                <w:rtl w:val="true"/>
              </w:rPr>
              <w:tab/>
            </w:r>
            <w:r>
              <w:rPr>
                <w:rStyle w:val="IndexLink"/>
              </w:rPr>
              <w:t>12</w:t>
            </w:r>
          </w:hyperlink>
        </w:p>
        <w:p>
          <w:pPr>
            <w:pStyle w:val="Contents2"/>
            <w:tabs>
              <w:tab w:val="clear" w:pos="8743"/>
              <w:tab w:val="right" w:pos="9026" w:leader="dot"/>
            </w:tabs>
            <w:rPr/>
          </w:pPr>
          <w:hyperlink w:anchor="__RefHeading___Toc3266046_2870459653">
            <w:r>
              <w:rPr>
                <w:webHidden/>
                <w:rStyle w:val="IndexLink"/>
                <w:rtl w:val="true"/>
              </w:rPr>
              <w:t>المحتوی</w:t>
            </w:r>
            <w:r>
              <w:rPr>
                <w:rStyle w:val="IndexLink"/>
                <w:rtl w:val="true"/>
              </w:rPr>
              <w:tab/>
            </w:r>
            <w:r>
              <w:rPr>
                <w:rStyle w:val="IndexLink"/>
              </w:rPr>
              <w:t>13</w:t>
            </w:r>
          </w:hyperlink>
        </w:p>
        <w:p>
          <w:pPr>
            <w:pStyle w:val="Contents2"/>
            <w:tabs>
              <w:tab w:val="clear" w:pos="8743"/>
              <w:tab w:val="right" w:pos="9026" w:leader="dot"/>
            </w:tabs>
            <w:rPr/>
          </w:pPr>
          <w:hyperlink w:anchor="__RefHeading___Toc3266048_2870459653">
            <w:r>
              <w:rPr>
                <w:webHidden/>
                <w:rStyle w:val="IndexLink"/>
                <w:rtl w:val="true"/>
              </w:rPr>
              <w:t>کلمة العدد</w:t>
            </w:r>
            <w:r>
              <w:rPr>
                <w:rStyle w:val="IndexLink"/>
                <w:rtl w:val="true"/>
              </w:rPr>
              <w:tab/>
            </w:r>
            <w:r>
              <w:rPr>
                <w:rStyle w:val="IndexLink"/>
              </w:rPr>
              <w:t>15</w:t>
            </w:r>
          </w:hyperlink>
        </w:p>
        <w:p>
          <w:pPr>
            <w:pStyle w:val="Contents2"/>
            <w:tabs>
              <w:tab w:val="clear" w:pos="8743"/>
              <w:tab w:val="right" w:pos="9026" w:leader="dot"/>
            </w:tabs>
            <w:rPr/>
          </w:pPr>
          <w:hyperlink w:anchor="__RefHeading___Toc3266050_2870459653">
            <w:r>
              <w:rPr>
                <w:webHidden/>
                <w:rStyle w:val="IndexLink"/>
                <w:rtl w:val="true"/>
              </w:rPr>
              <w:t xml:space="preserve">اشتراط الذكورة في القاضي </w:t>
            </w:r>
            <w:r>
              <w:rPr>
                <w:rStyle w:val="IndexLink"/>
                <w:rtl w:val="true"/>
              </w:rPr>
              <w:t xml:space="preserve">- </w:t>
            </w:r>
            <w:r>
              <w:rPr>
                <w:rStyle w:val="IndexLink"/>
                <w:rtl w:val="true"/>
              </w:rPr>
              <w:t xml:space="preserve">الشيخ نزار آل سنبل القطيفي </w:t>
            </w:r>
            <w:r>
              <w:rPr>
                <w:rStyle w:val="IndexLink"/>
                <w:rtl w:val="true"/>
              </w:rPr>
              <w:t>(</w:t>
            </w:r>
            <w:r>
              <w:rPr>
                <w:rStyle w:val="IndexLink"/>
                <w:rtl w:val="true"/>
              </w:rPr>
              <w:t>دام عزه</w:t>
            </w:r>
            <w:r>
              <w:rPr>
                <w:rStyle w:val="IndexLink"/>
                <w:rtl w:val="true"/>
              </w:rPr>
              <w:t>)</w:t>
              <w:tab/>
            </w:r>
            <w:r>
              <w:rPr>
                <w:rStyle w:val="IndexLink"/>
              </w:rPr>
              <w:t>19</w:t>
            </w:r>
          </w:hyperlink>
        </w:p>
        <w:p>
          <w:pPr>
            <w:pStyle w:val="Contents3"/>
            <w:tabs>
              <w:tab w:val="clear" w:pos="8459"/>
              <w:tab w:val="right" w:pos="9026" w:leader="dot"/>
            </w:tabs>
            <w:rPr/>
          </w:pPr>
          <w:hyperlink w:anchor="__RefHeading___Toc3266052_2870459653">
            <w:r>
              <w:rPr>
                <w:webHidden/>
                <w:rStyle w:val="IndexLink"/>
                <w:rtl w:val="true"/>
              </w:rPr>
              <w:t>اشارة</w:t>
            </w:r>
            <w:r>
              <w:rPr>
                <w:rStyle w:val="IndexLink"/>
                <w:rtl w:val="true"/>
              </w:rPr>
              <w:tab/>
            </w:r>
            <w:r>
              <w:rPr>
                <w:rStyle w:val="IndexLink"/>
              </w:rPr>
              <w:t>19</w:t>
            </w:r>
          </w:hyperlink>
        </w:p>
        <w:p>
          <w:pPr>
            <w:pStyle w:val="Contents3"/>
            <w:tabs>
              <w:tab w:val="clear" w:pos="8459"/>
              <w:tab w:val="right" w:pos="9026" w:leader="dot"/>
            </w:tabs>
            <w:rPr/>
          </w:pPr>
          <w:hyperlink w:anchor="__RefHeading___Toc3266054_2870459653">
            <w:r>
              <w:rPr>
                <w:webHidden/>
                <w:rStyle w:val="IndexLink"/>
                <w:rtl w:val="true"/>
              </w:rPr>
              <w:t>اشتراط الذكورة في القاضي</w:t>
            </w:r>
            <w:r>
              <w:rPr>
                <w:rStyle w:val="IndexLink"/>
                <w:rtl w:val="true"/>
              </w:rPr>
              <w:tab/>
            </w:r>
            <w:r>
              <w:rPr>
                <w:rStyle w:val="IndexLink"/>
              </w:rPr>
              <w:t>21</w:t>
            </w:r>
          </w:hyperlink>
        </w:p>
        <w:p>
          <w:pPr>
            <w:pStyle w:val="Contents4"/>
            <w:tabs>
              <w:tab w:val="clear" w:pos="8176"/>
              <w:tab w:val="right" w:pos="9026" w:leader="dot"/>
            </w:tabs>
            <w:rPr/>
          </w:pPr>
          <w:hyperlink w:anchor="__RefHeading___Toc3266056_2870459653">
            <w:r>
              <w:rPr>
                <w:webHidden/>
                <w:rStyle w:val="IndexLink"/>
                <w:rtl w:val="true"/>
              </w:rPr>
              <w:t>اشارة</w:t>
            </w:r>
            <w:r>
              <w:rPr>
                <w:rStyle w:val="IndexLink"/>
                <w:rtl w:val="true"/>
              </w:rPr>
              <w:tab/>
            </w:r>
            <w:r>
              <w:rPr>
                <w:rStyle w:val="IndexLink"/>
              </w:rPr>
              <w:t>21</w:t>
            </w:r>
          </w:hyperlink>
        </w:p>
        <w:p>
          <w:pPr>
            <w:pStyle w:val="Contents4"/>
            <w:tabs>
              <w:tab w:val="clear" w:pos="8176"/>
              <w:tab w:val="right" w:pos="9026" w:leader="dot"/>
            </w:tabs>
            <w:rPr/>
          </w:pPr>
          <w:hyperlink w:anchor="__RefHeading___Toc3266058_2870459653">
            <w:r>
              <w:rPr>
                <w:webHidden/>
                <w:rStyle w:val="IndexLink"/>
                <w:rtl w:val="true"/>
              </w:rPr>
              <w:t>الوجه الأوّل</w:t>
            </w:r>
            <w:r>
              <w:rPr>
                <w:rStyle w:val="IndexLink"/>
                <w:rtl w:val="true"/>
              </w:rPr>
              <w:t xml:space="preserve">: </w:t>
            </w:r>
            <w:r>
              <w:rPr>
                <w:rStyle w:val="IndexLink"/>
                <w:rtl w:val="true"/>
              </w:rPr>
              <w:t>عدم الاشتراط</w:t>
            </w:r>
            <w:r>
              <w:rPr>
                <w:rStyle w:val="IndexLink"/>
                <w:rtl w:val="true"/>
              </w:rPr>
              <w:tab/>
            </w:r>
            <w:r>
              <w:rPr>
                <w:rStyle w:val="IndexLink"/>
              </w:rPr>
              <w:t>21</w:t>
            </w:r>
          </w:hyperlink>
        </w:p>
        <w:p>
          <w:pPr>
            <w:pStyle w:val="Contents5"/>
            <w:tabs>
              <w:tab w:val="clear" w:pos="7892"/>
              <w:tab w:val="right" w:pos="9026" w:leader="dot"/>
            </w:tabs>
            <w:rPr/>
          </w:pPr>
          <w:hyperlink w:anchor="__RefHeading___Toc3266060_2870459653">
            <w:r>
              <w:rPr>
                <w:webHidden/>
                <w:rStyle w:val="IndexLink"/>
                <w:rtl w:val="true"/>
              </w:rPr>
              <w:t>اشارة</w:t>
            </w:r>
            <w:r>
              <w:rPr>
                <w:rStyle w:val="IndexLink"/>
                <w:rtl w:val="true"/>
              </w:rPr>
              <w:tab/>
            </w:r>
            <w:r>
              <w:rPr>
                <w:rStyle w:val="IndexLink"/>
              </w:rPr>
              <w:t>21</w:t>
            </w:r>
          </w:hyperlink>
        </w:p>
        <w:p>
          <w:pPr>
            <w:pStyle w:val="Contents5"/>
            <w:tabs>
              <w:tab w:val="clear" w:pos="7892"/>
              <w:tab w:val="right" w:pos="9026" w:leader="dot"/>
            </w:tabs>
            <w:rPr/>
          </w:pPr>
          <w:hyperlink w:anchor="__RefHeading___Toc3266062_2870459653">
            <w:r>
              <w:rPr>
                <w:webHidden/>
                <w:rStyle w:val="IndexLink"/>
                <w:rtl w:val="true"/>
              </w:rPr>
              <w:t>الأمر الأوّل</w:t>
            </w:r>
            <w:r>
              <w:rPr>
                <w:rStyle w:val="IndexLink"/>
                <w:rtl w:val="true"/>
              </w:rPr>
              <w:tab/>
            </w:r>
            <w:r>
              <w:rPr>
                <w:rStyle w:val="IndexLink"/>
              </w:rPr>
              <w:t>21</w:t>
            </w:r>
          </w:hyperlink>
        </w:p>
        <w:p>
          <w:pPr>
            <w:pStyle w:val="Contents5"/>
            <w:tabs>
              <w:tab w:val="clear" w:pos="7892"/>
              <w:tab w:val="right" w:pos="9026" w:leader="dot"/>
            </w:tabs>
            <w:rPr/>
          </w:pPr>
          <w:hyperlink w:anchor="__RefHeading___Toc3266064_2870459653">
            <w:r>
              <w:rPr>
                <w:webHidden/>
                <w:rStyle w:val="IndexLink"/>
                <w:rtl w:val="true"/>
              </w:rPr>
              <w:t>الأمر الآخر</w:t>
            </w:r>
            <w:r>
              <w:rPr>
                <w:rStyle w:val="IndexLink"/>
                <w:rtl w:val="true"/>
              </w:rPr>
              <w:tab/>
            </w:r>
            <w:r>
              <w:rPr>
                <w:rStyle w:val="IndexLink"/>
              </w:rPr>
              <w:t>22</w:t>
            </w:r>
          </w:hyperlink>
        </w:p>
        <w:p>
          <w:pPr>
            <w:pStyle w:val="Contents4"/>
            <w:tabs>
              <w:tab w:val="clear" w:pos="8176"/>
              <w:tab w:val="right" w:pos="9026" w:leader="dot"/>
            </w:tabs>
            <w:rPr/>
          </w:pPr>
          <w:hyperlink w:anchor="__RefHeading___Toc3266066_2870459653">
            <w:r>
              <w:rPr>
                <w:webHidden/>
                <w:rStyle w:val="IndexLink"/>
                <w:rtl w:val="true"/>
              </w:rPr>
              <w:t>الوجه الآخر</w:t>
            </w:r>
            <w:r>
              <w:rPr>
                <w:rStyle w:val="IndexLink"/>
                <w:rtl w:val="true"/>
              </w:rPr>
              <w:t xml:space="preserve">: </w:t>
            </w:r>
            <w:r>
              <w:rPr>
                <w:rStyle w:val="IndexLink"/>
                <w:rtl w:val="true"/>
              </w:rPr>
              <w:t>القول بالاشتراط</w:t>
            </w:r>
            <w:r>
              <w:rPr>
                <w:rStyle w:val="IndexLink"/>
                <w:rtl w:val="true"/>
              </w:rPr>
              <w:tab/>
            </w:r>
            <w:r>
              <w:rPr>
                <w:rStyle w:val="IndexLink"/>
              </w:rPr>
              <w:t>22</w:t>
            </w:r>
          </w:hyperlink>
        </w:p>
        <w:p>
          <w:pPr>
            <w:pStyle w:val="Contents5"/>
            <w:tabs>
              <w:tab w:val="clear" w:pos="7892"/>
              <w:tab w:val="right" w:pos="9026" w:leader="dot"/>
            </w:tabs>
            <w:rPr/>
          </w:pPr>
          <w:hyperlink w:anchor="__RefHeading___Toc3266068_2870459653">
            <w:r>
              <w:rPr>
                <w:webHidden/>
                <w:rStyle w:val="IndexLink"/>
                <w:rtl w:val="true"/>
              </w:rPr>
              <w:t>اشارة</w:t>
            </w:r>
            <w:r>
              <w:rPr>
                <w:rStyle w:val="IndexLink"/>
                <w:rtl w:val="true"/>
              </w:rPr>
              <w:tab/>
            </w:r>
            <w:r>
              <w:rPr>
                <w:rStyle w:val="IndexLink"/>
              </w:rPr>
              <w:t>22</w:t>
            </w:r>
          </w:hyperlink>
        </w:p>
        <w:p>
          <w:pPr>
            <w:pStyle w:val="Contents5"/>
            <w:tabs>
              <w:tab w:val="clear" w:pos="7892"/>
              <w:tab w:val="right" w:pos="9026" w:leader="dot"/>
            </w:tabs>
            <w:rPr/>
          </w:pPr>
          <w:hyperlink w:anchor="__RefHeading___Toc3266070_2870459653">
            <w:r>
              <w:rPr>
                <w:webHidden/>
                <w:rStyle w:val="IndexLink"/>
                <w:rtl w:val="true"/>
              </w:rPr>
              <w:t>الدليل الأوَّل</w:t>
            </w:r>
            <w:r>
              <w:rPr>
                <w:rStyle w:val="IndexLink"/>
                <w:rtl w:val="true"/>
              </w:rPr>
              <w:t xml:space="preserve">: </w:t>
            </w:r>
            <w:r>
              <w:rPr>
                <w:rStyle w:val="IndexLink"/>
                <w:rtl w:val="true"/>
              </w:rPr>
              <w:t>الإجماع</w:t>
            </w:r>
            <w:r>
              <w:rPr>
                <w:rStyle w:val="IndexLink"/>
                <w:rtl w:val="true"/>
              </w:rPr>
              <w:tab/>
            </w:r>
            <w:r>
              <w:rPr>
                <w:rStyle w:val="IndexLink"/>
              </w:rPr>
              <w:t>22</w:t>
            </w:r>
          </w:hyperlink>
        </w:p>
        <w:p>
          <w:pPr>
            <w:pStyle w:val="Contents5"/>
            <w:tabs>
              <w:tab w:val="clear" w:pos="7892"/>
              <w:tab w:val="right" w:pos="9026" w:leader="dot"/>
            </w:tabs>
            <w:rPr/>
          </w:pPr>
          <w:hyperlink w:anchor="__RefHeading___Toc3266072_2870459653">
            <w:r>
              <w:rPr>
                <w:webHidden/>
                <w:rStyle w:val="IndexLink"/>
                <w:rtl w:val="true"/>
              </w:rPr>
              <w:t>الدليل الثاني</w:t>
            </w:r>
            <w:r>
              <w:rPr>
                <w:rStyle w:val="IndexLink"/>
                <w:rtl w:val="true"/>
              </w:rPr>
              <w:t xml:space="preserve">: </w:t>
            </w:r>
            <w:r>
              <w:rPr>
                <w:rStyle w:val="IndexLink"/>
                <w:rtl w:val="true"/>
              </w:rPr>
              <w:t>الروايات</w:t>
            </w:r>
            <w:r>
              <w:rPr>
                <w:rStyle w:val="IndexLink"/>
                <w:rtl w:val="true"/>
              </w:rPr>
              <w:tab/>
            </w:r>
            <w:r>
              <w:rPr>
                <w:rStyle w:val="IndexLink"/>
              </w:rPr>
              <w:t>23</w:t>
            </w:r>
          </w:hyperlink>
        </w:p>
        <w:p>
          <w:pPr>
            <w:pStyle w:val="Contents6"/>
            <w:tabs>
              <w:tab w:val="clear" w:pos="7609"/>
              <w:tab w:val="right" w:pos="9026" w:leader="dot"/>
            </w:tabs>
            <w:rPr/>
          </w:pPr>
          <w:hyperlink w:anchor="__RefHeading___Toc3266074_2870459653">
            <w:r>
              <w:rPr>
                <w:webHidden/>
                <w:rStyle w:val="IndexLink"/>
                <w:rtl w:val="true"/>
              </w:rPr>
              <w:t>اشارة</w:t>
            </w:r>
            <w:r>
              <w:rPr>
                <w:rStyle w:val="IndexLink"/>
                <w:rtl w:val="true"/>
              </w:rPr>
              <w:tab/>
            </w:r>
            <w:r>
              <w:rPr>
                <w:rStyle w:val="IndexLink"/>
              </w:rPr>
              <w:t>23</w:t>
            </w:r>
          </w:hyperlink>
        </w:p>
        <w:p>
          <w:pPr>
            <w:pStyle w:val="Contents6"/>
            <w:tabs>
              <w:tab w:val="clear" w:pos="7609"/>
              <w:tab w:val="right" w:pos="9026" w:leader="dot"/>
            </w:tabs>
            <w:rPr/>
          </w:pPr>
          <w:hyperlink w:anchor="__RefHeading___Toc3266076_2870459653">
            <w:r>
              <w:rPr>
                <w:webHidden/>
                <w:rStyle w:val="IndexLink"/>
                <w:rtl w:val="true"/>
              </w:rPr>
              <w:t>الطائفة الأولى</w:t>
            </w:r>
            <w:r>
              <w:rPr>
                <w:rStyle w:val="IndexLink"/>
                <w:rtl w:val="true"/>
              </w:rPr>
              <w:tab/>
            </w:r>
            <w:r>
              <w:rPr>
                <w:rStyle w:val="IndexLink"/>
              </w:rPr>
              <w:t>23</w:t>
            </w:r>
          </w:hyperlink>
        </w:p>
        <w:p>
          <w:pPr>
            <w:pStyle w:val="Contents6"/>
            <w:tabs>
              <w:tab w:val="clear" w:pos="7609"/>
              <w:tab w:val="right" w:pos="9026" w:leader="dot"/>
            </w:tabs>
            <w:rPr/>
          </w:pPr>
          <w:hyperlink w:anchor="__RefHeading___Toc3266078_2870459653">
            <w:r>
              <w:rPr>
                <w:webHidden/>
                <w:rStyle w:val="IndexLink"/>
                <w:rtl w:val="true"/>
              </w:rPr>
              <w:t>الطائفة الثانية</w:t>
            </w:r>
            <w:r>
              <w:rPr>
                <w:rStyle w:val="IndexLink"/>
                <w:rtl w:val="true"/>
              </w:rPr>
              <w:tab/>
            </w:r>
            <w:r>
              <w:rPr>
                <w:rStyle w:val="IndexLink"/>
              </w:rPr>
              <w:t>24</w:t>
            </w:r>
          </w:hyperlink>
        </w:p>
        <w:p>
          <w:pPr>
            <w:pStyle w:val="Contents6"/>
            <w:tabs>
              <w:tab w:val="clear" w:pos="7609"/>
              <w:tab w:val="right" w:pos="9026" w:leader="dot"/>
            </w:tabs>
            <w:rPr/>
          </w:pPr>
          <w:hyperlink w:anchor="__RefHeading___Toc3266080_2870459653">
            <w:r>
              <w:rPr>
                <w:webHidden/>
                <w:rStyle w:val="IndexLink"/>
                <w:rtl w:val="true"/>
              </w:rPr>
              <w:t>الطائفة الثالثة</w:t>
            </w:r>
            <w:r>
              <w:rPr>
                <w:rStyle w:val="IndexLink"/>
                <w:rtl w:val="true"/>
              </w:rPr>
              <w:tab/>
            </w:r>
            <w:r>
              <w:rPr>
                <w:rStyle w:val="IndexLink"/>
              </w:rPr>
              <w:t>26</w:t>
            </w:r>
          </w:hyperlink>
        </w:p>
        <w:p>
          <w:pPr>
            <w:pStyle w:val="Contents6"/>
            <w:tabs>
              <w:tab w:val="clear" w:pos="7609"/>
              <w:tab w:val="right" w:pos="9026" w:leader="dot"/>
            </w:tabs>
            <w:rPr/>
          </w:pPr>
          <w:hyperlink w:anchor="__RefHeading___Toc3266082_2870459653">
            <w:r>
              <w:rPr>
                <w:webHidden/>
                <w:rStyle w:val="IndexLink"/>
                <w:rtl w:val="true"/>
              </w:rPr>
              <w:t>الطائفة الرابعة</w:t>
            </w:r>
            <w:r>
              <w:rPr>
                <w:rStyle w:val="IndexLink"/>
                <w:rtl w:val="true"/>
              </w:rPr>
              <w:tab/>
            </w:r>
            <w:r>
              <w:rPr>
                <w:rStyle w:val="IndexLink"/>
              </w:rPr>
              <w:t>26</w:t>
            </w:r>
          </w:hyperlink>
        </w:p>
        <w:p>
          <w:pPr>
            <w:pStyle w:val="Contents6"/>
            <w:tabs>
              <w:tab w:val="clear" w:pos="7609"/>
              <w:tab w:val="right" w:pos="9026" w:leader="dot"/>
            </w:tabs>
            <w:rPr/>
          </w:pPr>
          <w:hyperlink w:anchor="__RefHeading___Toc3266084_2870459653">
            <w:r>
              <w:rPr>
                <w:webHidden/>
                <w:rStyle w:val="IndexLink"/>
                <w:rtl w:val="true"/>
              </w:rPr>
              <w:t>الطائفة الخامسة</w:t>
            </w:r>
            <w:r>
              <w:rPr>
                <w:rStyle w:val="IndexLink"/>
                <w:rtl w:val="true"/>
              </w:rPr>
              <w:tab/>
            </w:r>
            <w:r>
              <w:rPr>
                <w:rStyle w:val="IndexLink"/>
              </w:rPr>
              <w:t>27</w:t>
            </w:r>
          </w:hyperlink>
        </w:p>
        <w:p>
          <w:pPr>
            <w:pStyle w:val="Contents6"/>
            <w:tabs>
              <w:tab w:val="clear" w:pos="7609"/>
              <w:tab w:val="right" w:pos="9026" w:leader="dot"/>
            </w:tabs>
            <w:rPr/>
          </w:pPr>
          <w:hyperlink w:anchor="__RefHeading___Toc3266086_2870459653">
            <w:r>
              <w:rPr>
                <w:webHidden/>
                <w:rStyle w:val="IndexLink"/>
                <w:rtl w:val="true"/>
              </w:rPr>
              <w:t>الطائفة السادسة</w:t>
            </w:r>
            <w:r>
              <w:rPr>
                <w:rStyle w:val="IndexLink"/>
                <w:rtl w:val="true"/>
              </w:rPr>
              <w:tab/>
            </w:r>
            <w:r>
              <w:rPr>
                <w:rStyle w:val="IndexLink"/>
              </w:rPr>
              <w:t>28</w:t>
            </w:r>
          </w:hyperlink>
        </w:p>
        <w:p>
          <w:pPr>
            <w:pStyle w:val="Contents6"/>
            <w:tabs>
              <w:tab w:val="clear" w:pos="7609"/>
              <w:tab w:val="right" w:pos="9026" w:leader="dot"/>
            </w:tabs>
            <w:rPr/>
          </w:pPr>
          <w:hyperlink w:anchor="__RefHeading___Toc3266088_2870459653">
            <w:r>
              <w:rPr>
                <w:webHidden/>
                <w:rStyle w:val="IndexLink"/>
                <w:rtl w:val="true"/>
              </w:rPr>
              <w:t>اشارة</w:t>
            </w:r>
            <w:r>
              <w:rPr>
                <w:rStyle w:val="IndexLink"/>
                <w:rtl w:val="true"/>
              </w:rPr>
              <w:tab/>
            </w:r>
            <w:r>
              <w:rPr>
                <w:rStyle w:val="IndexLink"/>
              </w:rPr>
              <w:t>28</w:t>
            </w:r>
          </w:hyperlink>
        </w:p>
        <w:p>
          <w:pPr>
            <w:pStyle w:val="Contents6"/>
            <w:tabs>
              <w:tab w:val="clear" w:pos="7609"/>
              <w:tab w:val="right" w:pos="9026" w:leader="dot"/>
            </w:tabs>
            <w:rPr/>
          </w:pPr>
          <w:hyperlink w:anchor="__RefHeading___Toc3266090_2870459653">
            <w:r>
              <w:rPr>
                <w:webHidden/>
                <w:rStyle w:val="IndexLink"/>
                <w:rtl w:val="true"/>
              </w:rPr>
              <w:t>الجهة الأولى</w:t>
            </w:r>
            <w:r>
              <w:rPr>
                <w:rStyle w:val="IndexLink"/>
                <w:rtl w:val="true"/>
              </w:rPr>
              <w:t xml:space="preserve">: </w:t>
            </w:r>
            <w:r>
              <w:rPr>
                <w:rStyle w:val="IndexLink"/>
                <w:rtl w:val="true"/>
              </w:rPr>
              <w:t>جهة السند</w:t>
            </w:r>
            <w:r>
              <w:rPr>
                <w:rStyle w:val="IndexLink"/>
                <w:rtl w:val="true"/>
              </w:rPr>
              <w:tab/>
            </w:r>
            <w:r>
              <w:rPr>
                <w:rStyle w:val="IndexLink"/>
              </w:rPr>
              <w:t>30</w:t>
            </w:r>
          </w:hyperlink>
        </w:p>
        <w:p>
          <w:pPr>
            <w:pStyle w:val="Contents6"/>
            <w:tabs>
              <w:tab w:val="clear" w:pos="7609"/>
              <w:tab w:val="right" w:pos="9026" w:leader="dot"/>
            </w:tabs>
            <w:rPr/>
          </w:pPr>
          <w:hyperlink w:anchor="__RefHeading___Toc3266092_2870459653">
            <w:r>
              <w:rPr>
                <w:webHidden/>
                <w:rStyle w:val="IndexLink"/>
                <w:rtl w:val="true"/>
              </w:rPr>
              <w:t>الجهة الأخرى</w:t>
            </w:r>
            <w:r>
              <w:rPr>
                <w:rStyle w:val="IndexLink"/>
                <w:rtl w:val="true"/>
              </w:rPr>
              <w:t xml:space="preserve">: </w:t>
            </w:r>
            <w:r>
              <w:rPr>
                <w:rStyle w:val="IndexLink"/>
                <w:rtl w:val="true"/>
              </w:rPr>
              <w:t>في الدلالة</w:t>
            </w:r>
            <w:r>
              <w:rPr>
                <w:rStyle w:val="IndexLink"/>
                <w:rtl w:val="true"/>
              </w:rPr>
              <w:tab/>
            </w:r>
            <w:r>
              <w:rPr>
                <w:rStyle w:val="IndexLink"/>
              </w:rPr>
              <w:t>32</w:t>
            </w:r>
          </w:hyperlink>
        </w:p>
        <w:p>
          <w:pPr>
            <w:pStyle w:val="Contents5"/>
            <w:tabs>
              <w:tab w:val="clear" w:pos="7892"/>
              <w:tab w:val="right" w:pos="9026" w:leader="dot"/>
            </w:tabs>
            <w:rPr/>
          </w:pPr>
          <w:hyperlink w:anchor="__RefHeading___Toc3266094_2870459653">
            <w:r>
              <w:rPr>
                <w:webHidden/>
                <w:rStyle w:val="IndexLink"/>
                <w:rtl w:val="true"/>
              </w:rPr>
              <w:t>الدليل الثالث</w:t>
            </w:r>
            <w:r>
              <w:rPr>
                <w:rStyle w:val="IndexLink"/>
                <w:rtl w:val="true"/>
              </w:rPr>
              <w:tab/>
            </w:r>
            <w:r>
              <w:rPr>
                <w:rStyle w:val="IndexLink"/>
              </w:rPr>
              <w:t>33</w:t>
            </w:r>
          </w:hyperlink>
        </w:p>
        <w:p>
          <w:pPr>
            <w:pStyle w:val="Contents6"/>
            <w:tabs>
              <w:tab w:val="clear" w:pos="7609"/>
              <w:tab w:val="right" w:pos="9026" w:leader="dot"/>
            </w:tabs>
            <w:rPr/>
          </w:pPr>
          <w:hyperlink w:anchor="__RefHeading___Toc3266096_2870459653">
            <w:r>
              <w:rPr>
                <w:webHidden/>
                <w:rStyle w:val="IndexLink"/>
                <w:rtl w:val="true"/>
              </w:rPr>
              <w:t>اشارة</w:t>
            </w:r>
            <w:r>
              <w:rPr>
                <w:rStyle w:val="IndexLink"/>
                <w:rtl w:val="true"/>
              </w:rPr>
              <w:tab/>
            </w:r>
            <w:r>
              <w:rPr>
                <w:rStyle w:val="IndexLink"/>
              </w:rPr>
              <w:t>33</w:t>
            </w:r>
          </w:hyperlink>
        </w:p>
        <w:p>
          <w:pPr>
            <w:pStyle w:val="Contents6"/>
            <w:tabs>
              <w:tab w:val="clear" w:pos="7609"/>
              <w:tab w:val="right" w:pos="9026" w:leader="dot"/>
            </w:tabs>
            <w:rPr/>
          </w:pPr>
          <w:hyperlink w:anchor="__RefHeading___Toc3266098_2870459653">
            <w:r>
              <w:rPr>
                <w:webHidden/>
                <w:rStyle w:val="IndexLink"/>
                <w:rtl w:val="true"/>
              </w:rPr>
              <w:t>الأمر الأوّل</w:t>
            </w:r>
            <w:r>
              <w:rPr>
                <w:rStyle w:val="IndexLink"/>
                <w:rtl w:val="true"/>
              </w:rPr>
              <w:tab/>
            </w:r>
            <w:r>
              <w:rPr>
                <w:rStyle w:val="IndexLink"/>
              </w:rPr>
              <w:t>34</w:t>
            </w:r>
          </w:hyperlink>
        </w:p>
        <w:p>
          <w:pPr>
            <w:pStyle w:val="Contents6"/>
            <w:tabs>
              <w:tab w:val="clear" w:pos="7609"/>
              <w:tab w:val="right" w:pos="9026" w:leader="dot"/>
            </w:tabs>
            <w:rPr/>
          </w:pPr>
          <w:hyperlink w:anchor="__RefHeading___Toc3266100_2870459653">
            <w:r>
              <w:rPr>
                <w:webHidden/>
                <w:rStyle w:val="IndexLink"/>
                <w:rtl w:val="true"/>
              </w:rPr>
              <w:t>الأمر الآخر</w:t>
            </w:r>
            <w:r>
              <w:rPr>
                <w:rStyle w:val="IndexLink"/>
                <w:rtl w:val="true"/>
              </w:rPr>
              <w:tab/>
            </w:r>
            <w:r>
              <w:rPr>
                <w:rStyle w:val="IndexLink"/>
              </w:rPr>
              <w:t>34</w:t>
            </w:r>
          </w:hyperlink>
        </w:p>
        <w:p>
          <w:pPr>
            <w:pStyle w:val="Contents5"/>
            <w:tabs>
              <w:tab w:val="clear" w:pos="7892"/>
              <w:tab w:val="right" w:pos="9026" w:leader="dot"/>
            </w:tabs>
            <w:rPr/>
          </w:pPr>
          <w:hyperlink w:anchor="__RefHeading___Toc3266102_2870459653">
            <w:r>
              <w:rPr>
                <w:webHidden/>
                <w:rStyle w:val="IndexLink"/>
                <w:rtl w:val="true"/>
              </w:rPr>
              <w:t>الدليل الرابع</w:t>
            </w:r>
            <w:r>
              <w:rPr>
                <w:rStyle w:val="IndexLink"/>
                <w:rtl w:val="true"/>
              </w:rPr>
              <w:t xml:space="preserve">: </w:t>
            </w:r>
            <w:r>
              <w:rPr>
                <w:rStyle w:val="IndexLink"/>
                <w:rtl w:val="true"/>
              </w:rPr>
              <w:t>الأصل العملي</w:t>
            </w:r>
            <w:r>
              <w:rPr>
                <w:rStyle w:val="IndexLink"/>
                <w:rtl w:val="true"/>
              </w:rPr>
              <w:tab/>
            </w:r>
            <w:r>
              <w:rPr>
                <w:rStyle w:val="IndexLink"/>
              </w:rPr>
              <w:t>37</w:t>
            </w:r>
          </w:hyperlink>
        </w:p>
        <w:p>
          <w:pPr>
            <w:pStyle w:val="Contents6"/>
            <w:tabs>
              <w:tab w:val="clear" w:pos="7609"/>
              <w:tab w:val="right" w:pos="9026" w:leader="dot"/>
            </w:tabs>
            <w:rPr/>
          </w:pPr>
          <w:hyperlink w:anchor="__RefHeading___Toc3266104_2870459653">
            <w:r>
              <w:rPr>
                <w:webHidden/>
                <w:rStyle w:val="IndexLink"/>
                <w:rtl w:val="true"/>
              </w:rPr>
              <w:t>اشارة</w:t>
            </w:r>
            <w:r>
              <w:rPr>
                <w:rStyle w:val="IndexLink"/>
                <w:rtl w:val="true"/>
              </w:rPr>
              <w:tab/>
            </w:r>
            <w:r>
              <w:rPr>
                <w:rStyle w:val="IndexLink"/>
              </w:rPr>
              <w:t>37</w:t>
            </w:r>
          </w:hyperlink>
        </w:p>
        <w:p>
          <w:pPr>
            <w:pStyle w:val="Contents6"/>
            <w:tabs>
              <w:tab w:val="clear" w:pos="7609"/>
              <w:tab w:val="right" w:pos="9026" w:leader="dot"/>
            </w:tabs>
            <w:rPr/>
          </w:pPr>
          <w:hyperlink w:anchor="__RefHeading___Toc3266106_2870459653">
            <w:r>
              <w:rPr>
                <w:webHidden/>
                <w:rStyle w:val="IndexLink"/>
                <w:rtl w:val="true"/>
              </w:rPr>
              <w:t>الوجه الأوّل</w:t>
            </w:r>
            <w:r>
              <w:rPr>
                <w:rStyle w:val="IndexLink"/>
                <w:rtl w:val="true"/>
              </w:rPr>
              <w:tab/>
            </w:r>
            <w:r>
              <w:rPr>
                <w:rStyle w:val="IndexLink"/>
              </w:rPr>
              <w:t>38</w:t>
            </w:r>
          </w:hyperlink>
        </w:p>
        <w:p>
          <w:pPr>
            <w:pStyle w:val="Contents6"/>
            <w:tabs>
              <w:tab w:val="clear" w:pos="7609"/>
              <w:tab w:val="right" w:pos="9026" w:leader="dot"/>
            </w:tabs>
            <w:rPr/>
          </w:pPr>
          <w:hyperlink w:anchor="__RefHeading___Toc3266108_2870459653">
            <w:r>
              <w:rPr>
                <w:webHidden/>
                <w:rStyle w:val="IndexLink"/>
                <w:rtl w:val="true"/>
              </w:rPr>
              <w:t>الوجه الآخر</w:t>
            </w:r>
            <w:r>
              <w:rPr>
                <w:rStyle w:val="IndexLink"/>
                <w:rtl w:val="true"/>
              </w:rPr>
              <w:tab/>
            </w:r>
            <w:r>
              <w:rPr>
                <w:rStyle w:val="IndexLink"/>
              </w:rPr>
              <w:t>38</w:t>
            </w:r>
          </w:hyperlink>
        </w:p>
        <w:p>
          <w:pPr>
            <w:pStyle w:val="Contents3"/>
            <w:tabs>
              <w:tab w:val="clear" w:pos="8459"/>
              <w:tab w:val="right" w:pos="9026" w:leader="dot"/>
            </w:tabs>
            <w:rPr/>
          </w:pPr>
          <w:hyperlink w:anchor="__RefHeading___Toc3266110_2870459653">
            <w:r>
              <w:rPr>
                <w:webHidden/>
                <w:rStyle w:val="IndexLink"/>
                <w:rtl w:val="true"/>
              </w:rPr>
              <w:t>المصادر</w:t>
            </w:r>
            <w:r>
              <w:rPr>
                <w:rStyle w:val="IndexLink"/>
                <w:rtl w:val="true"/>
              </w:rPr>
              <w:tab/>
            </w:r>
            <w:r>
              <w:rPr>
                <w:rStyle w:val="IndexLink"/>
              </w:rPr>
              <w:t>40</w:t>
            </w:r>
          </w:hyperlink>
        </w:p>
        <w:p>
          <w:pPr>
            <w:pStyle w:val="Contents2"/>
            <w:tabs>
              <w:tab w:val="clear" w:pos="8743"/>
              <w:tab w:val="right" w:pos="9026" w:leader="dot"/>
            </w:tabs>
            <w:rPr/>
          </w:pPr>
          <w:hyperlink w:anchor="__RefHeading___Toc3266112_2870459653">
            <w:r>
              <w:rPr>
                <w:webHidden/>
                <w:rStyle w:val="IndexLink"/>
                <w:rtl w:val="true"/>
              </w:rPr>
              <w:t xml:space="preserve">حقّ الشفعة عند زيادة الشركاء على الاثنين </w:t>
            </w:r>
            <w:r>
              <w:rPr>
                <w:rStyle w:val="IndexLink"/>
                <w:rtl w:val="true"/>
              </w:rPr>
              <w:t xml:space="preserve">- </w:t>
            </w:r>
            <w:r>
              <w:rPr>
                <w:rStyle w:val="IndexLink"/>
                <w:rtl w:val="true"/>
              </w:rPr>
              <w:t xml:space="preserve">الشيخ رافد الزيداوي </w:t>
            </w:r>
            <w:r>
              <w:rPr>
                <w:rStyle w:val="IndexLink"/>
                <w:rtl w:val="true"/>
              </w:rPr>
              <w:t>(</w:t>
            </w:r>
            <w:r>
              <w:rPr>
                <w:rStyle w:val="IndexLink"/>
                <w:rtl w:val="true"/>
              </w:rPr>
              <w:t>دام عزه</w:t>
            </w:r>
            <w:r>
              <w:rPr>
                <w:rStyle w:val="IndexLink"/>
                <w:rtl w:val="true"/>
              </w:rPr>
              <w:t>)</w:t>
              <w:tab/>
            </w:r>
            <w:r>
              <w:rPr>
                <w:rStyle w:val="IndexLink"/>
              </w:rPr>
              <w:t>43</w:t>
            </w:r>
          </w:hyperlink>
        </w:p>
        <w:p>
          <w:pPr>
            <w:pStyle w:val="Contents3"/>
            <w:tabs>
              <w:tab w:val="clear" w:pos="8459"/>
              <w:tab w:val="right" w:pos="9026" w:leader="dot"/>
            </w:tabs>
            <w:rPr/>
          </w:pPr>
          <w:hyperlink w:anchor="__RefHeading___Toc3266114_2870459653">
            <w:r>
              <w:rPr>
                <w:webHidden/>
                <w:rStyle w:val="IndexLink"/>
                <w:rtl w:val="true"/>
              </w:rPr>
              <w:t>اشارة</w:t>
            </w:r>
            <w:r>
              <w:rPr>
                <w:rStyle w:val="IndexLink"/>
                <w:rtl w:val="true"/>
              </w:rPr>
              <w:tab/>
            </w:r>
            <w:r>
              <w:rPr>
                <w:rStyle w:val="IndexLink"/>
              </w:rPr>
              <w:t>43</w:t>
            </w:r>
          </w:hyperlink>
        </w:p>
        <w:p>
          <w:pPr>
            <w:pStyle w:val="Contents3"/>
            <w:tabs>
              <w:tab w:val="clear" w:pos="8459"/>
              <w:tab w:val="right" w:pos="9026" w:leader="dot"/>
            </w:tabs>
            <w:rPr/>
          </w:pPr>
          <w:hyperlink w:anchor="__RefHeading___Toc3266116_2870459653">
            <w:r>
              <w:rPr>
                <w:webHidden/>
                <w:rStyle w:val="IndexLink"/>
                <w:rtl w:val="true"/>
              </w:rPr>
              <w:t>مقدّمة</w:t>
            </w:r>
            <w:r>
              <w:rPr>
                <w:rStyle w:val="IndexLink"/>
                <w:rtl w:val="true"/>
              </w:rPr>
              <w:t xml:space="preserve">: </w:t>
            </w:r>
            <w:r>
              <w:rPr>
                <w:rStyle w:val="IndexLink"/>
                <w:rtl w:val="true"/>
              </w:rPr>
              <w:t>في تعريف الشفعة</w:t>
            </w:r>
            <w:r>
              <w:rPr>
                <w:rStyle w:val="IndexLink"/>
                <w:rtl w:val="true"/>
              </w:rPr>
              <w:tab/>
            </w:r>
            <w:r>
              <w:rPr>
                <w:rStyle w:val="IndexLink"/>
              </w:rPr>
              <w:t>45</w:t>
            </w:r>
          </w:hyperlink>
        </w:p>
        <w:p>
          <w:pPr>
            <w:pStyle w:val="Contents3"/>
            <w:tabs>
              <w:tab w:val="clear" w:pos="8459"/>
              <w:tab w:val="right" w:pos="9026" w:leader="dot"/>
            </w:tabs>
            <w:rPr/>
          </w:pPr>
          <w:hyperlink w:anchor="__RefHeading___Toc3266118_2870459653">
            <w:r>
              <w:rPr>
                <w:webHidden/>
                <w:rStyle w:val="IndexLink"/>
                <w:rtl w:val="true"/>
              </w:rPr>
              <w:t>المقام الأوّل</w:t>
            </w:r>
            <w:r>
              <w:rPr>
                <w:rStyle w:val="IndexLink"/>
                <w:rtl w:val="true"/>
              </w:rPr>
              <w:t xml:space="preserve">: </w:t>
            </w:r>
            <w:r>
              <w:rPr>
                <w:rStyle w:val="IndexLink"/>
                <w:rtl w:val="true"/>
              </w:rPr>
              <w:t>الأقوال في المسألة</w:t>
            </w:r>
            <w:r>
              <w:rPr>
                <w:rStyle w:val="IndexLink"/>
                <w:rtl w:val="true"/>
              </w:rPr>
              <w:tab/>
            </w:r>
            <w:r>
              <w:rPr>
                <w:rStyle w:val="IndexLink"/>
              </w:rPr>
              <w:t>47</w:t>
            </w:r>
          </w:hyperlink>
        </w:p>
        <w:p>
          <w:pPr>
            <w:pStyle w:val="Contents4"/>
            <w:tabs>
              <w:tab w:val="clear" w:pos="8176"/>
              <w:tab w:val="right" w:pos="9026" w:leader="dot"/>
            </w:tabs>
            <w:rPr/>
          </w:pPr>
          <w:hyperlink w:anchor="__RefHeading___Toc3266120_2870459653">
            <w:r>
              <w:rPr>
                <w:webHidden/>
                <w:rStyle w:val="IndexLink"/>
                <w:rtl w:val="true"/>
              </w:rPr>
              <w:t>اشارة</w:t>
            </w:r>
            <w:r>
              <w:rPr>
                <w:rStyle w:val="IndexLink"/>
                <w:rtl w:val="true"/>
              </w:rPr>
              <w:tab/>
            </w:r>
            <w:r>
              <w:rPr>
                <w:rStyle w:val="IndexLink"/>
              </w:rPr>
              <w:t>47</w:t>
            </w:r>
          </w:hyperlink>
        </w:p>
        <w:p>
          <w:pPr>
            <w:pStyle w:val="Contents4"/>
            <w:tabs>
              <w:tab w:val="clear" w:pos="8176"/>
              <w:tab w:val="right" w:pos="9026" w:leader="dot"/>
            </w:tabs>
            <w:rPr/>
          </w:pPr>
          <w:hyperlink w:anchor="__RefHeading___Toc3266122_2870459653">
            <w:r>
              <w:rPr>
                <w:webHidden/>
                <w:rStyle w:val="IndexLink"/>
                <w:rtl w:val="true"/>
              </w:rPr>
              <w:t>الأوّل</w:t>
            </w:r>
            <w:r>
              <w:rPr>
                <w:rStyle w:val="IndexLink"/>
                <w:rtl w:val="true"/>
              </w:rPr>
              <w:tab/>
            </w:r>
            <w:r>
              <w:rPr>
                <w:rStyle w:val="IndexLink"/>
              </w:rPr>
              <w:t>47</w:t>
            </w:r>
          </w:hyperlink>
        </w:p>
        <w:p>
          <w:pPr>
            <w:pStyle w:val="Contents4"/>
            <w:tabs>
              <w:tab w:val="clear" w:pos="8176"/>
              <w:tab w:val="right" w:pos="9026" w:leader="dot"/>
            </w:tabs>
            <w:rPr/>
          </w:pPr>
          <w:hyperlink w:anchor="__RefHeading___Toc3266124_2870459653">
            <w:r>
              <w:rPr>
                <w:webHidden/>
                <w:rStyle w:val="IndexLink"/>
                <w:rtl w:val="true"/>
              </w:rPr>
              <w:t>الثاني</w:t>
            </w:r>
            <w:r>
              <w:rPr>
                <w:rStyle w:val="IndexLink"/>
                <w:rtl w:val="true"/>
              </w:rPr>
              <w:tab/>
            </w:r>
            <w:r>
              <w:rPr>
                <w:rStyle w:val="IndexLink"/>
              </w:rPr>
              <w:t>47</w:t>
            </w:r>
          </w:hyperlink>
        </w:p>
        <w:p>
          <w:pPr>
            <w:pStyle w:val="Contents4"/>
            <w:tabs>
              <w:tab w:val="clear" w:pos="8176"/>
              <w:tab w:val="right" w:pos="9026" w:leader="dot"/>
            </w:tabs>
            <w:rPr/>
          </w:pPr>
          <w:hyperlink w:anchor="__RefHeading___Toc3266126_2870459653">
            <w:r>
              <w:rPr>
                <w:webHidden/>
                <w:rStyle w:val="IndexLink"/>
                <w:rtl w:val="true"/>
              </w:rPr>
              <w:t>الثالث</w:t>
            </w:r>
            <w:r>
              <w:rPr>
                <w:rStyle w:val="IndexLink"/>
                <w:rtl w:val="true"/>
              </w:rPr>
              <w:tab/>
            </w:r>
            <w:r>
              <w:rPr>
                <w:rStyle w:val="IndexLink"/>
              </w:rPr>
              <w:t>49</w:t>
            </w:r>
          </w:hyperlink>
        </w:p>
        <w:p>
          <w:pPr>
            <w:pStyle w:val="Contents4"/>
            <w:tabs>
              <w:tab w:val="clear" w:pos="8176"/>
              <w:tab w:val="right" w:pos="9026" w:leader="dot"/>
            </w:tabs>
            <w:rPr/>
          </w:pPr>
          <w:hyperlink w:anchor="__RefHeading___Toc3266128_2870459653">
            <w:r>
              <w:rPr>
                <w:webHidden/>
                <w:rStyle w:val="IndexLink"/>
                <w:rtl w:val="true"/>
              </w:rPr>
              <w:t>الرابع</w:t>
            </w:r>
            <w:r>
              <w:rPr>
                <w:rStyle w:val="IndexLink"/>
                <w:rtl w:val="true"/>
              </w:rPr>
              <w:tab/>
            </w:r>
            <w:r>
              <w:rPr>
                <w:rStyle w:val="IndexLink"/>
              </w:rPr>
              <w:t>51</w:t>
            </w:r>
          </w:hyperlink>
        </w:p>
        <w:p>
          <w:pPr>
            <w:pStyle w:val="Contents3"/>
            <w:tabs>
              <w:tab w:val="clear" w:pos="8459"/>
              <w:tab w:val="right" w:pos="9026" w:leader="dot"/>
            </w:tabs>
            <w:rPr/>
          </w:pPr>
          <w:hyperlink w:anchor="__RefHeading___Toc3266130_2870459653">
            <w:r>
              <w:rPr>
                <w:webHidden/>
                <w:rStyle w:val="IndexLink"/>
                <w:rtl w:val="true"/>
              </w:rPr>
              <w:t>المقام الثاني</w:t>
            </w:r>
            <w:r>
              <w:rPr>
                <w:rStyle w:val="IndexLink"/>
                <w:rtl w:val="true"/>
              </w:rPr>
              <w:t xml:space="preserve">: </w:t>
            </w:r>
            <w:r>
              <w:rPr>
                <w:rStyle w:val="IndexLink"/>
                <w:rtl w:val="true"/>
              </w:rPr>
              <w:t>مقتضى القاعدة</w:t>
            </w:r>
            <w:r>
              <w:rPr>
                <w:rStyle w:val="IndexLink"/>
                <w:rtl w:val="true"/>
              </w:rPr>
              <w:tab/>
            </w:r>
            <w:r>
              <w:rPr>
                <w:rStyle w:val="IndexLink"/>
              </w:rPr>
              <w:t>52</w:t>
            </w:r>
          </w:hyperlink>
        </w:p>
        <w:p>
          <w:pPr>
            <w:pStyle w:val="Contents4"/>
            <w:tabs>
              <w:tab w:val="clear" w:pos="8176"/>
              <w:tab w:val="right" w:pos="9026" w:leader="dot"/>
            </w:tabs>
            <w:rPr/>
          </w:pPr>
          <w:hyperlink w:anchor="__RefHeading___Toc3266132_2870459653">
            <w:r>
              <w:rPr>
                <w:webHidden/>
                <w:rStyle w:val="IndexLink"/>
                <w:rtl w:val="true"/>
              </w:rPr>
              <w:t>اشارة</w:t>
            </w:r>
            <w:r>
              <w:rPr>
                <w:rStyle w:val="IndexLink"/>
                <w:rtl w:val="true"/>
              </w:rPr>
              <w:tab/>
            </w:r>
            <w:r>
              <w:rPr>
                <w:rStyle w:val="IndexLink"/>
              </w:rPr>
              <w:t>52</w:t>
            </w:r>
          </w:hyperlink>
        </w:p>
        <w:p>
          <w:pPr>
            <w:pStyle w:val="Contents4"/>
            <w:tabs>
              <w:tab w:val="clear" w:pos="8176"/>
              <w:tab w:val="right" w:pos="9026" w:leader="dot"/>
            </w:tabs>
            <w:rPr/>
          </w:pPr>
          <w:hyperlink w:anchor="__RefHeading___Toc3266134_2870459653">
            <w:r>
              <w:rPr>
                <w:webHidden/>
                <w:rStyle w:val="IndexLink"/>
                <w:rtl w:val="true"/>
              </w:rPr>
              <w:t>التصوير الأوّل</w:t>
            </w:r>
            <w:r>
              <w:rPr>
                <w:rStyle w:val="IndexLink"/>
                <w:rtl w:val="true"/>
              </w:rPr>
              <w:tab/>
            </w:r>
            <w:r>
              <w:rPr>
                <w:rStyle w:val="IndexLink"/>
              </w:rPr>
              <w:t>52</w:t>
            </w:r>
          </w:hyperlink>
        </w:p>
        <w:p>
          <w:pPr>
            <w:pStyle w:val="Contents4"/>
            <w:tabs>
              <w:tab w:val="clear" w:pos="8176"/>
              <w:tab w:val="right" w:pos="9026" w:leader="dot"/>
            </w:tabs>
            <w:rPr/>
          </w:pPr>
          <w:hyperlink w:anchor="__RefHeading___Toc3266136_2870459653">
            <w:r>
              <w:rPr>
                <w:webHidden/>
                <w:rStyle w:val="IndexLink"/>
                <w:rtl w:val="true"/>
              </w:rPr>
              <w:t>التصوير الآخر</w:t>
            </w:r>
            <w:r>
              <w:rPr>
                <w:rStyle w:val="IndexLink"/>
                <w:rtl w:val="true"/>
              </w:rPr>
              <w:tab/>
            </w:r>
            <w:r>
              <w:rPr>
                <w:rStyle w:val="IndexLink"/>
              </w:rPr>
              <w:t>53</w:t>
            </w:r>
          </w:hyperlink>
        </w:p>
        <w:p>
          <w:pPr>
            <w:pStyle w:val="Contents3"/>
            <w:tabs>
              <w:tab w:val="clear" w:pos="8459"/>
              <w:tab w:val="right" w:pos="9026" w:leader="dot"/>
            </w:tabs>
            <w:rPr/>
          </w:pPr>
          <w:hyperlink w:anchor="__RefHeading___Toc3266138_2870459653">
            <w:r>
              <w:rPr>
                <w:webHidden/>
                <w:rStyle w:val="IndexLink"/>
                <w:rtl w:val="true"/>
              </w:rPr>
              <w:t>المقام الثالث</w:t>
            </w:r>
            <w:r>
              <w:rPr>
                <w:rStyle w:val="IndexLink"/>
                <w:rtl w:val="true"/>
              </w:rPr>
              <w:t xml:space="preserve">: </w:t>
            </w:r>
            <w:r>
              <w:rPr>
                <w:rStyle w:val="IndexLink"/>
                <w:rtl w:val="true"/>
              </w:rPr>
              <w:t>أدلّة الأقوال</w:t>
            </w:r>
            <w:r>
              <w:rPr>
                <w:rStyle w:val="IndexLink"/>
                <w:rtl w:val="true"/>
              </w:rPr>
              <w:tab/>
            </w:r>
            <w:r>
              <w:rPr>
                <w:rStyle w:val="IndexLink"/>
              </w:rPr>
              <w:t>55</w:t>
            </w:r>
          </w:hyperlink>
        </w:p>
        <w:p>
          <w:pPr>
            <w:pStyle w:val="Contents4"/>
            <w:tabs>
              <w:tab w:val="clear" w:pos="8176"/>
              <w:tab w:val="right" w:pos="9026" w:leader="dot"/>
            </w:tabs>
            <w:rPr/>
          </w:pPr>
          <w:hyperlink w:anchor="__RefHeading___Toc3266140_2870459653">
            <w:r>
              <w:rPr>
                <w:webHidden/>
                <w:rStyle w:val="IndexLink"/>
              </w:rPr>
              <w:t>1</w:t>
            </w:r>
            <w:r>
              <w:rPr>
                <w:rStyle w:val="IndexLink"/>
                <w:rtl w:val="true"/>
              </w:rPr>
              <w:t xml:space="preserve">- </w:t>
            </w:r>
            <w:r>
              <w:rPr>
                <w:rStyle w:val="IndexLink"/>
                <w:rtl w:val="true"/>
              </w:rPr>
              <w:t>ما يستدلّ به للقول الأوّل المشهور المانع من الشفعة فيما زاد على الاثنين</w:t>
            </w:r>
            <w:r>
              <w:rPr>
                <w:rStyle w:val="IndexLink"/>
                <w:rtl w:val="true"/>
              </w:rPr>
              <w:tab/>
            </w:r>
            <w:r>
              <w:rPr>
                <w:rStyle w:val="IndexLink"/>
              </w:rPr>
              <w:t>55</w:t>
            </w:r>
          </w:hyperlink>
        </w:p>
        <w:p>
          <w:pPr>
            <w:pStyle w:val="Contents5"/>
            <w:tabs>
              <w:tab w:val="clear" w:pos="7892"/>
              <w:tab w:val="right" w:pos="9026" w:leader="dot"/>
            </w:tabs>
            <w:rPr/>
          </w:pPr>
          <w:hyperlink w:anchor="__RefHeading___Toc3266142_2870459653">
            <w:r>
              <w:rPr>
                <w:webHidden/>
                <w:rStyle w:val="IndexLink"/>
                <w:rtl w:val="true"/>
              </w:rPr>
              <w:t>اشارة</w:t>
            </w:r>
            <w:r>
              <w:rPr>
                <w:rStyle w:val="IndexLink"/>
                <w:rtl w:val="true"/>
              </w:rPr>
              <w:tab/>
            </w:r>
            <w:r>
              <w:rPr>
                <w:rStyle w:val="IndexLink"/>
              </w:rPr>
              <w:t>55</w:t>
            </w:r>
          </w:hyperlink>
        </w:p>
        <w:p>
          <w:pPr>
            <w:pStyle w:val="Contents5"/>
            <w:tabs>
              <w:tab w:val="clear" w:pos="7892"/>
              <w:tab w:val="right" w:pos="9026" w:leader="dot"/>
            </w:tabs>
            <w:rPr/>
          </w:pPr>
          <w:hyperlink w:anchor="__RefHeading___Toc3266144_2870459653">
            <w:r>
              <w:rPr>
                <w:webHidden/>
                <w:rStyle w:val="IndexLink"/>
                <w:rtl w:val="true"/>
              </w:rPr>
              <w:t>الدليل الأوّل</w:t>
            </w:r>
            <w:r>
              <w:rPr>
                <w:rStyle w:val="IndexLink"/>
                <w:rtl w:val="true"/>
              </w:rPr>
              <w:tab/>
            </w:r>
            <w:r>
              <w:rPr>
                <w:rStyle w:val="IndexLink"/>
              </w:rPr>
              <w:t>55</w:t>
            </w:r>
          </w:hyperlink>
        </w:p>
        <w:p>
          <w:pPr>
            <w:pStyle w:val="Contents5"/>
            <w:tabs>
              <w:tab w:val="clear" w:pos="7892"/>
              <w:tab w:val="right" w:pos="9026" w:leader="dot"/>
            </w:tabs>
            <w:rPr/>
          </w:pPr>
          <w:hyperlink w:anchor="__RefHeading___Toc3266146_2870459653">
            <w:r>
              <w:rPr>
                <w:webHidden/>
                <w:rStyle w:val="IndexLink"/>
                <w:rtl w:val="true"/>
              </w:rPr>
              <w:t>الدليل الآخر</w:t>
            </w:r>
            <w:r>
              <w:rPr>
                <w:rStyle w:val="IndexLink"/>
                <w:rtl w:val="true"/>
              </w:rPr>
              <w:tab/>
            </w:r>
            <w:r>
              <w:rPr>
                <w:rStyle w:val="IndexLink"/>
              </w:rPr>
              <w:t>56</w:t>
            </w:r>
          </w:hyperlink>
        </w:p>
        <w:p>
          <w:pPr>
            <w:pStyle w:val="Contents5"/>
            <w:tabs>
              <w:tab w:val="clear" w:pos="7892"/>
              <w:tab w:val="right" w:pos="9026" w:leader="dot"/>
            </w:tabs>
            <w:rPr/>
          </w:pPr>
          <w:hyperlink w:anchor="__RefHeading___Toc3266148_2870459653">
            <w:r>
              <w:rPr>
                <w:webHidden/>
                <w:rStyle w:val="IndexLink"/>
                <w:rtl w:val="true"/>
              </w:rPr>
              <w:t>الرواية الأولى</w:t>
            </w:r>
            <w:r>
              <w:rPr>
                <w:rStyle w:val="IndexLink"/>
                <w:rtl w:val="true"/>
              </w:rPr>
              <w:tab/>
            </w:r>
            <w:r>
              <w:rPr>
                <w:rStyle w:val="IndexLink"/>
              </w:rPr>
              <w:t>56</w:t>
            </w:r>
          </w:hyperlink>
        </w:p>
        <w:p>
          <w:pPr>
            <w:pStyle w:val="Contents5"/>
            <w:tabs>
              <w:tab w:val="clear" w:pos="7892"/>
              <w:tab w:val="right" w:pos="9026" w:leader="dot"/>
            </w:tabs>
            <w:rPr/>
          </w:pPr>
          <w:hyperlink w:anchor="__RefHeading___Toc3266150_2870459653">
            <w:r>
              <w:rPr>
                <w:webHidden/>
                <w:rStyle w:val="IndexLink"/>
                <w:rtl w:val="true"/>
              </w:rPr>
              <w:t>الرواية الثانية</w:t>
            </w:r>
            <w:r>
              <w:rPr>
                <w:rStyle w:val="IndexLink"/>
                <w:rtl w:val="true"/>
              </w:rPr>
              <w:tab/>
            </w:r>
            <w:r>
              <w:rPr>
                <w:rStyle w:val="IndexLink"/>
              </w:rPr>
              <w:t>58</w:t>
            </w:r>
          </w:hyperlink>
        </w:p>
        <w:p>
          <w:pPr>
            <w:pStyle w:val="Contents5"/>
            <w:tabs>
              <w:tab w:val="clear" w:pos="7892"/>
              <w:tab w:val="right" w:pos="9026" w:leader="dot"/>
            </w:tabs>
            <w:rPr/>
          </w:pPr>
          <w:hyperlink w:anchor="__RefHeading___Toc3266152_2870459653">
            <w:r>
              <w:rPr>
                <w:webHidden/>
                <w:rStyle w:val="IndexLink"/>
                <w:rtl w:val="true"/>
              </w:rPr>
              <w:t>الرواية الثالثة</w:t>
            </w:r>
            <w:r>
              <w:rPr>
                <w:rStyle w:val="IndexLink"/>
                <w:rtl w:val="true"/>
              </w:rPr>
              <w:tab/>
            </w:r>
            <w:r>
              <w:rPr>
                <w:rStyle w:val="IndexLink"/>
              </w:rPr>
              <w:t>60</w:t>
            </w:r>
          </w:hyperlink>
        </w:p>
        <w:p>
          <w:pPr>
            <w:pStyle w:val="Contents5"/>
            <w:tabs>
              <w:tab w:val="clear" w:pos="7892"/>
              <w:tab w:val="right" w:pos="9026" w:leader="dot"/>
            </w:tabs>
            <w:rPr/>
          </w:pPr>
          <w:hyperlink w:anchor="__RefHeading___Toc3266154_2870459653">
            <w:r>
              <w:rPr>
                <w:webHidden/>
                <w:rStyle w:val="IndexLink"/>
                <w:rtl w:val="true"/>
              </w:rPr>
              <w:t>الرواية الرابعة</w:t>
            </w:r>
            <w:r>
              <w:rPr>
                <w:rStyle w:val="IndexLink"/>
                <w:rtl w:val="true"/>
              </w:rPr>
              <w:tab/>
            </w:r>
            <w:r>
              <w:rPr>
                <w:rStyle w:val="IndexLink"/>
              </w:rPr>
              <w:t>61</w:t>
            </w:r>
          </w:hyperlink>
        </w:p>
        <w:p>
          <w:pPr>
            <w:pStyle w:val="Contents4"/>
            <w:tabs>
              <w:tab w:val="clear" w:pos="8176"/>
              <w:tab w:val="right" w:pos="9026" w:leader="dot"/>
            </w:tabs>
            <w:rPr/>
          </w:pPr>
          <w:hyperlink w:anchor="__RefHeading___Toc3266156_2870459653">
            <w:r>
              <w:rPr>
                <w:webHidden/>
                <w:rStyle w:val="IndexLink"/>
              </w:rPr>
              <w:t>2</w:t>
            </w:r>
            <w:r>
              <w:rPr>
                <w:rStyle w:val="IndexLink"/>
                <w:rtl w:val="true"/>
              </w:rPr>
              <w:t xml:space="preserve">- </w:t>
            </w:r>
            <w:r>
              <w:rPr>
                <w:rStyle w:val="IndexLink"/>
                <w:rtl w:val="true"/>
              </w:rPr>
              <w:t xml:space="preserve">ما يستدلّ به للقول الثاني </w:t>
            </w:r>
            <w:r>
              <w:rPr>
                <w:rStyle w:val="IndexLink"/>
                <w:rtl w:val="true"/>
              </w:rPr>
              <w:t xml:space="preserve">- </w:t>
            </w:r>
            <w:r>
              <w:rPr>
                <w:rStyle w:val="IndexLink"/>
                <w:rtl w:val="true"/>
              </w:rPr>
              <w:t>الذي ذهب إليه ابن الجنيد</w:t>
            </w:r>
            <w:r>
              <w:rPr>
                <w:rStyle w:val="IndexLink"/>
                <w:rtl w:val="true"/>
              </w:rPr>
              <w:tab/>
            </w:r>
            <w:r>
              <w:rPr>
                <w:rStyle w:val="IndexLink"/>
              </w:rPr>
              <w:t>62</w:t>
            </w:r>
          </w:hyperlink>
        </w:p>
        <w:p>
          <w:pPr>
            <w:pStyle w:val="Contents5"/>
            <w:tabs>
              <w:tab w:val="clear" w:pos="7892"/>
              <w:tab w:val="right" w:pos="9026" w:leader="dot"/>
            </w:tabs>
            <w:rPr/>
          </w:pPr>
          <w:hyperlink w:anchor="__RefHeading___Toc3266158_2870459653">
            <w:r>
              <w:rPr>
                <w:webHidden/>
                <w:rStyle w:val="IndexLink"/>
                <w:rtl w:val="true"/>
              </w:rPr>
              <w:t>اشارة</w:t>
            </w:r>
            <w:r>
              <w:rPr>
                <w:rStyle w:val="IndexLink"/>
                <w:rtl w:val="true"/>
              </w:rPr>
              <w:tab/>
            </w:r>
            <w:r>
              <w:rPr>
                <w:rStyle w:val="IndexLink"/>
              </w:rPr>
              <w:t>62</w:t>
            </w:r>
          </w:hyperlink>
        </w:p>
        <w:p>
          <w:pPr>
            <w:pStyle w:val="Contents5"/>
            <w:tabs>
              <w:tab w:val="clear" w:pos="7892"/>
              <w:tab w:val="right" w:pos="9026" w:leader="dot"/>
            </w:tabs>
            <w:rPr/>
          </w:pPr>
          <w:hyperlink w:anchor="__RefHeading___Toc3266160_2870459653">
            <w:r>
              <w:rPr>
                <w:webHidden/>
                <w:rStyle w:val="IndexLink"/>
                <w:rtl w:val="true"/>
              </w:rPr>
              <w:t>الرواية الأولى</w:t>
            </w:r>
            <w:r>
              <w:rPr>
                <w:rStyle w:val="IndexLink"/>
                <w:rtl w:val="true"/>
              </w:rPr>
              <w:tab/>
            </w:r>
            <w:r>
              <w:rPr>
                <w:rStyle w:val="IndexLink"/>
              </w:rPr>
              <w:t>62</w:t>
            </w:r>
          </w:hyperlink>
        </w:p>
        <w:p>
          <w:pPr>
            <w:pStyle w:val="Contents5"/>
            <w:tabs>
              <w:tab w:val="clear" w:pos="7892"/>
              <w:tab w:val="right" w:pos="9026" w:leader="dot"/>
            </w:tabs>
            <w:rPr/>
          </w:pPr>
          <w:hyperlink w:anchor="__RefHeading___Toc3266162_2870459653">
            <w:r>
              <w:rPr>
                <w:webHidden/>
                <w:rStyle w:val="IndexLink"/>
                <w:rtl w:val="true"/>
              </w:rPr>
              <w:t>الرواية الثانية</w:t>
            </w:r>
            <w:r>
              <w:rPr>
                <w:rStyle w:val="IndexLink"/>
                <w:rtl w:val="true"/>
              </w:rPr>
              <w:tab/>
            </w:r>
            <w:r>
              <w:rPr>
                <w:rStyle w:val="IndexLink"/>
              </w:rPr>
              <w:t>63</w:t>
            </w:r>
          </w:hyperlink>
        </w:p>
        <w:p>
          <w:pPr>
            <w:pStyle w:val="Contents6"/>
            <w:tabs>
              <w:tab w:val="clear" w:pos="7609"/>
              <w:tab w:val="right" w:pos="9026" w:leader="dot"/>
            </w:tabs>
            <w:rPr/>
          </w:pPr>
          <w:hyperlink w:anchor="__RefHeading___Toc3266164_2870459653">
            <w:r>
              <w:rPr>
                <w:webHidden/>
                <w:rStyle w:val="IndexLink"/>
                <w:rtl w:val="true"/>
              </w:rPr>
              <w:t>اشارة</w:t>
            </w:r>
            <w:r>
              <w:rPr>
                <w:rStyle w:val="IndexLink"/>
                <w:rtl w:val="true"/>
              </w:rPr>
              <w:tab/>
            </w:r>
            <w:r>
              <w:rPr>
                <w:rStyle w:val="IndexLink"/>
              </w:rPr>
              <w:t>63</w:t>
            </w:r>
          </w:hyperlink>
        </w:p>
        <w:p>
          <w:pPr>
            <w:pStyle w:val="Contents6"/>
            <w:tabs>
              <w:tab w:val="clear" w:pos="7609"/>
              <w:tab w:val="right" w:pos="9026" w:leader="dot"/>
            </w:tabs>
            <w:rPr/>
          </w:pPr>
          <w:hyperlink w:anchor="__RefHeading___Toc3266166_2870459653">
            <w:r>
              <w:rPr>
                <w:webHidden/>
                <w:rStyle w:val="IndexLink"/>
                <w:rtl w:val="true"/>
              </w:rPr>
              <w:t>الوجه الأوّل</w:t>
            </w:r>
            <w:r>
              <w:rPr>
                <w:rStyle w:val="IndexLink"/>
                <w:rtl w:val="true"/>
              </w:rPr>
              <w:tab/>
            </w:r>
            <w:r>
              <w:rPr>
                <w:rStyle w:val="IndexLink"/>
              </w:rPr>
              <w:t>65</w:t>
            </w:r>
          </w:hyperlink>
        </w:p>
        <w:p>
          <w:pPr>
            <w:pStyle w:val="Contents6"/>
            <w:tabs>
              <w:tab w:val="clear" w:pos="7609"/>
              <w:tab w:val="right" w:pos="9026" w:leader="dot"/>
            </w:tabs>
            <w:rPr/>
          </w:pPr>
          <w:hyperlink w:anchor="__RefHeading___Toc3266168_2870459653">
            <w:r>
              <w:rPr>
                <w:webHidden/>
                <w:rStyle w:val="IndexLink"/>
                <w:rtl w:val="true"/>
              </w:rPr>
              <w:t>الوجه الآخر</w:t>
            </w:r>
            <w:r>
              <w:rPr>
                <w:rStyle w:val="IndexLink"/>
                <w:rtl w:val="true"/>
              </w:rPr>
              <w:tab/>
            </w:r>
            <w:r>
              <w:rPr>
                <w:rStyle w:val="IndexLink"/>
              </w:rPr>
              <w:t>67</w:t>
            </w:r>
          </w:hyperlink>
        </w:p>
        <w:p>
          <w:pPr>
            <w:pStyle w:val="Contents5"/>
            <w:tabs>
              <w:tab w:val="clear" w:pos="7892"/>
              <w:tab w:val="right" w:pos="9026" w:leader="dot"/>
            </w:tabs>
            <w:rPr/>
          </w:pPr>
          <w:hyperlink w:anchor="__RefHeading___Toc3266170_2870459653">
            <w:r>
              <w:rPr>
                <w:webHidden/>
                <w:rStyle w:val="IndexLink"/>
                <w:rtl w:val="true"/>
              </w:rPr>
              <w:t>الرواية الثالثة</w:t>
            </w:r>
            <w:r>
              <w:rPr>
                <w:rStyle w:val="IndexLink"/>
                <w:rtl w:val="true"/>
              </w:rPr>
              <w:tab/>
            </w:r>
            <w:r>
              <w:rPr>
                <w:rStyle w:val="IndexLink"/>
              </w:rPr>
              <w:t>69</w:t>
            </w:r>
          </w:hyperlink>
        </w:p>
        <w:p>
          <w:pPr>
            <w:pStyle w:val="Contents5"/>
            <w:tabs>
              <w:tab w:val="clear" w:pos="7892"/>
              <w:tab w:val="right" w:pos="9026" w:leader="dot"/>
            </w:tabs>
            <w:rPr/>
          </w:pPr>
          <w:hyperlink w:anchor="__RefHeading___Toc3266172_2870459653">
            <w:r>
              <w:rPr>
                <w:webHidden/>
                <w:rStyle w:val="IndexLink"/>
                <w:rtl w:val="true"/>
              </w:rPr>
              <w:t>الرواية الرابعة</w:t>
            </w:r>
            <w:r>
              <w:rPr>
                <w:rStyle w:val="IndexLink"/>
                <w:rtl w:val="true"/>
              </w:rPr>
              <w:tab/>
            </w:r>
            <w:r>
              <w:rPr>
                <w:rStyle w:val="IndexLink"/>
              </w:rPr>
              <w:t>71</w:t>
            </w:r>
          </w:hyperlink>
        </w:p>
        <w:p>
          <w:pPr>
            <w:pStyle w:val="Contents5"/>
            <w:tabs>
              <w:tab w:val="clear" w:pos="7892"/>
              <w:tab w:val="right" w:pos="9026" w:leader="dot"/>
            </w:tabs>
            <w:rPr/>
          </w:pPr>
          <w:hyperlink w:anchor="__RefHeading___Toc3266174_2870459653">
            <w:r>
              <w:rPr>
                <w:webHidden/>
                <w:rStyle w:val="IndexLink"/>
                <w:rtl w:val="true"/>
              </w:rPr>
              <w:t>الرواية الخامسة</w:t>
            </w:r>
            <w:r>
              <w:rPr>
                <w:rStyle w:val="IndexLink"/>
                <w:rtl w:val="true"/>
              </w:rPr>
              <w:tab/>
            </w:r>
            <w:r>
              <w:rPr>
                <w:rStyle w:val="IndexLink"/>
              </w:rPr>
              <w:t>71</w:t>
            </w:r>
          </w:hyperlink>
        </w:p>
        <w:p>
          <w:pPr>
            <w:pStyle w:val="Contents5"/>
            <w:tabs>
              <w:tab w:val="clear" w:pos="7892"/>
              <w:tab w:val="right" w:pos="9026" w:leader="dot"/>
            </w:tabs>
            <w:rPr/>
          </w:pPr>
          <w:hyperlink w:anchor="__RefHeading___Toc3266176_2870459653">
            <w:r>
              <w:rPr>
                <w:webHidden/>
                <w:rStyle w:val="IndexLink"/>
                <w:rtl w:val="true"/>
              </w:rPr>
              <w:t>الرواية السادسة</w:t>
            </w:r>
            <w:r>
              <w:rPr>
                <w:rStyle w:val="IndexLink"/>
                <w:rtl w:val="true"/>
              </w:rPr>
              <w:tab/>
            </w:r>
            <w:r>
              <w:rPr>
                <w:rStyle w:val="IndexLink"/>
              </w:rPr>
              <w:t>73</w:t>
            </w:r>
          </w:hyperlink>
        </w:p>
        <w:p>
          <w:pPr>
            <w:pStyle w:val="Contents6"/>
            <w:tabs>
              <w:tab w:val="clear" w:pos="7609"/>
              <w:tab w:val="right" w:pos="9026" w:leader="dot"/>
            </w:tabs>
            <w:rPr/>
          </w:pPr>
          <w:hyperlink w:anchor="__RefHeading___Toc3266178_2870459653">
            <w:r>
              <w:rPr>
                <w:webHidden/>
                <w:rStyle w:val="IndexLink"/>
                <w:rtl w:val="true"/>
              </w:rPr>
              <w:t>اشارة</w:t>
            </w:r>
            <w:r>
              <w:rPr>
                <w:rStyle w:val="IndexLink"/>
                <w:rtl w:val="true"/>
              </w:rPr>
              <w:tab/>
            </w:r>
            <w:r>
              <w:rPr>
                <w:rStyle w:val="IndexLink"/>
              </w:rPr>
              <w:t>73</w:t>
            </w:r>
          </w:hyperlink>
        </w:p>
        <w:p>
          <w:pPr>
            <w:pStyle w:val="Contents6"/>
            <w:tabs>
              <w:tab w:val="clear" w:pos="7609"/>
              <w:tab w:val="right" w:pos="9026" w:leader="dot"/>
            </w:tabs>
            <w:rPr/>
          </w:pPr>
          <w:hyperlink w:anchor="__RefHeading___Toc3266180_2870459653">
            <w:r>
              <w:rPr>
                <w:webHidden/>
                <w:rStyle w:val="IndexLink"/>
                <w:rtl w:val="true"/>
              </w:rPr>
              <w:t>الوجه الأوّل</w:t>
            </w:r>
            <w:r>
              <w:rPr>
                <w:rStyle w:val="IndexLink"/>
                <w:rtl w:val="true"/>
              </w:rPr>
              <w:tab/>
            </w:r>
            <w:r>
              <w:rPr>
                <w:rStyle w:val="IndexLink"/>
              </w:rPr>
              <w:t>75</w:t>
            </w:r>
          </w:hyperlink>
        </w:p>
        <w:p>
          <w:pPr>
            <w:pStyle w:val="Contents6"/>
            <w:tabs>
              <w:tab w:val="clear" w:pos="7609"/>
              <w:tab w:val="right" w:pos="9026" w:leader="dot"/>
            </w:tabs>
            <w:rPr/>
          </w:pPr>
          <w:hyperlink w:anchor="__RefHeading___Toc3266182_2870459653">
            <w:r>
              <w:rPr>
                <w:webHidden/>
                <w:rStyle w:val="IndexLink"/>
                <w:rtl w:val="true"/>
              </w:rPr>
              <w:t>الوجه الثاني</w:t>
            </w:r>
            <w:r>
              <w:rPr>
                <w:rStyle w:val="IndexLink"/>
                <w:rtl w:val="true"/>
              </w:rPr>
              <w:tab/>
            </w:r>
            <w:r>
              <w:rPr>
                <w:rStyle w:val="IndexLink"/>
              </w:rPr>
              <w:t>77</w:t>
            </w:r>
          </w:hyperlink>
        </w:p>
        <w:p>
          <w:pPr>
            <w:pStyle w:val="Contents6"/>
            <w:tabs>
              <w:tab w:val="clear" w:pos="7609"/>
              <w:tab w:val="right" w:pos="9026" w:leader="dot"/>
            </w:tabs>
            <w:rPr/>
          </w:pPr>
          <w:hyperlink w:anchor="__RefHeading___Toc3266184_2870459653">
            <w:r>
              <w:rPr>
                <w:webHidden/>
                <w:rStyle w:val="IndexLink"/>
                <w:rtl w:val="true"/>
              </w:rPr>
              <w:t>الوجه الثالث</w:t>
            </w:r>
            <w:r>
              <w:rPr>
                <w:rStyle w:val="IndexLink"/>
                <w:rtl w:val="true"/>
              </w:rPr>
              <w:tab/>
            </w:r>
            <w:r>
              <w:rPr>
                <w:rStyle w:val="IndexLink"/>
              </w:rPr>
              <w:t>80</w:t>
            </w:r>
          </w:hyperlink>
        </w:p>
        <w:p>
          <w:pPr>
            <w:pStyle w:val="Contents6"/>
            <w:tabs>
              <w:tab w:val="clear" w:pos="7609"/>
              <w:tab w:val="right" w:pos="9026" w:leader="dot"/>
            </w:tabs>
            <w:rPr/>
          </w:pPr>
          <w:hyperlink w:anchor="__RefHeading___Toc3266186_2870459653">
            <w:r>
              <w:rPr>
                <w:webHidden/>
                <w:rStyle w:val="IndexLink"/>
                <w:rtl w:val="true"/>
              </w:rPr>
              <w:t>الوجه الرابع</w:t>
            </w:r>
            <w:r>
              <w:rPr>
                <w:rStyle w:val="IndexLink"/>
                <w:rtl w:val="true"/>
              </w:rPr>
              <w:tab/>
            </w:r>
            <w:r>
              <w:rPr>
                <w:rStyle w:val="IndexLink"/>
              </w:rPr>
              <w:t>81</w:t>
            </w:r>
          </w:hyperlink>
        </w:p>
        <w:p>
          <w:pPr>
            <w:pStyle w:val="Contents6"/>
            <w:tabs>
              <w:tab w:val="clear" w:pos="7609"/>
              <w:tab w:val="right" w:pos="9026" w:leader="dot"/>
            </w:tabs>
            <w:rPr/>
          </w:pPr>
          <w:hyperlink w:anchor="__RefHeading___Toc3266188_2870459653">
            <w:r>
              <w:rPr>
                <w:webHidden/>
                <w:rStyle w:val="IndexLink"/>
                <w:rtl w:val="true"/>
              </w:rPr>
              <w:t>الوجه الخامس</w:t>
            </w:r>
            <w:r>
              <w:rPr>
                <w:rStyle w:val="IndexLink"/>
                <w:rtl w:val="true"/>
              </w:rPr>
              <w:tab/>
            </w:r>
            <w:r>
              <w:rPr>
                <w:rStyle w:val="IndexLink"/>
              </w:rPr>
              <w:t>84</w:t>
            </w:r>
          </w:hyperlink>
        </w:p>
        <w:p>
          <w:pPr>
            <w:pStyle w:val="Contents6"/>
            <w:tabs>
              <w:tab w:val="clear" w:pos="7609"/>
              <w:tab w:val="right" w:pos="9026" w:leader="dot"/>
            </w:tabs>
            <w:rPr/>
          </w:pPr>
          <w:hyperlink w:anchor="__RefHeading___Toc3266190_2870459653">
            <w:r>
              <w:rPr>
                <w:webHidden/>
                <w:rStyle w:val="IndexLink"/>
                <w:rtl w:val="true"/>
              </w:rPr>
              <w:t>الوجه السادس</w:t>
            </w:r>
            <w:r>
              <w:rPr>
                <w:rStyle w:val="IndexLink"/>
                <w:rtl w:val="true"/>
              </w:rPr>
              <w:tab/>
            </w:r>
            <w:r>
              <w:rPr>
                <w:rStyle w:val="IndexLink"/>
              </w:rPr>
              <w:t>87</w:t>
            </w:r>
          </w:hyperlink>
        </w:p>
        <w:p>
          <w:pPr>
            <w:pStyle w:val="Contents3"/>
            <w:tabs>
              <w:tab w:val="clear" w:pos="8459"/>
              <w:tab w:val="right" w:pos="9026" w:leader="dot"/>
            </w:tabs>
            <w:rPr/>
          </w:pPr>
          <w:hyperlink w:anchor="__RefHeading___Toc3266192_2870459653">
            <w:r>
              <w:rPr>
                <w:webHidden/>
                <w:rStyle w:val="IndexLink"/>
                <w:rtl w:val="true"/>
              </w:rPr>
              <w:t>نتيجة البحث</w:t>
            </w:r>
            <w:r>
              <w:rPr>
                <w:rStyle w:val="IndexLink"/>
                <w:rtl w:val="true"/>
              </w:rPr>
              <w:tab/>
            </w:r>
            <w:r>
              <w:rPr>
                <w:rStyle w:val="IndexLink"/>
              </w:rPr>
              <w:t>89</w:t>
            </w:r>
          </w:hyperlink>
        </w:p>
        <w:p>
          <w:pPr>
            <w:pStyle w:val="Contents3"/>
            <w:tabs>
              <w:tab w:val="clear" w:pos="8459"/>
              <w:tab w:val="right" w:pos="9026" w:leader="dot"/>
            </w:tabs>
            <w:rPr/>
          </w:pPr>
          <w:hyperlink w:anchor="__RefHeading___Toc3266194_2870459653">
            <w:r>
              <w:rPr>
                <w:webHidden/>
                <w:rStyle w:val="IndexLink"/>
                <w:rtl w:val="true"/>
              </w:rPr>
              <w:t>مصادر البحث</w:t>
            </w:r>
            <w:r>
              <w:rPr>
                <w:rStyle w:val="IndexLink"/>
                <w:rtl w:val="true"/>
              </w:rPr>
              <w:tab/>
            </w:r>
            <w:r>
              <w:rPr>
                <w:rStyle w:val="IndexLink"/>
              </w:rPr>
              <w:t>90</w:t>
            </w:r>
          </w:hyperlink>
        </w:p>
        <w:p>
          <w:pPr>
            <w:pStyle w:val="Contents2"/>
            <w:tabs>
              <w:tab w:val="clear" w:pos="8743"/>
              <w:tab w:val="right" w:pos="9026" w:leader="dot"/>
            </w:tabs>
            <w:rPr/>
          </w:pPr>
          <w:hyperlink w:anchor="__RefHeading___Toc3266196_2870459653">
            <w:r>
              <w:rPr>
                <w:webHidden/>
                <w:rStyle w:val="IndexLink"/>
                <w:rtl w:val="true"/>
              </w:rPr>
              <w:t xml:space="preserve">خروج الزّوجة من بيتها بدون إذن زوجها </w:t>
            </w:r>
            <w:r>
              <w:rPr>
                <w:rStyle w:val="IndexLink"/>
                <w:rtl w:val="true"/>
              </w:rPr>
              <w:t xml:space="preserve">- </w:t>
            </w:r>
            <w:r>
              <w:rPr>
                <w:rStyle w:val="IndexLink"/>
                <w:rtl w:val="true"/>
              </w:rPr>
              <w:t xml:space="preserve">الشّيخ محمّد رضا السّاعديّ </w:t>
            </w:r>
            <w:r>
              <w:rPr>
                <w:rStyle w:val="IndexLink"/>
                <w:rtl w:val="true"/>
              </w:rPr>
              <w:t>(</w:t>
            </w:r>
            <w:r>
              <w:rPr>
                <w:rStyle w:val="IndexLink"/>
                <w:rtl w:val="true"/>
              </w:rPr>
              <w:t>دام عزه</w:t>
            </w:r>
            <w:r>
              <w:rPr>
                <w:rStyle w:val="IndexLink"/>
                <w:rtl w:val="true"/>
              </w:rPr>
              <w:t>)</w:t>
              <w:tab/>
            </w:r>
            <w:r>
              <w:rPr>
                <w:rStyle w:val="IndexLink"/>
              </w:rPr>
              <w:t>99</w:t>
            </w:r>
          </w:hyperlink>
        </w:p>
        <w:p>
          <w:pPr>
            <w:pStyle w:val="Contents3"/>
            <w:tabs>
              <w:tab w:val="clear" w:pos="8459"/>
              <w:tab w:val="right" w:pos="9026" w:leader="dot"/>
            </w:tabs>
            <w:rPr/>
          </w:pPr>
          <w:hyperlink w:anchor="__RefHeading___Toc3266198_2870459653">
            <w:r>
              <w:rPr>
                <w:webHidden/>
                <w:rStyle w:val="IndexLink"/>
                <w:rtl w:val="true"/>
              </w:rPr>
              <w:t>اشارة</w:t>
            </w:r>
            <w:r>
              <w:rPr>
                <w:rStyle w:val="IndexLink"/>
                <w:rtl w:val="true"/>
              </w:rPr>
              <w:tab/>
            </w:r>
            <w:r>
              <w:rPr>
                <w:rStyle w:val="IndexLink"/>
              </w:rPr>
              <w:t>99</w:t>
            </w:r>
          </w:hyperlink>
        </w:p>
        <w:p>
          <w:pPr>
            <w:pStyle w:val="Contents3"/>
            <w:tabs>
              <w:tab w:val="clear" w:pos="8459"/>
              <w:tab w:val="right" w:pos="9026" w:leader="dot"/>
            </w:tabs>
            <w:rPr/>
          </w:pPr>
          <w:hyperlink w:anchor="__RefHeading___Toc3266200_2870459653">
            <w:r>
              <w:rPr>
                <w:webHidden/>
                <w:rStyle w:val="IndexLink"/>
                <w:rtl w:val="true"/>
              </w:rPr>
              <w:t>المقدّمة</w:t>
            </w:r>
            <w:r>
              <w:rPr>
                <w:rStyle w:val="IndexLink"/>
                <w:rtl w:val="true"/>
              </w:rPr>
              <w:tab/>
            </w:r>
            <w:r>
              <w:rPr>
                <w:rStyle w:val="IndexLink"/>
              </w:rPr>
              <w:t>101</w:t>
            </w:r>
          </w:hyperlink>
        </w:p>
        <w:p>
          <w:pPr>
            <w:pStyle w:val="Contents3"/>
            <w:tabs>
              <w:tab w:val="clear" w:pos="8459"/>
              <w:tab w:val="right" w:pos="9026" w:leader="dot"/>
            </w:tabs>
            <w:rPr/>
          </w:pPr>
          <w:hyperlink w:anchor="__RefHeading___Toc3266202_2870459653">
            <w:r>
              <w:rPr>
                <w:webHidden/>
                <w:rStyle w:val="IndexLink"/>
                <w:rtl w:val="true"/>
              </w:rPr>
              <w:t>الأقوال في المسألة</w:t>
            </w:r>
            <w:r>
              <w:rPr>
                <w:rStyle w:val="IndexLink"/>
                <w:rtl w:val="true"/>
              </w:rPr>
              <w:tab/>
            </w:r>
            <w:r>
              <w:rPr>
                <w:rStyle w:val="IndexLink"/>
              </w:rPr>
              <w:t>103</w:t>
            </w:r>
          </w:hyperlink>
        </w:p>
        <w:p>
          <w:pPr>
            <w:pStyle w:val="Contents3"/>
            <w:tabs>
              <w:tab w:val="clear" w:pos="8459"/>
              <w:tab w:val="right" w:pos="9026" w:leader="dot"/>
            </w:tabs>
            <w:rPr/>
          </w:pPr>
          <w:hyperlink w:anchor="__RefHeading___Toc3266204_2870459653">
            <w:r>
              <w:rPr>
                <w:webHidden/>
                <w:rStyle w:val="IndexLink"/>
                <w:rtl w:val="true"/>
              </w:rPr>
              <w:t>أدلّة الأقوال</w:t>
            </w:r>
            <w:r>
              <w:rPr>
                <w:rStyle w:val="IndexLink"/>
                <w:rtl w:val="true"/>
              </w:rPr>
              <w:tab/>
            </w:r>
            <w:r>
              <w:rPr>
                <w:rStyle w:val="IndexLink"/>
              </w:rPr>
              <w:t>105</w:t>
            </w:r>
          </w:hyperlink>
        </w:p>
        <w:p>
          <w:pPr>
            <w:pStyle w:val="Contents4"/>
            <w:tabs>
              <w:tab w:val="clear" w:pos="8176"/>
              <w:tab w:val="right" w:pos="9026" w:leader="dot"/>
            </w:tabs>
            <w:rPr/>
          </w:pPr>
          <w:hyperlink w:anchor="__RefHeading___Toc3266206_2870459653">
            <w:r>
              <w:rPr>
                <w:webHidden/>
                <w:rStyle w:val="IndexLink"/>
                <w:rtl w:val="true"/>
              </w:rPr>
              <w:t>اشارة</w:t>
            </w:r>
            <w:r>
              <w:rPr>
                <w:rStyle w:val="IndexLink"/>
                <w:rtl w:val="true"/>
              </w:rPr>
              <w:tab/>
            </w:r>
            <w:r>
              <w:rPr>
                <w:rStyle w:val="IndexLink"/>
              </w:rPr>
              <w:t>105</w:t>
            </w:r>
          </w:hyperlink>
        </w:p>
        <w:p>
          <w:pPr>
            <w:pStyle w:val="Contents4"/>
            <w:tabs>
              <w:tab w:val="clear" w:pos="8176"/>
              <w:tab w:val="right" w:pos="9026" w:leader="dot"/>
            </w:tabs>
            <w:rPr/>
          </w:pPr>
          <w:hyperlink w:anchor="__RefHeading___Toc3266208_2870459653">
            <w:r>
              <w:rPr>
                <w:webHidden/>
                <w:rStyle w:val="IndexLink"/>
                <w:rtl w:val="true"/>
              </w:rPr>
              <w:t>الدليل الأوّل</w:t>
            </w:r>
            <w:r>
              <w:rPr>
                <w:rStyle w:val="IndexLink"/>
                <w:rtl w:val="true"/>
              </w:rPr>
              <w:tab/>
            </w:r>
            <w:r>
              <w:rPr>
                <w:rStyle w:val="IndexLink"/>
              </w:rPr>
              <w:t>105</w:t>
            </w:r>
          </w:hyperlink>
        </w:p>
        <w:p>
          <w:pPr>
            <w:pStyle w:val="Contents4"/>
            <w:tabs>
              <w:tab w:val="clear" w:pos="8176"/>
              <w:tab w:val="right" w:pos="9026" w:leader="dot"/>
            </w:tabs>
            <w:rPr/>
          </w:pPr>
          <w:hyperlink w:anchor="__RefHeading___Toc3266210_2870459653">
            <w:r>
              <w:rPr>
                <w:webHidden/>
                <w:rStyle w:val="IndexLink"/>
                <w:rtl w:val="true"/>
              </w:rPr>
              <w:t>الدليل الثاني</w:t>
            </w:r>
            <w:r>
              <w:rPr>
                <w:rStyle w:val="IndexLink"/>
                <w:rtl w:val="true"/>
              </w:rPr>
              <w:t xml:space="preserve">: </w:t>
            </w:r>
            <w:r>
              <w:rPr>
                <w:rStyle w:val="IndexLink"/>
                <w:rtl w:val="true"/>
              </w:rPr>
              <w:t>الروايات</w:t>
            </w:r>
            <w:r>
              <w:rPr>
                <w:rStyle w:val="IndexLink"/>
                <w:rtl w:val="true"/>
              </w:rPr>
              <w:tab/>
            </w:r>
            <w:r>
              <w:rPr>
                <w:rStyle w:val="IndexLink"/>
              </w:rPr>
              <w:t>107</w:t>
            </w:r>
          </w:hyperlink>
        </w:p>
        <w:p>
          <w:pPr>
            <w:pStyle w:val="Contents5"/>
            <w:tabs>
              <w:tab w:val="clear" w:pos="7892"/>
              <w:tab w:val="right" w:pos="9026" w:leader="dot"/>
            </w:tabs>
            <w:rPr/>
          </w:pPr>
          <w:hyperlink w:anchor="__RefHeading___Toc3266212_2870459653">
            <w:r>
              <w:rPr>
                <w:webHidden/>
                <w:rStyle w:val="IndexLink"/>
                <w:rtl w:val="true"/>
              </w:rPr>
              <w:t>اشارة</w:t>
            </w:r>
            <w:r>
              <w:rPr>
                <w:rStyle w:val="IndexLink"/>
                <w:rtl w:val="true"/>
              </w:rPr>
              <w:tab/>
            </w:r>
            <w:r>
              <w:rPr>
                <w:rStyle w:val="IndexLink"/>
              </w:rPr>
              <w:t>107</w:t>
            </w:r>
          </w:hyperlink>
        </w:p>
        <w:p>
          <w:pPr>
            <w:pStyle w:val="Contents5"/>
            <w:tabs>
              <w:tab w:val="clear" w:pos="7892"/>
              <w:tab w:val="right" w:pos="9026" w:leader="dot"/>
            </w:tabs>
            <w:rPr/>
          </w:pPr>
          <w:hyperlink w:anchor="__RefHeading___Toc3266214_2870459653">
            <w:r>
              <w:rPr>
                <w:webHidden/>
                <w:rStyle w:val="IndexLink"/>
                <w:rtl w:val="true"/>
              </w:rPr>
              <w:t>الطائفة الأولى</w:t>
            </w:r>
            <w:r>
              <w:rPr>
                <w:rStyle w:val="IndexLink"/>
                <w:rtl w:val="true"/>
              </w:rPr>
              <w:t xml:space="preserve">: </w:t>
            </w:r>
            <w:r>
              <w:rPr>
                <w:rStyle w:val="IndexLink"/>
                <w:rtl w:val="true"/>
              </w:rPr>
              <w:t>ما دلّ صريحاً على اشتراط إذن الزوج بالخروج</w:t>
            </w:r>
            <w:r>
              <w:rPr>
                <w:rStyle w:val="IndexLink"/>
                <w:rtl w:val="true"/>
              </w:rPr>
              <w:tab/>
            </w:r>
            <w:r>
              <w:rPr>
                <w:rStyle w:val="IndexLink"/>
              </w:rPr>
              <w:t>107</w:t>
            </w:r>
          </w:hyperlink>
        </w:p>
        <w:p>
          <w:pPr>
            <w:pStyle w:val="Contents6"/>
            <w:tabs>
              <w:tab w:val="clear" w:pos="7609"/>
              <w:tab w:val="right" w:pos="9026" w:leader="dot"/>
            </w:tabs>
            <w:rPr/>
          </w:pPr>
          <w:hyperlink w:anchor="__RefHeading___Toc3266216_2870459653">
            <w:r>
              <w:rPr>
                <w:webHidden/>
                <w:rStyle w:val="IndexLink"/>
                <w:rtl w:val="true"/>
              </w:rPr>
              <w:t>الرواية الأولى</w:t>
            </w:r>
            <w:r>
              <w:rPr>
                <w:rStyle w:val="IndexLink"/>
                <w:rtl w:val="true"/>
              </w:rPr>
              <w:tab/>
            </w:r>
            <w:r>
              <w:rPr>
                <w:rStyle w:val="IndexLink"/>
              </w:rPr>
              <w:t>107</w:t>
            </w:r>
          </w:hyperlink>
        </w:p>
        <w:p>
          <w:pPr>
            <w:pStyle w:val="Contents6"/>
            <w:tabs>
              <w:tab w:val="clear" w:pos="7609"/>
              <w:tab w:val="right" w:pos="9026" w:leader="dot"/>
            </w:tabs>
            <w:rPr/>
          </w:pPr>
          <w:hyperlink w:anchor="__RefHeading___Toc3266218_2870459653">
            <w:r>
              <w:rPr>
                <w:webHidden/>
                <w:rStyle w:val="IndexLink"/>
                <w:rtl w:val="true"/>
              </w:rPr>
              <w:t>الرواية الثانية</w:t>
            </w:r>
            <w:r>
              <w:rPr>
                <w:rStyle w:val="IndexLink"/>
                <w:rtl w:val="true"/>
              </w:rPr>
              <w:tab/>
            </w:r>
            <w:r>
              <w:rPr>
                <w:rStyle w:val="IndexLink"/>
              </w:rPr>
              <w:t>114</w:t>
            </w:r>
          </w:hyperlink>
        </w:p>
        <w:p>
          <w:pPr>
            <w:pStyle w:val="Contents6"/>
            <w:tabs>
              <w:tab w:val="clear" w:pos="7609"/>
              <w:tab w:val="right" w:pos="9026" w:leader="dot"/>
            </w:tabs>
            <w:rPr/>
          </w:pPr>
          <w:hyperlink w:anchor="__RefHeading___Toc3266220_2870459653">
            <w:r>
              <w:rPr>
                <w:webHidden/>
                <w:rStyle w:val="IndexLink"/>
                <w:rtl w:val="true"/>
              </w:rPr>
              <w:t>اشارة</w:t>
            </w:r>
            <w:r>
              <w:rPr>
                <w:rStyle w:val="IndexLink"/>
                <w:rtl w:val="true"/>
              </w:rPr>
              <w:tab/>
            </w:r>
            <w:r>
              <w:rPr>
                <w:rStyle w:val="IndexLink"/>
              </w:rPr>
              <w:t>114</w:t>
            </w:r>
          </w:hyperlink>
        </w:p>
        <w:p>
          <w:pPr>
            <w:pStyle w:val="Contents6"/>
            <w:tabs>
              <w:tab w:val="clear" w:pos="7609"/>
              <w:tab w:val="right" w:pos="9026" w:leader="dot"/>
            </w:tabs>
            <w:rPr/>
          </w:pPr>
          <w:hyperlink w:anchor="__RefHeading___Toc3266222_2870459653">
            <w:r>
              <w:rPr>
                <w:webHidden/>
                <w:rStyle w:val="IndexLink"/>
                <w:rtl w:val="true"/>
              </w:rPr>
              <w:t>المقام الأوّل</w:t>
            </w:r>
            <w:r>
              <w:rPr>
                <w:rStyle w:val="IndexLink"/>
                <w:rtl w:val="true"/>
              </w:rPr>
              <w:t xml:space="preserve">: </w:t>
            </w:r>
            <w:r>
              <w:rPr>
                <w:rStyle w:val="IndexLink"/>
                <w:rtl w:val="true"/>
              </w:rPr>
              <w:t>في سند الرواية</w:t>
            </w:r>
            <w:r>
              <w:rPr>
                <w:rStyle w:val="IndexLink"/>
                <w:rtl w:val="true"/>
              </w:rPr>
              <w:tab/>
            </w:r>
            <w:r>
              <w:rPr>
                <w:rStyle w:val="IndexLink"/>
              </w:rPr>
              <w:t>115</w:t>
            </w:r>
          </w:hyperlink>
        </w:p>
        <w:p>
          <w:pPr>
            <w:pStyle w:val="Contents6"/>
            <w:tabs>
              <w:tab w:val="clear" w:pos="7609"/>
              <w:tab w:val="right" w:pos="9026" w:leader="dot"/>
            </w:tabs>
            <w:rPr/>
          </w:pPr>
          <w:hyperlink w:anchor="__RefHeading___Toc3266224_2870459653">
            <w:r>
              <w:rPr>
                <w:webHidden/>
                <w:rStyle w:val="IndexLink"/>
                <w:rtl w:val="true"/>
              </w:rPr>
              <w:t>المقام الآخر</w:t>
            </w:r>
            <w:r>
              <w:rPr>
                <w:rStyle w:val="IndexLink"/>
                <w:rtl w:val="true"/>
              </w:rPr>
              <w:t xml:space="preserve">: </w:t>
            </w:r>
            <w:r>
              <w:rPr>
                <w:rStyle w:val="IndexLink"/>
                <w:rtl w:val="true"/>
              </w:rPr>
              <w:t>دلالة الرواية</w:t>
            </w:r>
            <w:r>
              <w:rPr>
                <w:rStyle w:val="IndexLink"/>
                <w:rtl w:val="true"/>
              </w:rPr>
              <w:tab/>
            </w:r>
            <w:r>
              <w:rPr>
                <w:rStyle w:val="IndexLink"/>
              </w:rPr>
              <w:t>117</w:t>
            </w:r>
          </w:hyperlink>
        </w:p>
        <w:p>
          <w:pPr>
            <w:pStyle w:val="Contents6"/>
            <w:tabs>
              <w:tab w:val="clear" w:pos="7609"/>
              <w:tab w:val="right" w:pos="9026" w:leader="dot"/>
            </w:tabs>
            <w:rPr/>
          </w:pPr>
          <w:hyperlink w:anchor="__RefHeading___Toc3266226_2870459653">
            <w:r>
              <w:rPr>
                <w:webHidden/>
                <w:rStyle w:val="IndexLink"/>
                <w:rtl w:val="true"/>
              </w:rPr>
              <w:t>الرواية الثالثة</w:t>
            </w:r>
            <w:r>
              <w:rPr>
                <w:rStyle w:val="IndexLink"/>
                <w:rtl w:val="true"/>
              </w:rPr>
              <w:tab/>
            </w:r>
            <w:r>
              <w:rPr>
                <w:rStyle w:val="IndexLink"/>
              </w:rPr>
              <w:t>118</w:t>
            </w:r>
          </w:hyperlink>
        </w:p>
        <w:p>
          <w:pPr>
            <w:pStyle w:val="Contents6"/>
            <w:tabs>
              <w:tab w:val="clear" w:pos="7609"/>
              <w:tab w:val="right" w:pos="9026" w:leader="dot"/>
            </w:tabs>
            <w:rPr/>
          </w:pPr>
          <w:hyperlink w:anchor="__RefHeading___Toc3266228_2870459653">
            <w:r>
              <w:rPr>
                <w:webHidden/>
                <w:rStyle w:val="IndexLink"/>
                <w:rtl w:val="true"/>
              </w:rPr>
              <w:t>اشارة</w:t>
            </w:r>
            <w:r>
              <w:rPr>
                <w:rStyle w:val="IndexLink"/>
                <w:rtl w:val="true"/>
              </w:rPr>
              <w:tab/>
            </w:r>
            <w:r>
              <w:rPr>
                <w:rStyle w:val="IndexLink"/>
              </w:rPr>
              <w:t>118</w:t>
            </w:r>
          </w:hyperlink>
        </w:p>
        <w:p>
          <w:pPr>
            <w:pStyle w:val="Contents6"/>
            <w:tabs>
              <w:tab w:val="clear" w:pos="7609"/>
              <w:tab w:val="right" w:pos="9026" w:leader="dot"/>
            </w:tabs>
            <w:rPr/>
          </w:pPr>
          <w:hyperlink w:anchor="__RefHeading___Toc3266230_2870459653">
            <w:r>
              <w:rPr>
                <w:webHidden/>
                <w:rStyle w:val="IndexLink"/>
                <w:rtl w:val="true"/>
              </w:rPr>
              <w:t>المقام الأوّل</w:t>
            </w:r>
            <w:r>
              <w:rPr>
                <w:rStyle w:val="IndexLink"/>
                <w:rtl w:val="true"/>
              </w:rPr>
              <w:t xml:space="preserve">: </w:t>
            </w:r>
            <w:r>
              <w:rPr>
                <w:rStyle w:val="IndexLink"/>
                <w:rtl w:val="true"/>
              </w:rPr>
              <w:t>البحث السندی</w:t>
            </w:r>
            <w:r>
              <w:rPr>
                <w:rStyle w:val="IndexLink"/>
                <w:rtl w:val="true"/>
              </w:rPr>
              <w:tab/>
            </w:r>
            <w:r>
              <w:rPr>
                <w:rStyle w:val="IndexLink"/>
              </w:rPr>
              <w:t>118</w:t>
            </w:r>
          </w:hyperlink>
        </w:p>
        <w:p>
          <w:pPr>
            <w:pStyle w:val="Contents6"/>
            <w:tabs>
              <w:tab w:val="clear" w:pos="7609"/>
              <w:tab w:val="right" w:pos="9026" w:leader="dot"/>
            </w:tabs>
            <w:rPr/>
          </w:pPr>
          <w:hyperlink w:anchor="__RefHeading___Toc3266232_2870459653">
            <w:r>
              <w:rPr>
                <w:webHidden/>
                <w:rStyle w:val="IndexLink"/>
                <w:rtl w:val="true"/>
              </w:rPr>
              <w:t>المقام الآخر</w:t>
            </w:r>
            <w:r>
              <w:rPr>
                <w:rStyle w:val="IndexLink"/>
                <w:rtl w:val="true"/>
              </w:rPr>
              <w:t xml:space="preserve">: </w:t>
            </w:r>
            <w:r>
              <w:rPr>
                <w:rStyle w:val="IndexLink"/>
                <w:rtl w:val="true"/>
              </w:rPr>
              <w:t>البحث الدلالي</w:t>
            </w:r>
            <w:r>
              <w:rPr>
                <w:rStyle w:val="IndexLink"/>
                <w:rtl w:val="true"/>
              </w:rPr>
              <w:tab/>
            </w:r>
            <w:r>
              <w:rPr>
                <w:rStyle w:val="IndexLink"/>
              </w:rPr>
              <w:t>125</w:t>
            </w:r>
          </w:hyperlink>
        </w:p>
        <w:p>
          <w:pPr>
            <w:pStyle w:val="Contents6"/>
            <w:tabs>
              <w:tab w:val="clear" w:pos="7609"/>
              <w:tab w:val="right" w:pos="9026" w:leader="dot"/>
            </w:tabs>
            <w:rPr/>
          </w:pPr>
          <w:hyperlink w:anchor="__RefHeading___Toc3266234_2870459653">
            <w:r>
              <w:rPr>
                <w:webHidden/>
                <w:rStyle w:val="IndexLink"/>
                <w:rtl w:val="true"/>
              </w:rPr>
              <w:t>الروایة الرابعة</w:t>
            </w:r>
            <w:r>
              <w:rPr>
                <w:rStyle w:val="IndexLink"/>
                <w:rtl w:val="true"/>
              </w:rPr>
              <w:tab/>
            </w:r>
            <w:r>
              <w:rPr>
                <w:rStyle w:val="IndexLink"/>
              </w:rPr>
              <w:t>125</w:t>
            </w:r>
          </w:hyperlink>
        </w:p>
        <w:p>
          <w:pPr>
            <w:pStyle w:val="Contents6"/>
            <w:tabs>
              <w:tab w:val="clear" w:pos="7609"/>
              <w:tab w:val="right" w:pos="9026" w:leader="dot"/>
            </w:tabs>
            <w:rPr/>
          </w:pPr>
          <w:hyperlink w:anchor="__RefHeading___Toc3266236_2870459653">
            <w:r>
              <w:rPr>
                <w:webHidden/>
                <w:rStyle w:val="IndexLink"/>
                <w:rtl w:val="true"/>
              </w:rPr>
              <w:t>الرواية الخامسة</w:t>
            </w:r>
            <w:r>
              <w:rPr>
                <w:rStyle w:val="IndexLink"/>
                <w:rtl w:val="true"/>
              </w:rPr>
              <w:tab/>
            </w:r>
            <w:r>
              <w:rPr>
                <w:rStyle w:val="IndexLink"/>
              </w:rPr>
              <w:t>132</w:t>
            </w:r>
          </w:hyperlink>
        </w:p>
        <w:p>
          <w:pPr>
            <w:pStyle w:val="Contents6"/>
            <w:tabs>
              <w:tab w:val="clear" w:pos="7609"/>
              <w:tab w:val="right" w:pos="9026" w:leader="dot"/>
            </w:tabs>
            <w:rPr/>
          </w:pPr>
          <w:hyperlink w:anchor="__RefHeading___Toc3266238_2870459653">
            <w:r>
              <w:rPr>
                <w:webHidden/>
                <w:rStyle w:val="IndexLink"/>
                <w:rtl w:val="true"/>
              </w:rPr>
              <w:t>الرواية السادسة</w:t>
            </w:r>
            <w:r>
              <w:rPr>
                <w:rStyle w:val="IndexLink"/>
                <w:rtl w:val="true"/>
              </w:rPr>
              <w:tab/>
            </w:r>
            <w:r>
              <w:rPr>
                <w:rStyle w:val="IndexLink"/>
              </w:rPr>
              <w:t>133</w:t>
            </w:r>
          </w:hyperlink>
        </w:p>
        <w:p>
          <w:pPr>
            <w:pStyle w:val="Contents6"/>
            <w:tabs>
              <w:tab w:val="clear" w:pos="7609"/>
              <w:tab w:val="right" w:pos="9026" w:leader="dot"/>
            </w:tabs>
            <w:rPr/>
          </w:pPr>
          <w:hyperlink w:anchor="__RefHeading___Toc3266240_2870459653">
            <w:r>
              <w:rPr>
                <w:webHidden/>
                <w:rStyle w:val="IndexLink"/>
                <w:rtl w:val="true"/>
              </w:rPr>
              <w:t>الرواية السابعة</w:t>
            </w:r>
            <w:r>
              <w:rPr>
                <w:rStyle w:val="IndexLink"/>
                <w:rtl w:val="true"/>
              </w:rPr>
              <w:tab/>
            </w:r>
            <w:r>
              <w:rPr>
                <w:rStyle w:val="IndexLink"/>
              </w:rPr>
              <w:t>133</w:t>
            </w:r>
          </w:hyperlink>
        </w:p>
        <w:p>
          <w:pPr>
            <w:pStyle w:val="Contents6"/>
            <w:tabs>
              <w:tab w:val="clear" w:pos="7609"/>
              <w:tab w:val="right" w:pos="9026" w:leader="dot"/>
            </w:tabs>
            <w:rPr/>
          </w:pPr>
          <w:hyperlink w:anchor="__RefHeading___Toc3266242_2870459653">
            <w:r>
              <w:rPr>
                <w:webHidden/>
                <w:rStyle w:val="IndexLink"/>
                <w:rtl w:val="true"/>
              </w:rPr>
              <w:t>الرواية الثامنة</w:t>
            </w:r>
            <w:r>
              <w:rPr>
                <w:rStyle w:val="IndexLink"/>
                <w:rtl w:val="true"/>
              </w:rPr>
              <w:tab/>
            </w:r>
            <w:r>
              <w:rPr>
                <w:rStyle w:val="IndexLink"/>
              </w:rPr>
              <w:t>134</w:t>
            </w:r>
          </w:hyperlink>
        </w:p>
        <w:p>
          <w:pPr>
            <w:pStyle w:val="Contents6"/>
            <w:tabs>
              <w:tab w:val="clear" w:pos="7609"/>
              <w:tab w:val="right" w:pos="9026" w:leader="dot"/>
            </w:tabs>
            <w:rPr/>
          </w:pPr>
          <w:hyperlink w:anchor="__RefHeading___Toc3266244_2870459653">
            <w:r>
              <w:rPr>
                <w:webHidden/>
                <w:rStyle w:val="IndexLink"/>
                <w:rtl w:val="true"/>
              </w:rPr>
              <w:t>الرواية التاسعة</w:t>
            </w:r>
            <w:r>
              <w:rPr>
                <w:rStyle w:val="IndexLink"/>
                <w:rtl w:val="true"/>
              </w:rPr>
              <w:tab/>
            </w:r>
            <w:r>
              <w:rPr>
                <w:rStyle w:val="IndexLink"/>
              </w:rPr>
              <w:t>134</w:t>
            </w:r>
          </w:hyperlink>
        </w:p>
        <w:p>
          <w:pPr>
            <w:pStyle w:val="Contents6"/>
            <w:tabs>
              <w:tab w:val="clear" w:pos="7609"/>
              <w:tab w:val="right" w:pos="9026" w:leader="dot"/>
            </w:tabs>
            <w:rPr/>
          </w:pPr>
          <w:hyperlink w:anchor="__RefHeading___Toc3266246_2870459653">
            <w:r>
              <w:rPr>
                <w:webHidden/>
                <w:rStyle w:val="IndexLink"/>
                <w:rtl w:val="true"/>
              </w:rPr>
              <w:t>الرواية العاشرة</w:t>
            </w:r>
            <w:r>
              <w:rPr>
                <w:rStyle w:val="IndexLink"/>
                <w:rtl w:val="true"/>
              </w:rPr>
              <w:tab/>
            </w:r>
            <w:r>
              <w:rPr>
                <w:rStyle w:val="IndexLink"/>
              </w:rPr>
              <w:t>138</w:t>
            </w:r>
          </w:hyperlink>
        </w:p>
        <w:p>
          <w:pPr>
            <w:pStyle w:val="Contents5"/>
            <w:tabs>
              <w:tab w:val="clear" w:pos="7892"/>
              <w:tab w:val="right" w:pos="9026" w:leader="dot"/>
            </w:tabs>
            <w:rPr/>
          </w:pPr>
          <w:hyperlink w:anchor="__RefHeading___Toc3266248_2870459653">
            <w:r>
              <w:rPr>
                <w:webHidden/>
                <w:rStyle w:val="IndexLink"/>
                <w:rtl w:val="true"/>
              </w:rPr>
              <w:t>الطائفة الثانية</w:t>
            </w:r>
            <w:r>
              <w:rPr>
                <w:rStyle w:val="IndexLink"/>
                <w:rtl w:val="true"/>
              </w:rPr>
              <w:t xml:space="preserve">: </w:t>
            </w:r>
            <w:r>
              <w:rPr>
                <w:rStyle w:val="IndexLink"/>
                <w:rtl w:val="true"/>
              </w:rPr>
              <w:t>روايات حجّ المرأة</w:t>
            </w:r>
            <w:r>
              <w:rPr>
                <w:rStyle w:val="IndexLink"/>
                <w:rtl w:val="true"/>
              </w:rPr>
              <w:tab/>
            </w:r>
            <w:r>
              <w:rPr>
                <w:rStyle w:val="IndexLink"/>
              </w:rPr>
              <w:t>138</w:t>
            </w:r>
          </w:hyperlink>
        </w:p>
        <w:p>
          <w:pPr>
            <w:pStyle w:val="Contents6"/>
            <w:tabs>
              <w:tab w:val="clear" w:pos="7609"/>
              <w:tab w:val="right" w:pos="9026" w:leader="dot"/>
            </w:tabs>
            <w:rPr/>
          </w:pPr>
          <w:hyperlink w:anchor="__RefHeading___Toc3266250_2870459653">
            <w:r>
              <w:rPr>
                <w:webHidden/>
                <w:rStyle w:val="IndexLink"/>
                <w:rtl w:val="true"/>
              </w:rPr>
              <w:t>اشارة</w:t>
            </w:r>
            <w:r>
              <w:rPr>
                <w:rStyle w:val="IndexLink"/>
                <w:rtl w:val="true"/>
              </w:rPr>
              <w:tab/>
            </w:r>
            <w:r>
              <w:rPr>
                <w:rStyle w:val="IndexLink"/>
              </w:rPr>
              <w:t>138</w:t>
            </w:r>
          </w:hyperlink>
        </w:p>
        <w:p>
          <w:pPr>
            <w:pStyle w:val="Contents6"/>
            <w:tabs>
              <w:tab w:val="clear" w:pos="7609"/>
              <w:tab w:val="right" w:pos="9026" w:leader="dot"/>
            </w:tabs>
            <w:rPr/>
          </w:pPr>
          <w:hyperlink w:anchor="__RefHeading___Toc3266252_2870459653">
            <w:r>
              <w:rPr>
                <w:webHidden/>
                <w:rStyle w:val="IndexLink"/>
                <w:rtl w:val="true"/>
              </w:rPr>
              <w:t>الرواية الأولى</w:t>
            </w:r>
            <w:r>
              <w:rPr>
                <w:rStyle w:val="IndexLink"/>
                <w:rtl w:val="true"/>
              </w:rPr>
              <w:tab/>
            </w:r>
            <w:r>
              <w:rPr>
                <w:rStyle w:val="IndexLink"/>
              </w:rPr>
              <w:t>138</w:t>
            </w:r>
          </w:hyperlink>
        </w:p>
        <w:p>
          <w:pPr>
            <w:pStyle w:val="Contents6"/>
            <w:tabs>
              <w:tab w:val="clear" w:pos="7609"/>
              <w:tab w:val="right" w:pos="9026" w:leader="dot"/>
            </w:tabs>
            <w:rPr/>
          </w:pPr>
          <w:hyperlink w:anchor="__RefHeading___Toc3266254_2870459653">
            <w:r>
              <w:rPr>
                <w:webHidden/>
                <w:rStyle w:val="IndexLink"/>
                <w:rtl w:val="true"/>
              </w:rPr>
              <w:t>الرواية الثانية</w:t>
            </w:r>
            <w:r>
              <w:rPr>
                <w:rStyle w:val="IndexLink"/>
                <w:rtl w:val="true"/>
              </w:rPr>
              <w:tab/>
            </w:r>
            <w:r>
              <w:rPr>
                <w:rStyle w:val="IndexLink"/>
              </w:rPr>
              <w:t>139</w:t>
            </w:r>
          </w:hyperlink>
        </w:p>
        <w:p>
          <w:pPr>
            <w:pStyle w:val="Contents6"/>
            <w:tabs>
              <w:tab w:val="clear" w:pos="7609"/>
              <w:tab w:val="right" w:pos="9026" w:leader="dot"/>
            </w:tabs>
            <w:rPr/>
          </w:pPr>
          <w:hyperlink w:anchor="__RefHeading___Toc3266256_2870459653">
            <w:r>
              <w:rPr>
                <w:webHidden/>
                <w:rStyle w:val="IndexLink"/>
                <w:rtl w:val="true"/>
              </w:rPr>
              <w:t>الرواية الثالثة</w:t>
            </w:r>
            <w:r>
              <w:rPr>
                <w:rStyle w:val="IndexLink"/>
                <w:rtl w:val="true"/>
              </w:rPr>
              <w:tab/>
            </w:r>
            <w:r>
              <w:rPr>
                <w:rStyle w:val="IndexLink"/>
              </w:rPr>
              <w:t>139</w:t>
            </w:r>
          </w:hyperlink>
        </w:p>
        <w:p>
          <w:pPr>
            <w:pStyle w:val="Contents5"/>
            <w:tabs>
              <w:tab w:val="clear" w:pos="7892"/>
              <w:tab w:val="right" w:pos="9026" w:leader="dot"/>
            </w:tabs>
            <w:rPr/>
          </w:pPr>
          <w:hyperlink w:anchor="__RefHeading___Toc3266258_2870459653">
            <w:r>
              <w:rPr>
                <w:webHidden/>
                <w:rStyle w:val="IndexLink"/>
                <w:rtl w:val="true"/>
              </w:rPr>
              <w:t>الطائفة الثالثة</w:t>
            </w:r>
            <w:r>
              <w:rPr>
                <w:rStyle w:val="IndexLink"/>
                <w:rtl w:val="true"/>
              </w:rPr>
              <w:t xml:space="preserve">: </w:t>
            </w:r>
            <w:r>
              <w:rPr>
                <w:rStyle w:val="IndexLink"/>
                <w:rtl w:val="true"/>
              </w:rPr>
              <w:t>روايات حبس وستر المرأة</w:t>
            </w:r>
            <w:r>
              <w:rPr>
                <w:rStyle w:val="IndexLink"/>
                <w:rtl w:val="true"/>
              </w:rPr>
              <w:tab/>
            </w:r>
            <w:r>
              <w:rPr>
                <w:rStyle w:val="IndexLink"/>
              </w:rPr>
              <w:t>140</w:t>
            </w:r>
          </w:hyperlink>
        </w:p>
        <w:p>
          <w:pPr>
            <w:pStyle w:val="Contents3"/>
            <w:tabs>
              <w:tab w:val="clear" w:pos="8459"/>
              <w:tab w:val="right" w:pos="9026" w:leader="dot"/>
            </w:tabs>
            <w:rPr/>
          </w:pPr>
          <w:hyperlink w:anchor="__RefHeading___Toc3266260_2870459653">
            <w:r>
              <w:rPr>
                <w:webHidden/>
                <w:rStyle w:val="IndexLink"/>
                <w:rtl w:val="true"/>
              </w:rPr>
              <w:t>محصّل البحث</w:t>
            </w:r>
            <w:r>
              <w:rPr>
                <w:rStyle w:val="IndexLink"/>
                <w:rtl w:val="true"/>
              </w:rPr>
              <w:tab/>
            </w:r>
            <w:r>
              <w:rPr>
                <w:rStyle w:val="IndexLink"/>
              </w:rPr>
              <w:t>143</w:t>
            </w:r>
          </w:hyperlink>
        </w:p>
        <w:p>
          <w:pPr>
            <w:pStyle w:val="Contents3"/>
            <w:tabs>
              <w:tab w:val="clear" w:pos="8459"/>
              <w:tab w:val="right" w:pos="9026" w:leader="dot"/>
            </w:tabs>
            <w:rPr/>
          </w:pPr>
          <w:hyperlink w:anchor="__RefHeading___Toc3266262_2870459653">
            <w:r>
              <w:rPr>
                <w:webHidden/>
                <w:rStyle w:val="IndexLink"/>
                <w:rtl w:val="true"/>
              </w:rPr>
              <w:t>مصادر البحث</w:t>
            </w:r>
            <w:r>
              <w:rPr>
                <w:rStyle w:val="IndexLink"/>
                <w:rtl w:val="true"/>
              </w:rPr>
              <w:tab/>
            </w:r>
            <w:r>
              <w:rPr>
                <w:rStyle w:val="IndexLink"/>
              </w:rPr>
              <w:t>145</w:t>
            </w:r>
          </w:hyperlink>
        </w:p>
        <w:p>
          <w:pPr>
            <w:pStyle w:val="Contents2"/>
            <w:tabs>
              <w:tab w:val="clear" w:pos="8743"/>
              <w:tab w:val="right" w:pos="9026" w:leader="dot"/>
            </w:tabs>
            <w:rPr/>
          </w:pPr>
          <w:hyperlink w:anchor="__RefHeading___Toc3266264_2870459653">
            <w:r>
              <w:rPr>
                <w:webHidden/>
                <w:rStyle w:val="IndexLink"/>
                <w:rtl w:val="true"/>
              </w:rPr>
              <w:t xml:space="preserve">السيرة العقلائية </w:t>
            </w:r>
            <w:r>
              <w:rPr>
                <w:rStyle w:val="IndexLink"/>
                <w:rtl w:val="true"/>
              </w:rPr>
              <w:t>(</w:t>
            </w:r>
            <w:r>
              <w:rPr>
                <w:rStyle w:val="IndexLink"/>
                <w:rtl w:val="true"/>
              </w:rPr>
              <w:t>الحلقة الأولى</w:t>
            </w:r>
            <w:r>
              <w:rPr>
                <w:rStyle w:val="IndexLink"/>
                <w:rtl w:val="true"/>
              </w:rPr>
              <w:t xml:space="preserve">) - </w:t>
            </w:r>
            <w:r>
              <w:rPr>
                <w:rStyle w:val="IndexLink"/>
                <w:rtl w:val="true"/>
              </w:rPr>
              <w:t xml:space="preserve">الشيخ نجم الترابي </w:t>
            </w:r>
            <w:r>
              <w:rPr>
                <w:rStyle w:val="IndexLink"/>
                <w:rtl w:val="true"/>
              </w:rPr>
              <w:t>(</w:t>
            </w:r>
            <w:r>
              <w:rPr>
                <w:rStyle w:val="IndexLink"/>
                <w:rtl w:val="true"/>
              </w:rPr>
              <w:t>دام عزه</w:t>
            </w:r>
            <w:r>
              <w:rPr>
                <w:rStyle w:val="IndexLink"/>
                <w:rtl w:val="true"/>
              </w:rPr>
              <w:t>)</w:t>
              <w:tab/>
            </w:r>
            <w:r>
              <w:rPr>
                <w:rStyle w:val="IndexLink"/>
              </w:rPr>
              <w:t>155</w:t>
            </w:r>
          </w:hyperlink>
        </w:p>
        <w:p>
          <w:pPr>
            <w:pStyle w:val="Contents3"/>
            <w:tabs>
              <w:tab w:val="clear" w:pos="8459"/>
              <w:tab w:val="right" w:pos="9026" w:leader="dot"/>
            </w:tabs>
            <w:rPr/>
          </w:pPr>
          <w:hyperlink w:anchor="__RefHeading___Toc3266266_2870459653">
            <w:r>
              <w:rPr>
                <w:webHidden/>
                <w:rStyle w:val="IndexLink"/>
                <w:rtl w:val="true"/>
              </w:rPr>
              <w:t>اشارة</w:t>
            </w:r>
            <w:r>
              <w:rPr>
                <w:rStyle w:val="IndexLink"/>
                <w:rtl w:val="true"/>
              </w:rPr>
              <w:tab/>
            </w:r>
            <w:r>
              <w:rPr>
                <w:rStyle w:val="IndexLink"/>
              </w:rPr>
              <w:t>155</w:t>
            </w:r>
          </w:hyperlink>
        </w:p>
        <w:p>
          <w:pPr>
            <w:pStyle w:val="Contents3"/>
            <w:tabs>
              <w:tab w:val="clear" w:pos="8459"/>
              <w:tab w:val="right" w:pos="9026" w:leader="dot"/>
            </w:tabs>
            <w:rPr/>
          </w:pPr>
          <w:hyperlink w:anchor="__RefHeading___Toc3266268_2870459653">
            <w:r>
              <w:rPr>
                <w:webHidden/>
                <w:rStyle w:val="IndexLink"/>
                <w:rtl w:val="true"/>
              </w:rPr>
              <w:t>مقدمة</w:t>
            </w:r>
            <w:r>
              <w:rPr>
                <w:rStyle w:val="IndexLink"/>
                <w:rtl w:val="true"/>
              </w:rPr>
              <w:t xml:space="preserve">: </w:t>
            </w:r>
            <w:r>
              <w:rPr>
                <w:rStyle w:val="IndexLink"/>
                <w:rtl w:val="true"/>
              </w:rPr>
              <w:t xml:space="preserve">تحديد مصطلح </w:t>
            </w:r>
            <w:r>
              <w:rPr>
                <w:rStyle w:val="IndexLink"/>
                <w:rtl w:val="true"/>
              </w:rPr>
              <w:t>(</w:t>
            </w:r>
            <w:r>
              <w:rPr>
                <w:rStyle w:val="IndexLink"/>
                <w:rtl w:val="true"/>
              </w:rPr>
              <w:t>السيرة العقلائية</w:t>
            </w:r>
            <w:r>
              <w:rPr>
                <w:rStyle w:val="IndexLink"/>
                <w:rtl w:val="true"/>
              </w:rPr>
              <w:t>)</w:t>
              <w:tab/>
            </w:r>
            <w:r>
              <w:rPr>
                <w:rStyle w:val="IndexLink"/>
              </w:rPr>
              <w:t>159</w:t>
            </w:r>
          </w:hyperlink>
        </w:p>
        <w:p>
          <w:pPr>
            <w:pStyle w:val="Contents4"/>
            <w:tabs>
              <w:tab w:val="clear" w:pos="8176"/>
              <w:tab w:val="right" w:pos="9026" w:leader="dot"/>
            </w:tabs>
            <w:rPr/>
          </w:pPr>
          <w:hyperlink w:anchor="__RefHeading___Toc3266270_2870459653">
            <w:r>
              <w:rPr>
                <w:webHidden/>
                <w:rStyle w:val="IndexLink"/>
                <w:rtl w:val="true"/>
              </w:rPr>
              <w:t>اشارة</w:t>
            </w:r>
            <w:r>
              <w:rPr>
                <w:rStyle w:val="IndexLink"/>
                <w:rtl w:val="true"/>
              </w:rPr>
              <w:tab/>
            </w:r>
            <w:r>
              <w:rPr>
                <w:rStyle w:val="IndexLink"/>
              </w:rPr>
              <w:t>159</w:t>
            </w:r>
          </w:hyperlink>
        </w:p>
        <w:p>
          <w:pPr>
            <w:pStyle w:val="Contents4"/>
            <w:tabs>
              <w:tab w:val="clear" w:pos="8176"/>
              <w:tab w:val="right" w:pos="9026" w:leader="dot"/>
            </w:tabs>
            <w:rPr/>
          </w:pPr>
          <w:hyperlink w:anchor="__RefHeading___Toc3266272_2870459653">
            <w:r>
              <w:rPr>
                <w:webHidden/>
                <w:rStyle w:val="IndexLink"/>
                <w:rtl w:val="true"/>
              </w:rPr>
              <w:t>القيد الأول</w:t>
            </w:r>
            <w:r>
              <w:rPr>
                <w:rStyle w:val="IndexLink"/>
                <w:rtl w:val="true"/>
              </w:rPr>
              <w:t xml:space="preserve">: </w:t>
            </w:r>
            <w:r>
              <w:rPr>
                <w:rStyle w:val="IndexLink"/>
                <w:rtl w:val="true"/>
              </w:rPr>
              <w:t>أن يكون السلوك من جميع العقلاء</w:t>
            </w:r>
            <w:r>
              <w:rPr>
                <w:rStyle w:val="IndexLink"/>
                <w:rtl w:val="true"/>
              </w:rPr>
              <w:tab/>
            </w:r>
            <w:r>
              <w:rPr>
                <w:rStyle w:val="IndexLink"/>
              </w:rPr>
              <w:t>159</w:t>
            </w:r>
          </w:hyperlink>
        </w:p>
        <w:p>
          <w:pPr>
            <w:pStyle w:val="Contents4"/>
            <w:tabs>
              <w:tab w:val="clear" w:pos="8176"/>
              <w:tab w:val="right" w:pos="9026" w:leader="dot"/>
            </w:tabs>
            <w:rPr/>
          </w:pPr>
          <w:hyperlink w:anchor="__RefHeading___Toc3266274_2870459653">
            <w:r>
              <w:rPr>
                <w:webHidden/>
                <w:rStyle w:val="IndexLink"/>
                <w:rtl w:val="true"/>
              </w:rPr>
              <w:t>القيد الثاني</w:t>
            </w:r>
            <w:r>
              <w:rPr>
                <w:rStyle w:val="IndexLink"/>
                <w:rtl w:val="true"/>
              </w:rPr>
              <w:t xml:space="preserve">: </w:t>
            </w:r>
            <w:r>
              <w:rPr>
                <w:rStyle w:val="IndexLink"/>
                <w:rtl w:val="true"/>
              </w:rPr>
              <w:t>أن يكون السلوك للعقلاء بما هم عقلاء</w:t>
            </w:r>
            <w:r>
              <w:rPr>
                <w:rStyle w:val="IndexLink"/>
                <w:rtl w:val="true"/>
              </w:rPr>
              <w:tab/>
            </w:r>
            <w:r>
              <w:rPr>
                <w:rStyle w:val="IndexLink"/>
              </w:rPr>
              <w:t>161</w:t>
            </w:r>
          </w:hyperlink>
        </w:p>
        <w:p>
          <w:pPr>
            <w:pStyle w:val="Contents3"/>
            <w:tabs>
              <w:tab w:val="clear" w:pos="8459"/>
              <w:tab w:val="right" w:pos="9026" w:leader="dot"/>
            </w:tabs>
            <w:rPr/>
          </w:pPr>
          <w:hyperlink w:anchor="__RefHeading___Toc3266276_2870459653">
            <w:r>
              <w:rPr>
                <w:webHidden/>
                <w:rStyle w:val="IndexLink"/>
                <w:rtl w:val="true"/>
              </w:rPr>
              <w:t>الفصل الأول</w:t>
            </w:r>
            <w:r>
              <w:rPr>
                <w:rStyle w:val="IndexLink"/>
                <w:rtl w:val="true"/>
              </w:rPr>
              <w:t xml:space="preserve">: </w:t>
            </w:r>
            <w:r>
              <w:rPr>
                <w:rStyle w:val="IndexLink"/>
                <w:rtl w:val="true"/>
              </w:rPr>
              <w:t>في تقسيمات السيرة العقلائية</w:t>
            </w:r>
            <w:r>
              <w:rPr>
                <w:rStyle w:val="IndexLink"/>
                <w:rtl w:val="true"/>
              </w:rPr>
              <w:tab/>
            </w:r>
            <w:r>
              <w:rPr>
                <w:rStyle w:val="IndexLink"/>
              </w:rPr>
              <w:t>163</w:t>
            </w:r>
          </w:hyperlink>
        </w:p>
        <w:p>
          <w:pPr>
            <w:pStyle w:val="Contents4"/>
            <w:tabs>
              <w:tab w:val="clear" w:pos="8176"/>
              <w:tab w:val="right" w:pos="9026" w:leader="dot"/>
            </w:tabs>
            <w:rPr/>
          </w:pPr>
          <w:hyperlink w:anchor="__RefHeading___Toc3266278_2870459653">
            <w:r>
              <w:rPr>
                <w:webHidden/>
                <w:rStyle w:val="IndexLink"/>
                <w:rtl w:val="true"/>
              </w:rPr>
              <w:t>التقسيم الأول</w:t>
            </w:r>
            <w:r>
              <w:rPr>
                <w:rStyle w:val="IndexLink"/>
                <w:rtl w:val="true"/>
              </w:rPr>
              <w:tab/>
            </w:r>
            <w:r>
              <w:rPr>
                <w:rStyle w:val="IndexLink"/>
              </w:rPr>
              <w:t>163</w:t>
            </w:r>
          </w:hyperlink>
        </w:p>
        <w:p>
          <w:pPr>
            <w:pStyle w:val="Contents4"/>
            <w:tabs>
              <w:tab w:val="clear" w:pos="8176"/>
              <w:tab w:val="right" w:pos="9026" w:leader="dot"/>
            </w:tabs>
            <w:rPr/>
          </w:pPr>
          <w:hyperlink w:anchor="__RefHeading___Toc3266280_2870459653">
            <w:r>
              <w:rPr>
                <w:webHidden/>
                <w:rStyle w:val="IndexLink"/>
                <w:rtl w:val="true"/>
              </w:rPr>
              <w:t>التقسيم الثاني</w:t>
            </w:r>
            <w:r>
              <w:rPr>
                <w:rStyle w:val="IndexLink"/>
                <w:rtl w:val="true"/>
              </w:rPr>
              <w:tab/>
            </w:r>
            <w:r>
              <w:rPr>
                <w:rStyle w:val="IndexLink"/>
              </w:rPr>
              <w:t>165</w:t>
            </w:r>
          </w:hyperlink>
        </w:p>
        <w:p>
          <w:pPr>
            <w:pStyle w:val="Contents4"/>
            <w:tabs>
              <w:tab w:val="clear" w:pos="8176"/>
              <w:tab w:val="right" w:pos="9026" w:leader="dot"/>
            </w:tabs>
            <w:rPr/>
          </w:pPr>
          <w:hyperlink w:anchor="__RefHeading___Toc3266282_2870459653">
            <w:r>
              <w:rPr>
                <w:webHidden/>
                <w:rStyle w:val="IndexLink"/>
                <w:rtl w:val="true"/>
              </w:rPr>
              <w:t>التقسيم الثالث</w:t>
            </w:r>
            <w:r>
              <w:rPr>
                <w:rStyle w:val="IndexLink"/>
                <w:rtl w:val="true"/>
              </w:rPr>
              <w:tab/>
            </w:r>
            <w:r>
              <w:rPr>
                <w:rStyle w:val="IndexLink"/>
              </w:rPr>
              <w:t>166</w:t>
            </w:r>
          </w:hyperlink>
        </w:p>
        <w:p>
          <w:pPr>
            <w:pStyle w:val="Contents4"/>
            <w:tabs>
              <w:tab w:val="clear" w:pos="8176"/>
              <w:tab w:val="right" w:pos="9026" w:leader="dot"/>
            </w:tabs>
            <w:rPr/>
          </w:pPr>
          <w:hyperlink w:anchor="__RefHeading___Toc3266284_2870459653">
            <w:r>
              <w:rPr>
                <w:webHidden/>
                <w:rStyle w:val="IndexLink"/>
                <w:rtl w:val="true"/>
              </w:rPr>
              <w:t>التقسيم الرابع</w:t>
            </w:r>
            <w:r>
              <w:rPr>
                <w:rStyle w:val="IndexLink"/>
                <w:rtl w:val="true"/>
              </w:rPr>
              <w:tab/>
            </w:r>
            <w:r>
              <w:rPr>
                <w:rStyle w:val="IndexLink"/>
              </w:rPr>
              <w:t>166</w:t>
            </w:r>
          </w:hyperlink>
        </w:p>
        <w:p>
          <w:pPr>
            <w:pStyle w:val="Contents4"/>
            <w:tabs>
              <w:tab w:val="clear" w:pos="8176"/>
              <w:tab w:val="right" w:pos="9026" w:leader="dot"/>
            </w:tabs>
            <w:rPr/>
          </w:pPr>
          <w:hyperlink w:anchor="__RefHeading___Toc3266286_2870459653">
            <w:r>
              <w:rPr>
                <w:webHidden/>
                <w:rStyle w:val="IndexLink"/>
                <w:rtl w:val="true"/>
              </w:rPr>
              <w:t>التقسيم الخامس</w:t>
            </w:r>
            <w:r>
              <w:rPr>
                <w:rStyle w:val="IndexLink"/>
                <w:rtl w:val="true"/>
              </w:rPr>
              <w:tab/>
            </w:r>
            <w:r>
              <w:rPr>
                <w:rStyle w:val="IndexLink"/>
              </w:rPr>
              <w:t>166</w:t>
            </w:r>
          </w:hyperlink>
        </w:p>
        <w:p>
          <w:pPr>
            <w:pStyle w:val="Contents5"/>
            <w:tabs>
              <w:tab w:val="clear" w:pos="7892"/>
              <w:tab w:val="right" w:pos="9026" w:leader="dot"/>
            </w:tabs>
            <w:rPr/>
          </w:pPr>
          <w:hyperlink w:anchor="__RefHeading___Toc3266288_2870459653">
            <w:r>
              <w:rPr>
                <w:webHidden/>
                <w:rStyle w:val="IndexLink"/>
                <w:rtl w:val="true"/>
              </w:rPr>
              <w:t>اشارة</w:t>
            </w:r>
            <w:r>
              <w:rPr>
                <w:rStyle w:val="IndexLink"/>
                <w:rtl w:val="true"/>
              </w:rPr>
              <w:tab/>
            </w:r>
            <w:r>
              <w:rPr>
                <w:rStyle w:val="IndexLink"/>
              </w:rPr>
              <w:t>166</w:t>
            </w:r>
          </w:hyperlink>
        </w:p>
        <w:p>
          <w:pPr>
            <w:pStyle w:val="Contents5"/>
            <w:tabs>
              <w:tab w:val="clear" w:pos="7892"/>
              <w:tab w:val="right" w:pos="9026" w:leader="dot"/>
            </w:tabs>
            <w:rPr/>
          </w:pPr>
          <w:hyperlink w:anchor="__RefHeading___Toc3266290_2870459653">
            <w:r>
              <w:rPr>
                <w:webHidden/>
                <w:rStyle w:val="IndexLink"/>
                <w:rtl w:val="true"/>
              </w:rPr>
              <w:t>الصورة الأولى</w:t>
            </w:r>
            <w:r>
              <w:rPr>
                <w:rStyle w:val="IndexLink"/>
                <w:rtl w:val="true"/>
              </w:rPr>
              <w:tab/>
            </w:r>
            <w:r>
              <w:rPr>
                <w:rStyle w:val="IndexLink"/>
              </w:rPr>
              <w:t>167</w:t>
            </w:r>
          </w:hyperlink>
        </w:p>
        <w:p>
          <w:pPr>
            <w:pStyle w:val="Contents5"/>
            <w:tabs>
              <w:tab w:val="clear" w:pos="7892"/>
              <w:tab w:val="right" w:pos="9026" w:leader="dot"/>
            </w:tabs>
            <w:rPr/>
          </w:pPr>
          <w:hyperlink w:anchor="__RefHeading___Toc3266292_2870459653">
            <w:r>
              <w:rPr>
                <w:webHidden/>
                <w:rStyle w:val="IndexLink"/>
                <w:rtl w:val="true"/>
              </w:rPr>
              <w:t>الصورة الثانية</w:t>
            </w:r>
            <w:r>
              <w:rPr>
                <w:rStyle w:val="IndexLink"/>
                <w:rtl w:val="true"/>
              </w:rPr>
              <w:tab/>
            </w:r>
            <w:r>
              <w:rPr>
                <w:rStyle w:val="IndexLink"/>
              </w:rPr>
              <w:t>168</w:t>
            </w:r>
          </w:hyperlink>
        </w:p>
        <w:p>
          <w:pPr>
            <w:pStyle w:val="Contents5"/>
            <w:tabs>
              <w:tab w:val="clear" w:pos="7892"/>
              <w:tab w:val="right" w:pos="9026" w:leader="dot"/>
            </w:tabs>
            <w:rPr/>
          </w:pPr>
          <w:hyperlink w:anchor="__RefHeading___Toc3266294_2870459653">
            <w:r>
              <w:rPr>
                <w:webHidden/>
                <w:rStyle w:val="IndexLink"/>
                <w:rtl w:val="true"/>
              </w:rPr>
              <w:t>الصورة الثالثة</w:t>
            </w:r>
            <w:r>
              <w:rPr>
                <w:rStyle w:val="IndexLink"/>
                <w:rtl w:val="true"/>
              </w:rPr>
              <w:tab/>
            </w:r>
            <w:r>
              <w:rPr>
                <w:rStyle w:val="IndexLink"/>
              </w:rPr>
              <w:t>168</w:t>
            </w:r>
          </w:hyperlink>
        </w:p>
        <w:p>
          <w:pPr>
            <w:pStyle w:val="Contents3"/>
            <w:tabs>
              <w:tab w:val="clear" w:pos="8459"/>
              <w:tab w:val="right" w:pos="9026" w:leader="dot"/>
            </w:tabs>
            <w:rPr/>
          </w:pPr>
          <w:hyperlink w:anchor="__RefHeading___Toc3266296_2870459653">
            <w:r>
              <w:rPr>
                <w:webHidden/>
                <w:rStyle w:val="IndexLink"/>
                <w:rtl w:val="true"/>
              </w:rPr>
              <w:t>الفصل الثاني</w:t>
            </w:r>
            <w:r>
              <w:rPr>
                <w:rStyle w:val="IndexLink"/>
                <w:rtl w:val="true"/>
              </w:rPr>
              <w:t xml:space="preserve">: </w:t>
            </w:r>
            <w:r>
              <w:rPr>
                <w:rStyle w:val="IndexLink"/>
                <w:rtl w:val="true"/>
              </w:rPr>
              <w:t>في كيفية الاستدلال بالسيرة العقلائية على الحكم الشرعي إثباتاً ونفياً</w:t>
            </w:r>
            <w:r>
              <w:rPr>
                <w:rStyle w:val="IndexLink"/>
                <w:rtl w:val="true"/>
              </w:rPr>
              <w:tab/>
            </w:r>
            <w:r>
              <w:rPr>
                <w:rStyle w:val="IndexLink"/>
              </w:rPr>
              <w:t>171</w:t>
            </w:r>
          </w:hyperlink>
        </w:p>
        <w:p>
          <w:pPr>
            <w:pStyle w:val="Contents4"/>
            <w:tabs>
              <w:tab w:val="clear" w:pos="8176"/>
              <w:tab w:val="right" w:pos="9026" w:leader="dot"/>
            </w:tabs>
            <w:rPr/>
          </w:pPr>
          <w:hyperlink w:anchor="__RefHeading___Toc3266298_2870459653">
            <w:r>
              <w:rPr>
                <w:webHidden/>
                <w:rStyle w:val="IndexLink"/>
                <w:rtl w:val="true"/>
              </w:rPr>
              <w:t>اشارة</w:t>
            </w:r>
            <w:r>
              <w:rPr>
                <w:rStyle w:val="IndexLink"/>
                <w:rtl w:val="true"/>
              </w:rPr>
              <w:tab/>
            </w:r>
            <w:r>
              <w:rPr>
                <w:rStyle w:val="IndexLink"/>
              </w:rPr>
              <w:t>171</w:t>
            </w:r>
          </w:hyperlink>
        </w:p>
        <w:p>
          <w:pPr>
            <w:pStyle w:val="Contents4"/>
            <w:tabs>
              <w:tab w:val="clear" w:pos="8176"/>
              <w:tab w:val="right" w:pos="9026" w:leader="dot"/>
            </w:tabs>
            <w:rPr/>
          </w:pPr>
          <w:hyperlink w:anchor="__RefHeading___Toc3266300_2870459653">
            <w:r>
              <w:rPr>
                <w:webHidden/>
                <w:rStyle w:val="IndexLink"/>
                <w:rtl w:val="true"/>
              </w:rPr>
              <w:t>الشرط الأول</w:t>
            </w:r>
            <w:r>
              <w:rPr>
                <w:rStyle w:val="IndexLink"/>
                <w:rtl w:val="true"/>
              </w:rPr>
              <w:t xml:space="preserve">: </w:t>
            </w:r>
            <w:r>
              <w:rPr>
                <w:rStyle w:val="IndexLink"/>
                <w:rtl w:val="true"/>
              </w:rPr>
              <w:t>ثبوت موقف للشارع</w:t>
            </w:r>
            <w:r>
              <w:rPr>
                <w:rStyle w:val="IndexLink"/>
                <w:rtl w:val="true"/>
              </w:rPr>
              <w:tab/>
            </w:r>
            <w:r>
              <w:rPr>
                <w:rStyle w:val="IndexLink"/>
              </w:rPr>
              <w:t>172</w:t>
            </w:r>
          </w:hyperlink>
        </w:p>
        <w:p>
          <w:pPr>
            <w:pStyle w:val="Contents5"/>
            <w:tabs>
              <w:tab w:val="clear" w:pos="7892"/>
              <w:tab w:val="right" w:pos="9026" w:leader="dot"/>
            </w:tabs>
            <w:rPr/>
          </w:pPr>
          <w:hyperlink w:anchor="__RefHeading___Toc3266302_2870459653">
            <w:r>
              <w:rPr>
                <w:webHidden/>
                <w:rStyle w:val="IndexLink"/>
                <w:rtl w:val="true"/>
              </w:rPr>
              <w:t>اشارة</w:t>
            </w:r>
            <w:r>
              <w:rPr>
                <w:rStyle w:val="IndexLink"/>
                <w:rtl w:val="true"/>
              </w:rPr>
              <w:tab/>
            </w:r>
            <w:r>
              <w:rPr>
                <w:rStyle w:val="IndexLink"/>
              </w:rPr>
              <w:t>172</w:t>
            </w:r>
          </w:hyperlink>
        </w:p>
        <w:p>
          <w:pPr>
            <w:pStyle w:val="Contents5"/>
            <w:tabs>
              <w:tab w:val="clear" w:pos="7892"/>
              <w:tab w:val="right" w:pos="9026" w:leader="dot"/>
            </w:tabs>
            <w:rPr/>
          </w:pPr>
          <w:hyperlink w:anchor="__RefHeading___Toc3266304_2870459653">
            <w:r>
              <w:rPr>
                <w:webHidden/>
                <w:rStyle w:val="IndexLink"/>
                <w:rtl w:val="true"/>
              </w:rPr>
              <w:t>الاتجاه الأول</w:t>
            </w:r>
            <w:r>
              <w:rPr>
                <w:rStyle w:val="IndexLink"/>
                <w:rtl w:val="true"/>
              </w:rPr>
              <w:tab/>
            </w:r>
            <w:r>
              <w:rPr>
                <w:rStyle w:val="IndexLink"/>
              </w:rPr>
              <w:t>172</w:t>
            </w:r>
          </w:hyperlink>
        </w:p>
        <w:p>
          <w:pPr>
            <w:pStyle w:val="Contents6"/>
            <w:tabs>
              <w:tab w:val="clear" w:pos="7609"/>
              <w:tab w:val="right" w:pos="9026" w:leader="dot"/>
            </w:tabs>
            <w:rPr/>
          </w:pPr>
          <w:hyperlink w:anchor="__RefHeading___Toc3266306_2870459653">
            <w:r>
              <w:rPr>
                <w:webHidden/>
                <w:rStyle w:val="IndexLink"/>
                <w:rtl w:val="true"/>
              </w:rPr>
              <w:t>اشارة</w:t>
            </w:r>
            <w:r>
              <w:rPr>
                <w:rStyle w:val="IndexLink"/>
                <w:rtl w:val="true"/>
              </w:rPr>
              <w:tab/>
            </w:r>
            <w:r>
              <w:rPr>
                <w:rStyle w:val="IndexLink"/>
              </w:rPr>
              <w:t>172</w:t>
            </w:r>
          </w:hyperlink>
        </w:p>
        <w:p>
          <w:pPr>
            <w:pStyle w:val="Contents6"/>
            <w:tabs>
              <w:tab w:val="clear" w:pos="7609"/>
              <w:tab w:val="right" w:pos="9026" w:leader="dot"/>
            </w:tabs>
            <w:rPr/>
          </w:pPr>
          <w:hyperlink w:anchor="__RefHeading___Toc3266308_2870459653">
            <w:r>
              <w:rPr>
                <w:webHidden/>
                <w:rStyle w:val="IndexLink"/>
                <w:rtl w:val="true"/>
              </w:rPr>
              <w:t>الصورة الأولى</w:t>
            </w:r>
            <w:r>
              <w:rPr>
                <w:rStyle w:val="IndexLink"/>
                <w:rtl w:val="true"/>
              </w:rPr>
              <w:tab/>
            </w:r>
            <w:r>
              <w:rPr>
                <w:rStyle w:val="IndexLink"/>
              </w:rPr>
              <w:t>173</w:t>
            </w:r>
          </w:hyperlink>
        </w:p>
        <w:p>
          <w:pPr>
            <w:pStyle w:val="Contents6"/>
            <w:tabs>
              <w:tab w:val="clear" w:pos="7609"/>
              <w:tab w:val="right" w:pos="9026" w:leader="dot"/>
            </w:tabs>
            <w:rPr/>
          </w:pPr>
          <w:hyperlink w:anchor="__RefHeading___Toc3266310_2870459653">
            <w:r>
              <w:rPr>
                <w:webHidden/>
                <w:rStyle w:val="IndexLink"/>
                <w:rtl w:val="true"/>
              </w:rPr>
              <w:t>الصورة الثانية</w:t>
            </w:r>
            <w:r>
              <w:rPr>
                <w:rStyle w:val="IndexLink"/>
                <w:rtl w:val="true"/>
              </w:rPr>
              <w:tab/>
            </w:r>
            <w:r>
              <w:rPr>
                <w:rStyle w:val="IndexLink"/>
              </w:rPr>
              <w:t>173</w:t>
            </w:r>
          </w:hyperlink>
        </w:p>
        <w:p>
          <w:pPr>
            <w:pStyle w:val="Contents6"/>
            <w:tabs>
              <w:tab w:val="clear" w:pos="7609"/>
              <w:tab w:val="right" w:pos="9026" w:leader="dot"/>
            </w:tabs>
            <w:rPr/>
          </w:pPr>
          <w:hyperlink w:anchor="__RefHeading___Toc3266312_2870459653">
            <w:r>
              <w:rPr>
                <w:webHidden/>
                <w:rStyle w:val="IndexLink"/>
                <w:rtl w:val="true"/>
              </w:rPr>
              <w:t>الصورة الثالثة</w:t>
            </w:r>
            <w:r>
              <w:rPr>
                <w:rStyle w:val="IndexLink"/>
                <w:rtl w:val="true"/>
              </w:rPr>
              <w:tab/>
            </w:r>
            <w:r>
              <w:rPr>
                <w:rStyle w:val="IndexLink"/>
              </w:rPr>
              <w:t>173</w:t>
            </w:r>
          </w:hyperlink>
        </w:p>
        <w:p>
          <w:pPr>
            <w:pStyle w:val="Contents5"/>
            <w:tabs>
              <w:tab w:val="clear" w:pos="7892"/>
              <w:tab w:val="right" w:pos="9026" w:leader="dot"/>
            </w:tabs>
            <w:rPr/>
          </w:pPr>
          <w:hyperlink w:anchor="__RefHeading___Toc3266314_2870459653">
            <w:r>
              <w:rPr>
                <w:webHidden/>
                <w:rStyle w:val="IndexLink"/>
                <w:rtl w:val="true"/>
              </w:rPr>
              <w:t>الاتجاه الثاني</w:t>
            </w:r>
            <w:r>
              <w:rPr>
                <w:rStyle w:val="IndexLink"/>
                <w:rtl w:val="true"/>
              </w:rPr>
              <w:tab/>
            </w:r>
            <w:r>
              <w:rPr>
                <w:rStyle w:val="IndexLink"/>
              </w:rPr>
              <w:t>174</w:t>
            </w:r>
          </w:hyperlink>
        </w:p>
        <w:p>
          <w:pPr>
            <w:pStyle w:val="Contents5"/>
            <w:tabs>
              <w:tab w:val="clear" w:pos="7892"/>
              <w:tab w:val="right" w:pos="9026" w:leader="dot"/>
            </w:tabs>
            <w:rPr/>
          </w:pPr>
          <w:hyperlink w:anchor="__RefHeading___Toc3266316_2870459653">
            <w:r>
              <w:rPr>
                <w:webHidden/>
                <w:rStyle w:val="IndexLink"/>
                <w:rtl w:val="true"/>
              </w:rPr>
              <w:t>الاتجاه الثالث</w:t>
            </w:r>
            <w:r>
              <w:rPr>
                <w:rStyle w:val="IndexLink"/>
                <w:rtl w:val="true"/>
              </w:rPr>
              <w:tab/>
            </w:r>
            <w:r>
              <w:rPr>
                <w:rStyle w:val="IndexLink"/>
              </w:rPr>
              <w:t>174</w:t>
            </w:r>
          </w:hyperlink>
        </w:p>
        <w:p>
          <w:pPr>
            <w:pStyle w:val="Contents6"/>
            <w:tabs>
              <w:tab w:val="clear" w:pos="7609"/>
              <w:tab w:val="right" w:pos="9026" w:leader="dot"/>
            </w:tabs>
            <w:rPr/>
          </w:pPr>
          <w:hyperlink w:anchor="__RefHeading___Toc3266318_2870459653">
            <w:r>
              <w:rPr>
                <w:webHidden/>
                <w:rStyle w:val="IndexLink"/>
                <w:rtl w:val="true"/>
              </w:rPr>
              <w:t>اشارة</w:t>
            </w:r>
            <w:r>
              <w:rPr>
                <w:rStyle w:val="IndexLink"/>
                <w:rtl w:val="true"/>
              </w:rPr>
              <w:tab/>
            </w:r>
            <w:r>
              <w:rPr>
                <w:rStyle w:val="IndexLink"/>
              </w:rPr>
              <w:t>174</w:t>
            </w:r>
          </w:hyperlink>
        </w:p>
        <w:p>
          <w:pPr>
            <w:pStyle w:val="Contents6"/>
            <w:tabs>
              <w:tab w:val="clear" w:pos="7609"/>
              <w:tab w:val="right" w:pos="9026" w:leader="dot"/>
            </w:tabs>
            <w:rPr/>
          </w:pPr>
          <w:hyperlink w:anchor="__RefHeading___Toc3266320_2870459653">
            <w:r>
              <w:rPr>
                <w:webHidden/>
                <w:rStyle w:val="IndexLink"/>
                <w:rtl w:val="true"/>
              </w:rPr>
              <w:t>النقطة الأولى</w:t>
            </w:r>
            <w:r>
              <w:rPr>
                <w:rStyle w:val="IndexLink"/>
                <w:rtl w:val="true"/>
              </w:rPr>
              <w:tab/>
            </w:r>
            <w:r>
              <w:rPr>
                <w:rStyle w:val="IndexLink"/>
              </w:rPr>
              <w:t>174</w:t>
            </w:r>
          </w:hyperlink>
        </w:p>
        <w:p>
          <w:pPr>
            <w:pStyle w:val="Contents6"/>
            <w:tabs>
              <w:tab w:val="clear" w:pos="7609"/>
              <w:tab w:val="right" w:pos="9026" w:leader="dot"/>
            </w:tabs>
            <w:rPr/>
          </w:pPr>
          <w:hyperlink w:anchor="__RefHeading___Toc3266322_2870459653">
            <w:r>
              <w:rPr>
                <w:webHidden/>
                <w:rStyle w:val="IndexLink"/>
                <w:rtl w:val="true"/>
              </w:rPr>
              <w:t>النقطة الثانية</w:t>
            </w:r>
            <w:r>
              <w:rPr>
                <w:rStyle w:val="IndexLink"/>
                <w:rtl w:val="true"/>
              </w:rPr>
              <w:tab/>
            </w:r>
            <w:r>
              <w:rPr>
                <w:rStyle w:val="IndexLink"/>
              </w:rPr>
              <w:t>174</w:t>
            </w:r>
          </w:hyperlink>
        </w:p>
        <w:p>
          <w:pPr>
            <w:pStyle w:val="Contents6"/>
            <w:tabs>
              <w:tab w:val="clear" w:pos="7609"/>
              <w:tab w:val="right" w:pos="9026" w:leader="dot"/>
            </w:tabs>
            <w:rPr/>
          </w:pPr>
          <w:hyperlink w:anchor="__RefHeading___Toc3266324_2870459653">
            <w:r>
              <w:rPr>
                <w:webHidden/>
                <w:rStyle w:val="IndexLink"/>
                <w:rtl w:val="true"/>
              </w:rPr>
              <w:t>النقطة الثالثة</w:t>
            </w:r>
            <w:r>
              <w:rPr>
                <w:rStyle w:val="IndexLink"/>
                <w:rtl w:val="true"/>
              </w:rPr>
              <w:tab/>
            </w:r>
            <w:r>
              <w:rPr>
                <w:rStyle w:val="IndexLink"/>
              </w:rPr>
              <w:t>175</w:t>
            </w:r>
          </w:hyperlink>
        </w:p>
        <w:p>
          <w:pPr>
            <w:pStyle w:val="Contents6"/>
            <w:tabs>
              <w:tab w:val="clear" w:pos="7609"/>
              <w:tab w:val="right" w:pos="9026" w:leader="dot"/>
            </w:tabs>
            <w:rPr/>
          </w:pPr>
          <w:hyperlink w:anchor="__RefHeading___Toc3266326_2870459653">
            <w:r>
              <w:rPr>
                <w:webHidden/>
                <w:rStyle w:val="IndexLink"/>
                <w:rtl w:val="true"/>
              </w:rPr>
              <w:t>اشارة</w:t>
            </w:r>
            <w:r>
              <w:rPr>
                <w:rStyle w:val="IndexLink"/>
                <w:rtl w:val="true"/>
              </w:rPr>
              <w:tab/>
            </w:r>
            <w:r>
              <w:rPr>
                <w:rStyle w:val="IndexLink"/>
              </w:rPr>
              <w:t>175</w:t>
            </w:r>
          </w:hyperlink>
        </w:p>
        <w:p>
          <w:pPr>
            <w:pStyle w:val="Contents6"/>
            <w:tabs>
              <w:tab w:val="clear" w:pos="7609"/>
              <w:tab w:val="right" w:pos="9026" w:leader="dot"/>
            </w:tabs>
            <w:rPr/>
          </w:pPr>
          <w:hyperlink w:anchor="__RefHeading___Toc3266328_2870459653">
            <w:r>
              <w:rPr>
                <w:webHidden/>
                <w:rStyle w:val="IndexLink"/>
                <w:rtl w:val="true"/>
              </w:rPr>
              <w:t>الوجه الأول</w:t>
            </w:r>
            <w:r>
              <w:rPr>
                <w:rStyle w:val="IndexLink"/>
                <w:rtl w:val="true"/>
              </w:rPr>
              <w:tab/>
            </w:r>
            <w:r>
              <w:rPr>
                <w:rStyle w:val="IndexLink"/>
              </w:rPr>
              <w:t>176</w:t>
            </w:r>
          </w:hyperlink>
        </w:p>
        <w:p>
          <w:pPr>
            <w:pStyle w:val="Contents6"/>
            <w:tabs>
              <w:tab w:val="clear" w:pos="7609"/>
              <w:tab w:val="right" w:pos="9026" w:leader="dot"/>
            </w:tabs>
            <w:rPr/>
          </w:pPr>
          <w:hyperlink w:anchor="__RefHeading___Toc3266330_2870459653">
            <w:r>
              <w:rPr>
                <w:webHidden/>
                <w:rStyle w:val="IndexLink"/>
                <w:rtl w:val="true"/>
              </w:rPr>
              <w:t>الوجه الثاني</w:t>
            </w:r>
            <w:r>
              <w:rPr>
                <w:rStyle w:val="IndexLink"/>
                <w:rtl w:val="true"/>
              </w:rPr>
              <w:tab/>
            </w:r>
            <w:r>
              <w:rPr>
                <w:rStyle w:val="IndexLink"/>
              </w:rPr>
              <w:t>176</w:t>
            </w:r>
          </w:hyperlink>
        </w:p>
        <w:p>
          <w:pPr>
            <w:pStyle w:val="Contents6"/>
            <w:tabs>
              <w:tab w:val="clear" w:pos="7609"/>
              <w:tab w:val="right" w:pos="9026" w:leader="dot"/>
            </w:tabs>
            <w:rPr/>
          </w:pPr>
          <w:hyperlink w:anchor="__RefHeading___Toc3266332_2870459653">
            <w:r>
              <w:rPr>
                <w:webHidden/>
                <w:rStyle w:val="IndexLink"/>
                <w:rtl w:val="true"/>
              </w:rPr>
              <w:t>الوجه الثالث</w:t>
            </w:r>
            <w:r>
              <w:rPr>
                <w:rStyle w:val="IndexLink"/>
                <w:rtl w:val="true"/>
              </w:rPr>
              <w:tab/>
            </w:r>
            <w:r>
              <w:rPr>
                <w:rStyle w:val="IndexLink"/>
              </w:rPr>
              <w:t>177</w:t>
            </w:r>
          </w:hyperlink>
        </w:p>
        <w:p>
          <w:pPr>
            <w:pStyle w:val="Contents6"/>
            <w:tabs>
              <w:tab w:val="clear" w:pos="7609"/>
              <w:tab w:val="right" w:pos="9026" w:leader="dot"/>
            </w:tabs>
            <w:rPr/>
          </w:pPr>
          <w:hyperlink w:anchor="__RefHeading___Toc3266334_2870459653">
            <w:r>
              <w:rPr>
                <w:webHidden/>
                <w:rStyle w:val="IndexLink"/>
                <w:rtl w:val="true"/>
              </w:rPr>
              <w:t>اشارة</w:t>
            </w:r>
            <w:r>
              <w:rPr>
                <w:rStyle w:val="IndexLink"/>
                <w:rtl w:val="true"/>
              </w:rPr>
              <w:tab/>
            </w:r>
            <w:r>
              <w:rPr>
                <w:rStyle w:val="IndexLink"/>
              </w:rPr>
              <w:t>177</w:t>
            </w:r>
          </w:hyperlink>
        </w:p>
        <w:p>
          <w:pPr>
            <w:pStyle w:val="Contents6"/>
            <w:tabs>
              <w:tab w:val="clear" w:pos="7609"/>
              <w:tab w:val="right" w:pos="9026" w:leader="dot"/>
            </w:tabs>
            <w:rPr/>
          </w:pPr>
          <w:hyperlink w:anchor="__RefHeading___Toc3266336_2870459653">
            <w:r>
              <w:rPr>
                <w:webHidden/>
                <w:rStyle w:val="IndexLink"/>
                <w:rtl w:val="true"/>
              </w:rPr>
              <w:t>الأمر الأول</w:t>
            </w:r>
            <w:r>
              <w:rPr>
                <w:rStyle w:val="IndexLink"/>
                <w:rtl w:val="true"/>
              </w:rPr>
              <w:tab/>
            </w:r>
            <w:r>
              <w:rPr>
                <w:rStyle w:val="IndexLink"/>
              </w:rPr>
              <w:t>179</w:t>
            </w:r>
          </w:hyperlink>
        </w:p>
        <w:p>
          <w:pPr>
            <w:pStyle w:val="Contents6"/>
            <w:tabs>
              <w:tab w:val="clear" w:pos="7609"/>
              <w:tab w:val="right" w:pos="9026" w:leader="dot"/>
            </w:tabs>
            <w:rPr/>
          </w:pPr>
          <w:hyperlink w:anchor="__RefHeading___Toc3266338_2870459653">
            <w:r>
              <w:rPr>
                <w:webHidden/>
                <w:rStyle w:val="IndexLink"/>
                <w:rtl w:val="true"/>
              </w:rPr>
              <w:t>اشارة</w:t>
            </w:r>
            <w:r>
              <w:rPr>
                <w:rStyle w:val="IndexLink"/>
                <w:rtl w:val="true"/>
              </w:rPr>
              <w:tab/>
            </w:r>
            <w:r>
              <w:rPr>
                <w:rStyle w:val="IndexLink"/>
              </w:rPr>
              <w:t>179</w:t>
            </w:r>
          </w:hyperlink>
        </w:p>
        <w:p>
          <w:pPr>
            <w:pStyle w:val="Contents6"/>
            <w:tabs>
              <w:tab w:val="clear" w:pos="7609"/>
              <w:tab w:val="right" w:pos="9026" w:leader="dot"/>
            </w:tabs>
            <w:rPr/>
          </w:pPr>
          <w:hyperlink w:anchor="__RefHeading___Toc3266340_2870459653">
            <w:r>
              <w:rPr>
                <w:webHidden/>
                <w:rStyle w:val="IndexLink"/>
                <w:rtl w:val="true"/>
              </w:rPr>
              <w:t>السبب الأول</w:t>
            </w:r>
            <w:r>
              <w:rPr>
                <w:rStyle w:val="IndexLink"/>
                <w:rtl w:val="true"/>
              </w:rPr>
              <w:tab/>
            </w:r>
            <w:r>
              <w:rPr>
                <w:rStyle w:val="IndexLink"/>
              </w:rPr>
              <w:t>179</w:t>
            </w:r>
          </w:hyperlink>
        </w:p>
        <w:p>
          <w:pPr>
            <w:pStyle w:val="Contents6"/>
            <w:tabs>
              <w:tab w:val="clear" w:pos="7609"/>
              <w:tab w:val="right" w:pos="9026" w:leader="dot"/>
            </w:tabs>
            <w:rPr/>
          </w:pPr>
          <w:hyperlink w:anchor="__RefHeading___Toc3266342_2870459653">
            <w:r>
              <w:rPr>
                <w:webHidden/>
                <w:rStyle w:val="IndexLink"/>
                <w:rtl w:val="true"/>
              </w:rPr>
              <w:t>السبب الثاني</w:t>
            </w:r>
            <w:r>
              <w:rPr>
                <w:rStyle w:val="IndexLink"/>
                <w:rtl w:val="true"/>
              </w:rPr>
              <w:tab/>
            </w:r>
            <w:r>
              <w:rPr>
                <w:rStyle w:val="IndexLink"/>
              </w:rPr>
              <w:t>180</w:t>
            </w:r>
          </w:hyperlink>
        </w:p>
        <w:p>
          <w:pPr>
            <w:pStyle w:val="Contents6"/>
            <w:tabs>
              <w:tab w:val="clear" w:pos="7609"/>
              <w:tab w:val="right" w:pos="9026" w:leader="dot"/>
            </w:tabs>
            <w:rPr/>
          </w:pPr>
          <w:hyperlink w:anchor="__RefHeading___Toc3266344_2870459653">
            <w:r>
              <w:rPr>
                <w:webHidden/>
                <w:rStyle w:val="IndexLink"/>
                <w:rtl w:val="true"/>
              </w:rPr>
              <w:t>الأمر الثاني</w:t>
            </w:r>
            <w:r>
              <w:rPr>
                <w:rStyle w:val="IndexLink"/>
                <w:rtl w:val="true"/>
              </w:rPr>
              <w:tab/>
            </w:r>
            <w:r>
              <w:rPr>
                <w:rStyle w:val="IndexLink"/>
              </w:rPr>
              <w:t>181</w:t>
            </w:r>
          </w:hyperlink>
        </w:p>
        <w:p>
          <w:pPr>
            <w:pStyle w:val="Contents6"/>
            <w:tabs>
              <w:tab w:val="clear" w:pos="7609"/>
              <w:tab w:val="right" w:pos="9026" w:leader="dot"/>
            </w:tabs>
            <w:rPr/>
          </w:pPr>
          <w:hyperlink w:anchor="__RefHeading___Toc3266346_2870459653">
            <w:r>
              <w:rPr>
                <w:webHidden/>
                <w:rStyle w:val="IndexLink"/>
                <w:rtl w:val="true"/>
              </w:rPr>
              <w:t>اشارة</w:t>
            </w:r>
            <w:r>
              <w:rPr>
                <w:rStyle w:val="IndexLink"/>
                <w:rtl w:val="true"/>
              </w:rPr>
              <w:tab/>
            </w:r>
            <w:r>
              <w:rPr>
                <w:rStyle w:val="IndexLink"/>
              </w:rPr>
              <w:t>181</w:t>
            </w:r>
          </w:hyperlink>
        </w:p>
        <w:p>
          <w:pPr>
            <w:pStyle w:val="Contents6"/>
            <w:tabs>
              <w:tab w:val="clear" w:pos="7609"/>
              <w:tab w:val="right" w:pos="9026" w:leader="dot"/>
            </w:tabs>
            <w:rPr/>
          </w:pPr>
          <w:hyperlink w:anchor="__RefHeading___Toc3266348_2870459653">
            <w:r>
              <w:rPr>
                <w:webHidden/>
                <w:rStyle w:val="IndexLink"/>
                <w:rtl w:val="true"/>
              </w:rPr>
              <w:t>الفرض الأول</w:t>
            </w:r>
            <w:r>
              <w:rPr>
                <w:rStyle w:val="IndexLink"/>
                <w:rtl w:val="true"/>
              </w:rPr>
              <w:tab/>
            </w:r>
            <w:r>
              <w:rPr>
                <w:rStyle w:val="IndexLink"/>
              </w:rPr>
              <w:t>181</w:t>
            </w:r>
          </w:hyperlink>
        </w:p>
        <w:p>
          <w:pPr>
            <w:pStyle w:val="Contents6"/>
            <w:tabs>
              <w:tab w:val="clear" w:pos="7609"/>
              <w:tab w:val="right" w:pos="9026" w:leader="dot"/>
            </w:tabs>
            <w:rPr/>
          </w:pPr>
          <w:hyperlink w:anchor="__RefHeading___Toc3266350_2870459653">
            <w:r>
              <w:rPr>
                <w:webHidden/>
                <w:rStyle w:val="IndexLink"/>
                <w:rtl w:val="true"/>
              </w:rPr>
              <w:t>الفرض الثاني</w:t>
            </w:r>
            <w:r>
              <w:rPr>
                <w:rStyle w:val="IndexLink"/>
                <w:rtl w:val="true"/>
              </w:rPr>
              <w:tab/>
            </w:r>
            <w:r>
              <w:rPr>
                <w:rStyle w:val="IndexLink"/>
              </w:rPr>
              <w:t>181</w:t>
            </w:r>
          </w:hyperlink>
        </w:p>
        <w:p>
          <w:pPr>
            <w:pStyle w:val="Contents6"/>
            <w:tabs>
              <w:tab w:val="clear" w:pos="7609"/>
              <w:tab w:val="right" w:pos="9026" w:leader="dot"/>
            </w:tabs>
            <w:rPr/>
          </w:pPr>
          <w:hyperlink w:anchor="__RefHeading___Toc3266352_2870459653">
            <w:r>
              <w:rPr>
                <w:webHidden/>
                <w:rStyle w:val="IndexLink"/>
                <w:rtl w:val="true"/>
              </w:rPr>
              <w:t>الوجه الرابع</w:t>
            </w:r>
            <w:r>
              <w:rPr>
                <w:rStyle w:val="IndexLink"/>
                <w:rtl w:val="true"/>
              </w:rPr>
              <w:tab/>
            </w:r>
            <w:r>
              <w:rPr>
                <w:rStyle w:val="IndexLink"/>
              </w:rPr>
              <w:t>182</w:t>
            </w:r>
          </w:hyperlink>
        </w:p>
        <w:p>
          <w:pPr>
            <w:pStyle w:val="Contents6"/>
            <w:tabs>
              <w:tab w:val="clear" w:pos="7609"/>
              <w:tab w:val="right" w:pos="9026" w:leader="dot"/>
            </w:tabs>
            <w:rPr/>
          </w:pPr>
          <w:hyperlink w:anchor="__RefHeading___Toc3266354_2870459653">
            <w:r>
              <w:rPr>
                <w:webHidden/>
                <w:rStyle w:val="IndexLink"/>
                <w:rtl w:val="true"/>
              </w:rPr>
              <w:t>الوجه الخامس</w:t>
            </w:r>
            <w:r>
              <w:rPr>
                <w:rStyle w:val="IndexLink"/>
                <w:rtl w:val="true"/>
              </w:rPr>
              <w:tab/>
            </w:r>
            <w:r>
              <w:rPr>
                <w:rStyle w:val="IndexLink"/>
              </w:rPr>
              <w:t>182</w:t>
            </w:r>
          </w:hyperlink>
        </w:p>
        <w:p>
          <w:pPr>
            <w:pStyle w:val="Contents4"/>
            <w:tabs>
              <w:tab w:val="clear" w:pos="8176"/>
              <w:tab w:val="right" w:pos="9026" w:leader="dot"/>
            </w:tabs>
            <w:rPr/>
          </w:pPr>
          <w:hyperlink w:anchor="__RefHeading___Toc3266356_2870459653">
            <w:r>
              <w:rPr>
                <w:webHidden/>
                <w:rStyle w:val="IndexLink"/>
                <w:rtl w:val="true"/>
              </w:rPr>
              <w:t>الشرط الثاني</w:t>
            </w:r>
            <w:r>
              <w:rPr>
                <w:rStyle w:val="IndexLink"/>
                <w:rtl w:val="true"/>
              </w:rPr>
              <w:t xml:space="preserve">: </w:t>
            </w:r>
            <w:r>
              <w:rPr>
                <w:rStyle w:val="IndexLink"/>
                <w:rtl w:val="true"/>
              </w:rPr>
              <w:t>الاطلاع على موقف الشارع تجاه السيرة</w:t>
            </w:r>
            <w:r>
              <w:rPr>
                <w:rStyle w:val="IndexLink"/>
                <w:rtl w:val="true"/>
              </w:rPr>
              <w:tab/>
            </w:r>
            <w:r>
              <w:rPr>
                <w:rStyle w:val="IndexLink"/>
              </w:rPr>
              <w:t>186</w:t>
            </w:r>
          </w:hyperlink>
        </w:p>
        <w:p>
          <w:pPr>
            <w:pStyle w:val="Contents5"/>
            <w:tabs>
              <w:tab w:val="clear" w:pos="7892"/>
              <w:tab w:val="right" w:pos="9026" w:leader="dot"/>
            </w:tabs>
            <w:rPr/>
          </w:pPr>
          <w:hyperlink w:anchor="__RefHeading___Toc3266358_2870459653">
            <w:r>
              <w:rPr>
                <w:webHidden/>
                <w:rStyle w:val="IndexLink"/>
                <w:rtl w:val="true"/>
              </w:rPr>
              <w:t>اشارة</w:t>
            </w:r>
            <w:r>
              <w:rPr>
                <w:rStyle w:val="IndexLink"/>
                <w:rtl w:val="true"/>
              </w:rPr>
              <w:tab/>
            </w:r>
            <w:r>
              <w:rPr>
                <w:rStyle w:val="IndexLink"/>
              </w:rPr>
              <w:t>186</w:t>
            </w:r>
          </w:hyperlink>
        </w:p>
        <w:p>
          <w:pPr>
            <w:pStyle w:val="Contents5"/>
            <w:tabs>
              <w:tab w:val="clear" w:pos="7892"/>
              <w:tab w:val="right" w:pos="9026" w:leader="dot"/>
            </w:tabs>
            <w:rPr/>
          </w:pPr>
          <w:hyperlink w:anchor="__RefHeading___Toc3266360_2870459653">
            <w:r>
              <w:rPr>
                <w:webHidden/>
                <w:rStyle w:val="IndexLink"/>
                <w:rtl w:val="true"/>
              </w:rPr>
              <w:t>الاتجاه الأول</w:t>
            </w:r>
            <w:r>
              <w:rPr>
                <w:rStyle w:val="IndexLink"/>
                <w:rtl w:val="true"/>
              </w:rPr>
              <w:tab/>
            </w:r>
            <w:r>
              <w:rPr>
                <w:rStyle w:val="IndexLink"/>
              </w:rPr>
              <w:t>186</w:t>
            </w:r>
          </w:hyperlink>
        </w:p>
        <w:p>
          <w:pPr>
            <w:pStyle w:val="Contents5"/>
            <w:tabs>
              <w:tab w:val="clear" w:pos="7892"/>
              <w:tab w:val="right" w:pos="9026" w:leader="dot"/>
            </w:tabs>
            <w:rPr/>
          </w:pPr>
          <w:hyperlink w:anchor="__RefHeading___Toc3266362_2870459653">
            <w:r>
              <w:rPr>
                <w:webHidden/>
                <w:rStyle w:val="IndexLink"/>
                <w:rtl w:val="true"/>
              </w:rPr>
              <w:t>الاتجاه الثاني</w:t>
            </w:r>
            <w:r>
              <w:rPr>
                <w:rStyle w:val="IndexLink"/>
                <w:rtl w:val="true"/>
              </w:rPr>
              <w:tab/>
            </w:r>
            <w:r>
              <w:rPr>
                <w:rStyle w:val="IndexLink"/>
              </w:rPr>
              <w:t>188</w:t>
            </w:r>
          </w:hyperlink>
        </w:p>
        <w:p>
          <w:pPr>
            <w:pStyle w:val="Contents6"/>
            <w:tabs>
              <w:tab w:val="clear" w:pos="7609"/>
              <w:tab w:val="right" w:pos="9026" w:leader="dot"/>
            </w:tabs>
            <w:rPr/>
          </w:pPr>
          <w:hyperlink w:anchor="__RefHeading___Toc3266364_2870459653">
            <w:r>
              <w:rPr>
                <w:webHidden/>
                <w:rStyle w:val="IndexLink"/>
                <w:rtl w:val="true"/>
              </w:rPr>
              <w:t>اشارة</w:t>
            </w:r>
            <w:r>
              <w:rPr>
                <w:rStyle w:val="IndexLink"/>
                <w:rtl w:val="true"/>
              </w:rPr>
              <w:tab/>
            </w:r>
            <w:r>
              <w:rPr>
                <w:rStyle w:val="IndexLink"/>
              </w:rPr>
              <w:t>188</w:t>
            </w:r>
          </w:hyperlink>
        </w:p>
        <w:p>
          <w:pPr>
            <w:pStyle w:val="Contents6"/>
            <w:tabs>
              <w:tab w:val="clear" w:pos="7609"/>
              <w:tab w:val="right" w:pos="9026" w:leader="dot"/>
            </w:tabs>
            <w:rPr/>
          </w:pPr>
          <w:hyperlink w:anchor="__RefHeading___Toc3266366_2870459653">
            <w:r>
              <w:rPr>
                <w:webHidden/>
                <w:rStyle w:val="IndexLink"/>
                <w:rtl w:val="true"/>
              </w:rPr>
              <w:t>النقطة الأولى</w:t>
            </w:r>
            <w:r>
              <w:rPr>
                <w:rStyle w:val="IndexLink"/>
                <w:rtl w:val="true"/>
              </w:rPr>
              <w:tab/>
            </w:r>
            <w:r>
              <w:rPr>
                <w:rStyle w:val="IndexLink"/>
              </w:rPr>
              <w:t>191</w:t>
            </w:r>
          </w:hyperlink>
        </w:p>
        <w:p>
          <w:pPr>
            <w:pStyle w:val="Contents6"/>
            <w:tabs>
              <w:tab w:val="clear" w:pos="7609"/>
              <w:tab w:val="right" w:pos="9026" w:leader="dot"/>
            </w:tabs>
            <w:rPr/>
          </w:pPr>
          <w:hyperlink w:anchor="__RefHeading___Toc3266368_2870459653">
            <w:r>
              <w:rPr>
                <w:webHidden/>
                <w:rStyle w:val="IndexLink"/>
                <w:rtl w:val="true"/>
              </w:rPr>
              <w:t>النقطة الثانية</w:t>
            </w:r>
            <w:r>
              <w:rPr>
                <w:rStyle w:val="IndexLink"/>
                <w:rtl w:val="true"/>
              </w:rPr>
              <w:tab/>
            </w:r>
            <w:r>
              <w:rPr>
                <w:rStyle w:val="IndexLink"/>
              </w:rPr>
              <w:t>192</w:t>
            </w:r>
          </w:hyperlink>
        </w:p>
        <w:p>
          <w:pPr>
            <w:pStyle w:val="Contents6"/>
            <w:tabs>
              <w:tab w:val="clear" w:pos="7609"/>
              <w:tab w:val="right" w:pos="9026" w:leader="dot"/>
            </w:tabs>
            <w:rPr/>
          </w:pPr>
          <w:hyperlink w:anchor="__RefHeading___Toc3266370_2870459653">
            <w:r>
              <w:rPr>
                <w:webHidden/>
                <w:rStyle w:val="IndexLink"/>
                <w:rtl w:val="true"/>
              </w:rPr>
              <w:t>النقطة الثالثة</w:t>
            </w:r>
            <w:r>
              <w:rPr>
                <w:rStyle w:val="IndexLink"/>
                <w:rtl w:val="true"/>
              </w:rPr>
              <w:tab/>
            </w:r>
            <w:r>
              <w:rPr>
                <w:rStyle w:val="IndexLink"/>
              </w:rPr>
              <w:t>192</w:t>
            </w:r>
          </w:hyperlink>
        </w:p>
        <w:p>
          <w:pPr>
            <w:pStyle w:val="Contents6"/>
            <w:tabs>
              <w:tab w:val="clear" w:pos="7609"/>
              <w:tab w:val="right" w:pos="9026" w:leader="dot"/>
            </w:tabs>
            <w:rPr/>
          </w:pPr>
          <w:hyperlink w:anchor="__RefHeading___Toc3266372_2870459653">
            <w:r>
              <w:rPr>
                <w:webHidden/>
                <w:rStyle w:val="IndexLink"/>
                <w:rtl w:val="true"/>
              </w:rPr>
              <w:t>النقطة الرابعة</w:t>
            </w:r>
            <w:r>
              <w:rPr>
                <w:rStyle w:val="IndexLink"/>
                <w:rtl w:val="true"/>
              </w:rPr>
              <w:tab/>
            </w:r>
            <w:r>
              <w:rPr>
                <w:rStyle w:val="IndexLink"/>
              </w:rPr>
              <w:t>193</w:t>
            </w:r>
          </w:hyperlink>
        </w:p>
        <w:p>
          <w:pPr>
            <w:pStyle w:val="Contents6"/>
            <w:tabs>
              <w:tab w:val="clear" w:pos="7609"/>
              <w:tab w:val="right" w:pos="9026" w:leader="dot"/>
            </w:tabs>
            <w:rPr/>
          </w:pPr>
          <w:hyperlink w:anchor="__RefHeading___Toc3266374_2870459653">
            <w:r>
              <w:rPr>
                <w:webHidden/>
                <w:rStyle w:val="IndexLink"/>
                <w:rtl w:val="true"/>
              </w:rPr>
              <w:t>النقطة الخامسة</w:t>
            </w:r>
            <w:r>
              <w:rPr>
                <w:rStyle w:val="IndexLink"/>
                <w:rtl w:val="true"/>
              </w:rPr>
              <w:tab/>
            </w:r>
            <w:r>
              <w:rPr>
                <w:rStyle w:val="IndexLink"/>
              </w:rPr>
              <w:t>193</w:t>
            </w:r>
          </w:hyperlink>
        </w:p>
        <w:p>
          <w:pPr>
            <w:pStyle w:val="Contents6"/>
            <w:tabs>
              <w:tab w:val="clear" w:pos="7609"/>
              <w:tab w:val="right" w:pos="9026" w:leader="dot"/>
            </w:tabs>
            <w:rPr/>
          </w:pPr>
          <w:hyperlink w:anchor="__RefHeading___Toc3266376_2870459653">
            <w:r>
              <w:rPr>
                <w:webHidden/>
                <w:rStyle w:val="IndexLink"/>
                <w:rtl w:val="true"/>
              </w:rPr>
              <w:t>اشارة</w:t>
            </w:r>
            <w:r>
              <w:rPr>
                <w:rStyle w:val="IndexLink"/>
                <w:rtl w:val="true"/>
              </w:rPr>
              <w:tab/>
            </w:r>
            <w:r>
              <w:rPr>
                <w:rStyle w:val="IndexLink"/>
              </w:rPr>
              <w:t>193</w:t>
            </w:r>
          </w:hyperlink>
        </w:p>
        <w:p>
          <w:pPr>
            <w:pStyle w:val="Contents6"/>
            <w:tabs>
              <w:tab w:val="clear" w:pos="7609"/>
              <w:tab w:val="right" w:pos="9026" w:leader="dot"/>
            </w:tabs>
            <w:rPr/>
          </w:pPr>
          <w:hyperlink w:anchor="__RefHeading___Toc3266378_2870459653">
            <w:r>
              <w:rPr>
                <w:webHidden/>
                <w:rStyle w:val="IndexLink"/>
                <w:rtl w:val="true"/>
              </w:rPr>
              <w:t>الجواب الأول</w:t>
            </w:r>
            <w:r>
              <w:rPr>
                <w:rStyle w:val="IndexLink"/>
                <w:rtl w:val="true"/>
              </w:rPr>
              <w:tab/>
            </w:r>
            <w:r>
              <w:rPr>
                <w:rStyle w:val="IndexLink"/>
              </w:rPr>
              <w:t>193</w:t>
            </w:r>
          </w:hyperlink>
        </w:p>
        <w:p>
          <w:pPr>
            <w:pStyle w:val="Contents6"/>
            <w:tabs>
              <w:tab w:val="clear" w:pos="7609"/>
              <w:tab w:val="right" w:pos="9026" w:leader="dot"/>
            </w:tabs>
            <w:rPr/>
          </w:pPr>
          <w:hyperlink w:anchor="__RefHeading___Toc3266380_2870459653">
            <w:r>
              <w:rPr>
                <w:webHidden/>
                <w:rStyle w:val="IndexLink"/>
                <w:rtl w:val="true"/>
              </w:rPr>
              <w:t>الجواب الثاني</w:t>
            </w:r>
            <w:r>
              <w:rPr>
                <w:rStyle w:val="IndexLink"/>
                <w:rtl w:val="true"/>
              </w:rPr>
              <w:tab/>
            </w:r>
            <w:r>
              <w:rPr>
                <w:rStyle w:val="IndexLink"/>
              </w:rPr>
              <w:t>193</w:t>
            </w:r>
          </w:hyperlink>
        </w:p>
        <w:p>
          <w:pPr>
            <w:pStyle w:val="Contents2"/>
            <w:tabs>
              <w:tab w:val="clear" w:pos="8743"/>
              <w:tab w:val="right" w:pos="9026" w:leader="dot"/>
            </w:tabs>
            <w:rPr/>
          </w:pPr>
          <w:hyperlink w:anchor="__RefHeading___Toc3266382_2870459653">
            <w:r>
              <w:rPr>
                <w:webHidden/>
                <w:rStyle w:val="IndexLink"/>
                <w:rtl w:val="true"/>
              </w:rPr>
              <w:t xml:space="preserve">رجال الجواهر </w:t>
            </w:r>
            <w:r>
              <w:rPr>
                <w:rStyle w:val="IndexLink"/>
                <w:rtl w:val="true"/>
              </w:rPr>
              <w:t>(</w:t>
            </w:r>
            <w:r>
              <w:rPr>
                <w:rStyle w:val="IndexLink"/>
                <w:rtl w:val="true"/>
              </w:rPr>
              <w:t>الحلقة الثّانية</w:t>
            </w:r>
            <w:r>
              <w:rPr>
                <w:rStyle w:val="IndexLink"/>
                <w:rtl w:val="true"/>
              </w:rPr>
              <w:t xml:space="preserve">) - </w:t>
            </w:r>
            <w:r>
              <w:rPr>
                <w:rStyle w:val="IndexLink"/>
                <w:rtl w:val="true"/>
              </w:rPr>
              <w:t xml:space="preserve">الشّيخ عليّ سعدون الغزّيّ </w:t>
            </w:r>
            <w:r>
              <w:rPr>
                <w:rStyle w:val="IndexLink"/>
                <w:rtl w:val="true"/>
              </w:rPr>
              <w:t>(</w:t>
            </w:r>
            <w:r>
              <w:rPr>
                <w:rStyle w:val="IndexLink"/>
                <w:rtl w:val="true"/>
              </w:rPr>
              <w:t>دام عزه</w:t>
            </w:r>
            <w:r>
              <w:rPr>
                <w:rStyle w:val="IndexLink"/>
                <w:rtl w:val="true"/>
              </w:rPr>
              <w:t>)</w:t>
              <w:tab/>
            </w:r>
            <w:r>
              <w:rPr>
                <w:rStyle w:val="IndexLink"/>
              </w:rPr>
              <w:t>195</w:t>
            </w:r>
          </w:hyperlink>
        </w:p>
        <w:p>
          <w:pPr>
            <w:pStyle w:val="Contents3"/>
            <w:tabs>
              <w:tab w:val="clear" w:pos="8459"/>
              <w:tab w:val="right" w:pos="9026" w:leader="dot"/>
            </w:tabs>
            <w:rPr/>
          </w:pPr>
          <w:hyperlink w:anchor="__RefHeading___Toc3266384_2870459653">
            <w:r>
              <w:rPr>
                <w:webHidden/>
                <w:rStyle w:val="IndexLink"/>
                <w:rtl w:val="true"/>
              </w:rPr>
              <w:t>اشارة</w:t>
            </w:r>
            <w:r>
              <w:rPr>
                <w:rStyle w:val="IndexLink"/>
                <w:rtl w:val="true"/>
              </w:rPr>
              <w:tab/>
            </w:r>
            <w:r>
              <w:rPr>
                <w:rStyle w:val="IndexLink"/>
              </w:rPr>
              <w:t>195</w:t>
            </w:r>
          </w:hyperlink>
        </w:p>
        <w:p>
          <w:pPr>
            <w:pStyle w:val="Contents3"/>
            <w:tabs>
              <w:tab w:val="clear" w:pos="8459"/>
              <w:tab w:val="right" w:pos="9026" w:leader="dot"/>
            </w:tabs>
            <w:rPr/>
          </w:pPr>
          <w:hyperlink w:anchor="__RefHeading___Toc3266386_2870459653">
            <w:r>
              <w:rPr>
                <w:webHidden/>
                <w:rStyle w:val="IndexLink"/>
                <w:rtl w:val="true"/>
              </w:rPr>
              <w:t>المقدّمة</w:t>
            </w:r>
            <w:r>
              <w:rPr>
                <w:rStyle w:val="IndexLink"/>
                <w:rtl w:val="true"/>
              </w:rPr>
              <w:tab/>
            </w:r>
            <w:r>
              <w:rPr>
                <w:rStyle w:val="IndexLink"/>
              </w:rPr>
              <w:t>197</w:t>
            </w:r>
          </w:hyperlink>
        </w:p>
        <w:p>
          <w:pPr>
            <w:pStyle w:val="Contents4"/>
            <w:tabs>
              <w:tab w:val="clear" w:pos="8176"/>
              <w:tab w:val="right" w:pos="9026" w:leader="dot"/>
            </w:tabs>
            <w:rPr/>
          </w:pPr>
          <w:hyperlink w:anchor="__RefHeading___Toc3266388_2870459653">
            <w:r>
              <w:rPr>
                <w:webHidden/>
                <w:rStyle w:val="IndexLink"/>
                <w:rtl w:val="true"/>
              </w:rPr>
              <w:t>اشارة</w:t>
            </w:r>
            <w:r>
              <w:rPr>
                <w:rStyle w:val="IndexLink"/>
                <w:rtl w:val="true"/>
              </w:rPr>
              <w:tab/>
            </w:r>
            <w:r>
              <w:rPr>
                <w:rStyle w:val="IndexLink"/>
              </w:rPr>
              <w:t>197</w:t>
            </w:r>
          </w:hyperlink>
        </w:p>
        <w:p>
          <w:pPr>
            <w:pStyle w:val="Contents4"/>
            <w:tabs>
              <w:tab w:val="clear" w:pos="8176"/>
              <w:tab w:val="right" w:pos="9026" w:leader="dot"/>
            </w:tabs>
            <w:rPr/>
          </w:pPr>
          <w:hyperlink w:anchor="__RefHeading___Toc3266390_2870459653">
            <w:r>
              <w:rPr>
                <w:webHidden/>
                <w:rStyle w:val="IndexLink"/>
                <w:rtl w:val="true"/>
              </w:rPr>
              <w:t>المحور الأوّل</w:t>
            </w:r>
            <w:r>
              <w:rPr>
                <w:rStyle w:val="IndexLink"/>
                <w:rtl w:val="true"/>
              </w:rPr>
              <w:t xml:space="preserve">: </w:t>
            </w:r>
            <w:r>
              <w:rPr>
                <w:rStyle w:val="IndexLink"/>
                <w:rtl w:val="true"/>
              </w:rPr>
              <w:t>ما يتعلّق بأحوال السند</w:t>
            </w:r>
            <w:r>
              <w:rPr>
                <w:rStyle w:val="IndexLink"/>
                <w:rtl w:val="true"/>
              </w:rPr>
              <w:tab/>
            </w:r>
            <w:r>
              <w:rPr>
                <w:rStyle w:val="IndexLink"/>
              </w:rPr>
              <w:t>197</w:t>
            </w:r>
          </w:hyperlink>
        </w:p>
        <w:p>
          <w:pPr>
            <w:pStyle w:val="Contents4"/>
            <w:tabs>
              <w:tab w:val="clear" w:pos="8176"/>
              <w:tab w:val="right" w:pos="9026" w:leader="dot"/>
            </w:tabs>
            <w:rPr/>
          </w:pPr>
          <w:hyperlink w:anchor="__RefHeading___Toc3266392_2870459653">
            <w:r>
              <w:rPr>
                <w:webHidden/>
                <w:rStyle w:val="IndexLink"/>
                <w:rtl w:val="true"/>
              </w:rPr>
              <w:t>المحور الثاني</w:t>
            </w:r>
            <w:r>
              <w:rPr>
                <w:rStyle w:val="IndexLink"/>
                <w:rtl w:val="true"/>
              </w:rPr>
              <w:t xml:space="preserve">: </w:t>
            </w:r>
            <w:r>
              <w:rPr>
                <w:rStyle w:val="IndexLink"/>
                <w:rtl w:val="true"/>
              </w:rPr>
              <w:t>ما يتعلّق بمتن الحديث</w:t>
            </w:r>
            <w:r>
              <w:rPr>
                <w:rStyle w:val="IndexLink"/>
                <w:rtl w:val="true"/>
              </w:rPr>
              <w:tab/>
            </w:r>
            <w:r>
              <w:rPr>
                <w:rStyle w:val="IndexLink"/>
              </w:rPr>
              <w:t>198</w:t>
            </w:r>
          </w:hyperlink>
        </w:p>
        <w:p>
          <w:pPr>
            <w:pStyle w:val="Contents4"/>
            <w:tabs>
              <w:tab w:val="clear" w:pos="8176"/>
              <w:tab w:val="right" w:pos="9026" w:leader="dot"/>
            </w:tabs>
            <w:rPr/>
          </w:pPr>
          <w:hyperlink w:anchor="__RefHeading___Toc3266394_2870459653">
            <w:r>
              <w:rPr>
                <w:webHidden/>
                <w:rStyle w:val="IndexLink"/>
                <w:rtl w:val="true"/>
              </w:rPr>
              <w:t>المحور الثالث</w:t>
            </w:r>
            <w:r>
              <w:rPr>
                <w:rStyle w:val="IndexLink"/>
                <w:rtl w:val="true"/>
              </w:rPr>
              <w:t xml:space="preserve">: </w:t>
            </w:r>
            <w:r>
              <w:rPr>
                <w:rStyle w:val="IndexLink"/>
                <w:rtl w:val="true"/>
              </w:rPr>
              <w:t>ما يتعلّق ببيان الموقف من بعض الكتب الروائية</w:t>
            </w:r>
            <w:r>
              <w:rPr>
                <w:rStyle w:val="IndexLink"/>
                <w:rtl w:val="true"/>
              </w:rPr>
              <w:tab/>
            </w:r>
            <w:r>
              <w:rPr>
                <w:rStyle w:val="IndexLink"/>
              </w:rPr>
              <w:t>198</w:t>
            </w:r>
          </w:hyperlink>
        </w:p>
        <w:p>
          <w:pPr>
            <w:pStyle w:val="Contents3"/>
            <w:tabs>
              <w:tab w:val="clear" w:pos="8459"/>
              <w:tab w:val="right" w:pos="9026" w:leader="dot"/>
            </w:tabs>
            <w:rPr/>
          </w:pPr>
          <w:hyperlink w:anchor="__RefHeading___Toc3266396_2870459653">
            <w:r>
              <w:rPr>
                <w:webHidden/>
                <w:rStyle w:val="IndexLink"/>
                <w:rtl w:val="true"/>
              </w:rPr>
              <w:t>الصحيح</w:t>
            </w:r>
            <w:r>
              <w:rPr>
                <w:rStyle w:val="IndexLink"/>
                <w:rtl w:val="true"/>
              </w:rPr>
              <w:tab/>
            </w:r>
            <w:r>
              <w:rPr>
                <w:rStyle w:val="IndexLink"/>
              </w:rPr>
              <w:t>200</w:t>
            </w:r>
          </w:hyperlink>
        </w:p>
        <w:p>
          <w:pPr>
            <w:pStyle w:val="Contents4"/>
            <w:tabs>
              <w:tab w:val="clear" w:pos="8176"/>
              <w:tab w:val="right" w:pos="9026" w:leader="dot"/>
            </w:tabs>
            <w:rPr/>
          </w:pPr>
          <w:hyperlink w:anchor="__RefHeading___Toc3266398_2870459653">
            <w:r>
              <w:rPr>
                <w:webHidden/>
                <w:rStyle w:val="IndexLink"/>
                <w:rtl w:val="true"/>
              </w:rPr>
              <w:t>اشارة</w:t>
            </w:r>
            <w:r>
              <w:rPr>
                <w:rStyle w:val="IndexLink"/>
                <w:rtl w:val="true"/>
              </w:rPr>
              <w:tab/>
            </w:r>
            <w:r>
              <w:rPr>
                <w:rStyle w:val="IndexLink"/>
              </w:rPr>
              <w:t>200</w:t>
            </w:r>
          </w:hyperlink>
        </w:p>
        <w:p>
          <w:pPr>
            <w:pStyle w:val="Contents4"/>
            <w:tabs>
              <w:tab w:val="clear" w:pos="8176"/>
              <w:tab w:val="right" w:pos="9026" w:leader="dot"/>
            </w:tabs>
            <w:rPr/>
          </w:pPr>
          <w:hyperlink w:anchor="__RefHeading___Toc3266400_2870459653">
            <w:r>
              <w:rPr>
                <w:webHidden/>
                <w:rStyle w:val="IndexLink"/>
                <w:rtl w:val="true"/>
              </w:rPr>
              <w:t>أولاً</w:t>
            </w:r>
            <w:r>
              <w:rPr>
                <w:rStyle w:val="IndexLink"/>
                <w:rtl w:val="true"/>
              </w:rPr>
              <w:t xml:space="preserve">: </w:t>
            </w:r>
            <w:r>
              <w:rPr>
                <w:rStyle w:val="IndexLink"/>
                <w:rtl w:val="true"/>
              </w:rPr>
              <w:t>الصحيح القدمائي</w:t>
            </w:r>
            <w:r>
              <w:rPr>
                <w:rStyle w:val="IndexLink"/>
                <w:rtl w:val="true"/>
              </w:rPr>
              <w:tab/>
            </w:r>
            <w:r>
              <w:rPr>
                <w:rStyle w:val="IndexLink"/>
              </w:rPr>
              <w:t>200</w:t>
            </w:r>
          </w:hyperlink>
        </w:p>
        <w:p>
          <w:pPr>
            <w:pStyle w:val="Contents4"/>
            <w:tabs>
              <w:tab w:val="clear" w:pos="8176"/>
              <w:tab w:val="right" w:pos="9026" w:leader="dot"/>
            </w:tabs>
            <w:rPr/>
          </w:pPr>
          <w:hyperlink w:anchor="__RefHeading___Toc3266402_2870459653">
            <w:r>
              <w:rPr>
                <w:webHidden/>
                <w:rStyle w:val="IndexLink"/>
                <w:rtl w:val="true"/>
              </w:rPr>
              <w:t>ثانياً</w:t>
            </w:r>
            <w:r>
              <w:rPr>
                <w:rStyle w:val="IndexLink"/>
                <w:rtl w:val="true"/>
              </w:rPr>
              <w:t xml:space="preserve">: </w:t>
            </w:r>
            <w:r>
              <w:rPr>
                <w:rStyle w:val="IndexLink"/>
                <w:rtl w:val="true"/>
              </w:rPr>
              <w:t>الصحيح المتأخّري</w:t>
            </w:r>
            <w:r>
              <w:rPr>
                <w:rStyle w:val="IndexLink"/>
                <w:rtl w:val="true"/>
              </w:rPr>
              <w:tab/>
            </w:r>
            <w:r>
              <w:rPr>
                <w:rStyle w:val="IndexLink"/>
              </w:rPr>
              <w:t>203</w:t>
            </w:r>
          </w:hyperlink>
        </w:p>
        <w:p>
          <w:pPr>
            <w:pStyle w:val="Contents5"/>
            <w:tabs>
              <w:tab w:val="clear" w:pos="7892"/>
              <w:tab w:val="right" w:pos="9026" w:leader="dot"/>
            </w:tabs>
            <w:rPr/>
          </w:pPr>
          <w:hyperlink w:anchor="__RefHeading___Toc3266404_2870459653">
            <w:r>
              <w:rPr>
                <w:webHidden/>
                <w:rStyle w:val="IndexLink"/>
                <w:rtl w:val="true"/>
              </w:rPr>
              <w:t>اشارة</w:t>
            </w:r>
            <w:r>
              <w:rPr>
                <w:rStyle w:val="IndexLink"/>
                <w:rtl w:val="true"/>
              </w:rPr>
              <w:tab/>
            </w:r>
            <w:r>
              <w:rPr>
                <w:rStyle w:val="IndexLink"/>
              </w:rPr>
              <w:t>203</w:t>
            </w:r>
          </w:hyperlink>
        </w:p>
        <w:p>
          <w:pPr>
            <w:pStyle w:val="Contents5"/>
            <w:tabs>
              <w:tab w:val="clear" w:pos="7892"/>
              <w:tab w:val="right" w:pos="9026" w:leader="dot"/>
            </w:tabs>
            <w:rPr/>
          </w:pPr>
          <w:hyperlink w:anchor="__RefHeading___Toc3266406_2870459653">
            <w:r>
              <w:rPr>
                <w:webHidden/>
                <w:rStyle w:val="IndexLink"/>
                <w:rtl w:val="true"/>
              </w:rPr>
              <w:t>الأمر الأوّل</w:t>
            </w:r>
            <w:r>
              <w:rPr>
                <w:rStyle w:val="IndexLink"/>
                <w:rtl w:val="true"/>
              </w:rPr>
              <w:t xml:space="preserve">: </w:t>
            </w:r>
            <w:r>
              <w:rPr>
                <w:rStyle w:val="IndexLink"/>
                <w:rtl w:val="true"/>
              </w:rPr>
              <w:t>الصحّة الإضافية</w:t>
            </w:r>
            <w:r>
              <w:rPr>
                <w:rStyle w:val="IndexLink"/>
                <w:rtl w:val="true"/>
              </w:rPr>
              <w:tab/>
            </w:r>
            <w:r>
              <w:rPr>
                <w:rStyle w:val="IndexLink"/>
              </w:rPr>
              <w:t>205</w:t>
            </w:r>
          </w:hyperlink>
        </w:p>
        <w:p>
          <w:pPr>
            <w:pStyle w:val="Contents5"/>
            <w:tabs>
              <w:tab w:val="clear" w:pos="7892"/>
              <w:tab w:val="right" w:pos="9026" w:leader="dot"/>
            </w:tabs>
            <w:rPr/>
          </w:pPr>
          <w:hyperlink w:anchor="__RefHeading___Toc3266408_2870459653">
            <w:r>
              <w:rPr>
                <w:webHidden/>
                <w:rStyle w:val="IndexLink"/>
                <w:rtl w:val="true"/>
              </w:rPr>
              <w:t>الأمر الآخر</w:t>
            </w:r>
            <w:r>
              <w:rPr>
                <w:rStyle w:val="IndexLink"/>
                <w:rtl w:val="true"/>
              </w:rPr>
              <w:t xml:space="preserve">: </w:t>
            </w:r>
            <w:r>
              <w:rPr>
                <w:rStyle w:val="IndexLink"/>
                <w:rtl w:val="true"/>
              </w:rPr>
              <w:t>أعلى درجات الصحّة</w:t>
            </w:r>
            <w:r>
              <w:rPr>
                <w:rStyle w:val="IndexLink"/>
                <w:rtl w:val="true"/>
              </w:rPr>
              <w:tab/>
            </w:r>
            <w:r>
              <w:rPr>
                <w:rStyle w:val="IndexLink"/>
              </w:rPr>
              <w:t>206</w:t>
            </w:r>
          </w:hyperlink>
        </w:p>
        <w:p>
          <w:pPr>
            <w:pStyle w:val="Contents6"/>
            <w:tabs>
              <w:tab w:val="clear" w:pos="7609"/>
              <w:tab w:val="right" w:pos="9026" w:leader="dot"/>
            </w:tabs>
            <w:rPr/>
          </w:pPr>
          <w:hyperlink w:anchor="__RefHeading___Toc3266410_2870459653">
            <w:r>
              <w:rPr>
                <w:webHidden/>
                <w:rStyle w:val="IndexLink"/>
                <w:rtl w:val="true"/>
              </w:rPr>
              <w:t>اشارة</w:t>
            </w:r>
            <w:r>
              <w:rPr>
                <w:rStyle w:val="IndexLink"/>
                <w:rtl w:val="true"/>
              </w:rPr>
              <w:tab/>
            </w:r>
            <w:r>
              <w:rPr>
                <w:rStyle w:val="IndexLink"/>
              </w:rPr>
              <w:t>206</w:t>
            </w:r>
          </w:hyperlink>
        </w:p>
        <w:p>
          <w:pPr>
            <w:pStyle w:val="Contents6"/>
            <w:tabs>
              <w:tab w:val="clear" w:pos="7609"/>
              <w:tab w:val="right" w:pos="9026" w:leader="dot"/>
            </w:tabs>
            <w:rPr/>
          </w:pPr>
          <w:hyperlink w:anchor="__RefHeading___Toc3266412_2870459653">
            <w:r>
              <w:rPr>
                <w:webHidden/>
                <w:rStyle w:val="IndexLink"/>
                <w:rtl w:val="true"/>
              </w:rPr>
              <w:t>المورد الأوّل</w:t>
            </w:r>
            <w:r>
              <w:rPr>
                <w:rStyle w:val="IndexLink"/>
                <w:rtl w:val="true"/>
              </w:rPr>
              <w:tab/>
            </w:r>
            <w:r>
              <w:rPr>
                <w:rStyle w:val="IndexLink"/>
              </w:rPr>
              <w:t>207</w:t>
            </w:r>
          </w:hyperlink>
        </w:p>
        <w:p>
          <w:pPr>
            <w:pStyle w:val="Contents6"/>
            <w:tabs>
              <w:tab w:val="clear" w:pos="7609"/>
              <w:tab w:val="right" w:pos="9026" w:leader="dot"/>
            </w:tabs>
            <w:rPr/>
          </w:pPr>
          <w:hyperlink w:anchor="__RefHeading___Toc3266414_2870459653">
            <w:r>
              <w:rPr>
                <w:webHidden/>
                <w:rStyle w:val="IndexLink"/>
                <w:rtl w:val="true"/>
              </w:rPr>
              <w:t>المورد الثاني</w:t>
            </w:r>
            <w:r>
              <w:rPr>
                <w:rStyle w:val="IndexLink"/>
                <w:rtl w:val="true"/>
              </w:rPr>
              <w:tab/>
            </w:r>
            <w:r>
              <w:rPr>
                <w:rStyle w:val="IndexLink"/>
              </w:rPr>
              <w:t>207</w:t>
            </w:r>
          </w:hyperlink>
        </w:p>
        <w:p>
          <w:pPr>
            <w:pStyle w:val="Contents6"/>
            <w:tabs>
              <w:tab w:val="clear" w:pos="7609"/>
              <w:tab w:val="right" w:pos="9026" w:leader="dot"/>
            </w:tabs>
            <w:rPr/>
          </w:pPr>
          <w:hyperlink w:anchor="__RefHeading___Toc3266416_2870459653">
            <w:r>
              <w:rPr>
                <w:webHidden/>
                <w:rStyle w:val="IndexLink"/>
                <w:rtl w:val="true"/>
              </w:rPr>
              <w:t>المورد الثالث</w:t>
            </w:r>
            <w:r>
              <w:rPr>
                <w:rStyle w:val="IndexLink"/>
                <w:rtl w:val="true"/>
              </w:rPr>
              <w:tab/>
            </w:r>
            <w:r>
              <w:rPr>
                <w:rStyle w:val="IndexLink"/>
              </w:rPr>
              <w:t>208</w:t>
            </w:r>
          </w:hyperlink>
        </w:p>
        <w:p>
          <w:pPr>
            <w:pStyle w:val="Contents6"/>
            <w:tabs>
              <w:tab w:val="clear" w:pos="7609"/>
              <w:tab w:val="right" w:pos="9026" w:leader="dot"/>
            </w:tabs>
            <w:rPr/>
          </w:pPr>
          <w:hyperlink w:anchor="__RefHeading___Toc3266418_2870459653">
            <w:r>
              <w:rPr>
                <w:webHidden/>
                <w:rStyle w:val="IndexLink"/>
                <w:rtl w:val="true"/>
              </w:rPr>
              <w:t>المورد الرابع</w:t>
            </w:r>
            <w:r>
              <w:rPr>
                <w:rStyle w:val="IndexLink"/>
                <w:rtl w:val="true"/>
              </w:rPr>
              <w:tab/>
            </w:r>
            <w:r>
              <w:rPr>
                <w:rStyle w:val="IndexLink"/>
              </w:rPr>
              <w:t>209</w:t>
            </w:r>
          </w:hyperlink>
        </w:p>
        <w:p>
          <w:pPr>
            <w:pStyle w:val="Contents6"/>
            <w:tabs>
              <w:tab w:val="clear" w:pos="7609"/>
              <w:tab w:val="right" w:pos="9026" w:leader="dot"/>
            </w:tabs>
            <w:rPr/>
          </w:pPr>
          <w:hyperlink w:anchor="__RefHeading___Toc3266420_2870459653">
            <w:r>
              <w:rPr>
                <w:webHidden/>
                <w:rStyle w:val="IndexLink"/>
                <w:rtl w:val="true"/>
              </w:rPr>
              <w:t>المورد الخامس</w:t>
            </w:r>
            <w:r>
              <w:rPr>
                <w:rStyle w:val="IndexLink"/>
                <w:rtl w:val="true"/>
              </w:rPr>
              <w:tab/>
            </w:r>
            <w:r>
              <w:rPr>
                <w:rStyle w:val="IndexLink"/>
              </w:rPr>
              <w:t>209</w:t>
            </w:r>
          </w:hyperlink>
        </w:p>
        <w:p>
          <w:pPr>
            <w:pStyle w:val="Contents6"/>
            <w:tabs>
              <w:tab w:val="clear" w:pos="7609"/>
              <w:tab w:val="right" w:pos="9026" w:leader="dot"/>
            </w:tabs>
            <w:rPr/>
          </w:pPr>
          <w:hyperlink w:anchor="__RefHeading___Toc3266422_2870459653">
            <w:r>
              <w:rPr>
                <w:webHidden/>
                <w:rStyle w:val="IndexLink"/>
                <w:rtl w:val="true"/>
              </w:rPr>
              <w:t>المورد السادس</w:t>
            </w:r>
            <w:r>
              <w:rPr>
                <w:rStyle w:val="IndexLink"/>
                <w:rtl w:val="true"/>
              </w:rPr>
              <w:tab/>
            </w:r>
            <w:r>
              <w:rPr>
                <w:rStyle w:val="IndexLink"/>
              </w:rPr>
              <w:t>210</w:t>
            </w:r>
          </w:hyperlink>
        </w:p>
        <w:p>
          <w:pPr>
            <w:pStyle w:val="Contents3"/>
            <w:tabs>
              <w:tab w:val="clear" w:pos="8459"/>
              <w:tab w:val="right" w:pos="9026" w:leader="dot"/>
            </w:tabs>
            <w:rPr/>
          </w:pPr>
          <w:hyperlink w:anchor="__RefHeading___Toc3266424_2870459653">
            <w:r>
              <w:rPr>
                <w:webHidden/>
                <w:rStyle w:val="IndexLink"/>
                <w:rtl w:val="true"/>
              </w:rPr>
              <w:t>جابرية الشهرة</w:t>
            </w:r>
            <w:r>
              <w:rPr>
                <w:rStyle w:val="IndexLink"/>
                <w:rtl w:val="true"/>
              </w:rPr>
              <w:tab/>
            </w:r>
            <w:r>
              <w:rPr>
                <w:rStyle w:val="IndexLink"/>
              </w:rPr>
              <w:t>213</w:t>
            </w:r>
          </w:hyperlink>
        </w:p>
        <w:p>
          <w:pPr>
            <w:pStyle w:val="Contents4"/>
            <w:tabs>
              <w:tab w:val="clear" w:pos="8176"/>
              <w:tab w:val="right" w:pos="9026" w:leader="dot"/>
            </w:tabs>
            <w:rPr/>
          </w:pPr>
          <w:hyperlink w:anchor="__RefHeading___Toc3266426_2870459653">
            <w:r>
              <w:rPr>
                <w:webHidden/>
                <w:rStyle w:val="IndexLink"/>
                <w:rtl w:val="true"/>
              </w:rPr>
              <w:t>اشارة</w:t>
            </w:r>
            <w:r>
              <w:rPr>
                <w:rStyle w:val="IndexLink"/>
                <w:rtl w:val="true"/>
              </w:rPr>
              <w:tab/>
            </w:r>
            <w:r>
              <w:rPr>
                <w:rStyle w:val="IndexLink"/>
              </w:rPr>
              <w:t>213</w:t>
            </w:r>
          </w:hyperlink>
        </w:p>
        <w:p>
          <w:pPr>
            <w:pStyle w:val="Contents4"/>
            <w:tabs>
              <w:tab w:val="clear" w:pos="8176"/>
              <w:tab w:val="right" w:pos="9026" w:leader="dot"/>
            </w:tabs>
            <w:rPr/>
          </w:pPr>
          <w:hyperlink w:anchor="__RefHeading___Toc3266428_2870459653">
            <w:r>
              <w:rPr>
                <w:webHidden/>
                <w:rStyle w:val="IndexLink"/>
                <w:rtl w:val="true"/>
              </w:rPr>
              <w:t>الأمر الأوّل</w:t>
            </w:r>
            <w:r>
              <w:rPr>
                <w:rStyle w:val="IndexLink"/>
                <w:rtl w:val="true"/>
              </w:rPr>
              <w:t xml:space="preserve">: </w:t>
            </w:r>
            <w:r>
              <w:rPr>
                <w:rStyle w:val="IndexLink"/>
                <w:rtl w:val="true"/>
              </w:rPr>
              <w:t>هل تجبر الشهرة الدلالة كما تجبر السند؟</w:t>
            </w:r>
            <w:r>
              <w:rPr>
                <w:rStyle w:val="IndexLink"/>
                <w:rtl w:val="true"/>
              </w:rPr>
              <w:tab/>
            </w:r>
            <w:r>
              <w:rPr>
                <w:rStyle w:val="IndexLink"/>
              </w:rPr>
              <w:t>216</w:t>
            </w:r>
          </w:hyperlink>
        </w:p>
        <w:p>
          <w:pPr>
            <w:pStyle w:val="Contents5"/>
            <w:tabs>
              <w:tab w:val="clear" w:pos="7892"/>
              <w:tab w:val="right" w:pos="9026" w:leader="dot"/>
            </w:tabs>
            <w:rPr/>
          </w:pPr>
          <w:hyperlink w:anchor="__RefHeading___Toc3266430_2870459653">
            <w:r>
              <w:rPr>
                <w:webHidden/>
                <w:rStyle w:val="IndexLink"/>
                <w:rtl w:val="true"/>
              </w:rPr>
              <w:t>اشارة</w:t>
            </w:r>
            <w:r>
              <w:rPr>
                <w:rStyle w:val="IndexLink"/>
                <w:rtl w:val="true"/>
              </w:rPr>
              <w:tab/>
            </w:r>
            <w:r>
              <w:rPr>
                <w:rStyle w:val="IndexLink"/>
              </w:rPr>
              <w:t>216</w:t>
            </w:r>
          </w:hyperlink>
        </w:p>
        <w:p>
          <w:pPr>
            <w:pStyle w:val="Contents5"/>
            <w:tabs>
              <w:tab w:val="clear" w:pos="7892"/>
              <w:tab w:val="right" w:pos="9026" w:leader="dot"/>
            </w:tabs>
            <w:rPr/>
          </w:pPr>
          <w:hyperlink w:anchor="__RefHeading___Toc3266432_2870459653">
            <w:r>
              <w:rPr>
                <w:webHidden/>
                <w:rStyle w:val="IndexLink"/>
                <w:rtl w:val="true"/>
              </w:rPr>
              <w:t>الصورة الأولى</w:t>
            </w:r>
            <w:r>
              <w:rPr>
                <w:rStyle w:val="IndexLink"/>
                <w:rtl w:val="true"/>
              </w:rPr>
              <w:tab/>
            </w:r>
            <w:r>
              <w:rPr>
                <w:rStyle w:val="IndexLink"/>
              </w:rPr>
              <w:t>217</w:t>
            </w:r>
          </w:hyperlink>
        </w:p>
        <w:p>
          <w:pPr>
            <w:pStyle w:val="Contents5"/>
            <w:tabs>
              <w:tab w:val="clear" w:pos="7892"/>
              <w:tab w:val="right" w:pos="9026" w:leader="dot"/>
            </w:tabs>
            <w:rPr/>
          </w:pPr>
          <w:hyperlink w:anchor="__RefHeading___Toc3266434_2870459653">
            <w:r>
              <w:rPr>
                <w:webHidden/>
                <w:rStyle w:val="IndexLink"/>
                <w:rtl w:val="true"/>
              </w:rPr>
              <w:t>الصورة الأخرى</w:t>
            </w:r>
            <w:r>
              <w:rPr>
                <w:rStyle w:val="IndexLink"/>
                <w:rtl w:val="true"/>
              </w:rPr>
              <w:tab/>
            </w:r>
            <w:r>
              <w:rPr>
                <w:rStyle w:val="IndexLink"/>
              </w:rPr>
              <w:t>218</w:t>
            </w:r>
          </w:hyperlink>
        </w:p>
        <w:p>
          <w:pPr>
            <w:pStyle w:val="Contents4"/>
            <w:tabs>
              <w:tab w:val="clear" w:pos="8176"/>
              <w:tab w:val="right" w:pos="9026" w:leader="dot"/>
            </w:tabs>
            <w:rPr/>
          </w:pPr>
          <w:hyperlink w:anchor="__RefHeading___Toc3266436_2870459653">
            <w:r>
              <w:rPr>
                <w:webHidden/>
                <w:rStyle w:val="IndexLink"/>
                <w:rtl w:val="true"/>
              </w:rPr>
              <w:t>الأمر الثاني</w:t>
            </w:r>
            <w:r>
              <w:rPr>
                <w:rStyle w:val="IndexLink"/>
                <w:rtl w:val="true"/>
              </w:rPr>
              <w:t xml:space="preserve">: </w:t>
            </w:r>
            <w:r>
              <w:rPr>
                <w:rStyle w:val="IndexLink"/>
                <w:rtl w:val="true"/>
              </w:rPr>
              <w:t>هل الشهرة الجابرة هي خصوص الشهرة بين القدماء أم تشمل الشهرة بين المتأخّرين؟</w:t>
            </w:r>
            <w:r>
              <w:rPr>
                <w:rStyle w:val="IndexLink"/>
                <w:rtl w:val="true"/>
              </w:rPr>
              <w:tab/>
            </w:r>
            <w:r>
              <w:rPr>
                <w:rStyle w:val="IndexLink"/>
              </w:rPr>
              <w:t>219</w:t>
            </w:r>
          </w:hyperlink>
        </w:p>
        <w:p>
          <w:pPr>
            <w:pStyle w:val="Contents4"/>
            <w:tabs>
              <w:tab w:val="clear" w:pos="8176"/>
              <w:tab w:val="right" w:pos="9026" w:leader="dot"/>
            </w:tabs>
            <w:rPr/>
          </w:pPr>
          <w:hyperlink w:anchor="__RefHeading___Toc3266438_2870459653">
            <w:r>
              <w:rPr>
                <w:webHidden/>
                <w:rStyle w:val="IndexLink"/>
                <w:rtl w:val="true"/>
              </w:rPr>
              <w:t>الأمر الثالث</w:t>
            </w:r>
            <w:r>
              <w:rPr>
                <w:rStyle w:val="IndexLink"/>
                <w:rtl w:val="true"/>
              </w:rPr>
              <w:t xml:space="preserve">: </w:t>
            </w:r>
            <w:r>
              <w:rPr>
                <w:rStyle w:val="IndexLink"/>
                <w:rtl w:val="true"/>
              </w:rPr>
              <w:t>أنّ تحقّق الشهرة متوقّف على تناول المسألة المبحوث فيها في كتب الأعلام</w:t>
            </w:r>
            <w:r>
              <w:rPr>
                <w:rStyle w:val="IndexLink"/>
                <w:rtl w:val="true"/>
              </w:rPr>
              <w:tab/>
            </w:r>
            <w:r>
              <w:rPr>
                <w:rStyle w:val="IndexLink"/>
              </w:rPr>
              <w:t>220</w:t>
            </w:r>
          </w:hyperlink>
        </w:p>
        <w:p>
          <w:pPr>
            <w:pStyle w:val="Contents4"/>
            <w:tabs>
              <w:tab w:val="clear" w:pos="8176"/>
              <w:tab w:val="right" w:pos="9026" w:leader="dot"/>
            </w:tabs>
            <w:rPr/>
          </w:pPr>
          <w:hyperlink w:anchor="__RefHeading___Toc3266440_2870459653">
            <w:r>
              <w:rPr>
                <w:webHidden/>
                <w:rStyle w:val="IndexLink"/>
                <w:rtl w:val="true"/>
              </w:rPr>
              <w:t>الأمر الرابع</w:t>
            </w:r>
            <w:r>
              <w:rPr>
                <w:rStyle w:val="IndexLink"/>
                <w:rtl w:val="true"/>
              </w:rPr>
              <w:t xml:space="preserve">: </w:t>
            </w:r>
            <w:r>
              <w:rPr>
                <w:rStyle w:val="IndexLink"/>
                <w:rtl w:val="true"/>
              </w:rPr>
              <w:t>هل تتوقّف جابرية الشهرة على استناد المشهور بالفعل إلى الخبر أو لا؟</w:t>
            </w:r>
            <w:r>
              <w:rPr>
                <w:rStyle w:val="IndexLink"/>
                <w:rtl w:val="true"/>
              </w:rPr>
              <w:tab/>
            </w:r>
            <w:r>
              <w:rPr>
                <w:rStyle w:val="IndexLink"/>
              </w:rPr>
              <w:t>221</w:t>
            </w:r>
          </w:hyperlink>
        </w:p>
        <w:p>
          <w:pPr>
            <w:pStyle w:val="Contents4"/>
            <w:tabs>
              <w:tab w:val="clear" w:pos="8176"/>
              <w:tab w:val="right" w:pos="9026" w:leader="dot"/>
            </w:tabs>
            <w:rPr/>
          </w:pPr>
          <w:hyperlink w:anchor="__RefHeading___Toc3266442_2870459653">
            <w:r>
              <w:rPr>
                <w:webHidden/>
                <w:rStyle w:val="IndexLink"/>
                <w:rtl w:val="true"/>
              </w:rPr>
              <w:t>الأمر الخامس</w:t>
            </w:r>
            <w:r>
              <w:rPr>
                <w:rStyle w:val="IndexLink"/>
                <w:rtl w:val="true"/>
              </w:rPr>
              <w:t xml:space="preserve">: </w:t>
            </w:r>
            <w:r>
              <w:rPr>
                <w:rStyle w:val="IndexLink"/>
                <w:rtl w:val="true"/>
              </w:rPr>
              <w:t>هل تجبر الشهرة أخبار العامّة؟</w:t>
            </w:r>
            <w:r>
              <w:rPr>
                <w:rStyle w:val="IndexLink"/>
                <w:rtl w:val="true"/>
              </w:rPr>
              <w:tab/>
            </w:r>
            <w:r>
              <w:rPr>
                <w:rStyle w:val="IndexLink"/>
              </w:rPr>
              <w:t>222</w:t>
            </w:r>
          </w:hyperlink>
        </w:p>
        <w:p>
          <w:pPr>
            <w:pStyle w:val="Contents3"/>
            <w:tabs>
              <w:tab w:val="clear" w:pos="8459"/>
              <w:tab w:val="right" w:pos="9026" w:leader="dot"/>
            </w:tabs>
            <w:rPr/>
          </w:pPr>
          <w:hyperlink w:anchor="__RefHeading___Toc3266444_2870459653">
            <w:r>
              <w:rPr>
                <w:webHidden/>
                <w:rStyle w:val="IndexLink"/>
                <w:rtl w:val="true"/>
              </w:rPr>
              <w:t>إعراض المشهور</w:t>
            </w:r>
            <w:r>
              <w:rPr>
                <w:rStyle w:val="IndexLink"/>
                <w:rtl w:val="true"/>
              </w:rPr>
              <w:tab/>
            </w:r>
            <w:r>
              <w:rPr>
                <w:rStyle w:val="IndexLink"/>
              </w:rPr>
              <w:t>223</w:t>
            </w:r>
          </w:hyperlink>
        </w:p>
        <w:p>
          <w:pPr>
            <w:pStyle w:val="Contents4"/>
            <w:tabs>
              <w:tab w:val="clear" w:pos="8176"/>
              <w:tab w:val="right" w:pos="9026" w:leader="dot"/>
            </w:tabs>
            <w:rPr/>
          </w:pPr>
          <w:hyperlink w:anchor="__RefHeading___Toc3266446_2870459653">
            <w:r>
              <w:rPr>
                <w:webHidden/>
                <w:rStyle w:val="IndexLink"/>
                <w:rtl w:val="true"/>
              </w:rPr>
              <w:t>اشارة</w:t>
            </w:r>
            <w:r>
              <w:rPr>
                <w:rStyle w:val="IndexLink"/>
                <w:rtl w:val="true"/>
              </w:rPr>
              <w:tab/>
            </w:r>
            <w:r>
              <w:rPr>
                <w:rStyle w:val="IndexLink"/>
              </w:rPr>
              <w:t>223</w:t>
            </w:r>
          </w:hyperlink>
        </w:p>
        <w:p>
          <w:pPr>
            <w:pStyle w:val="Contents4"/>
            <w:tabs>
              <w:tab w:val="clear" w:pos="8176"/>
              <w:tab w:val="right" w:pos="9026" w:leader="dot"/>
            </w:tabs>
            <w:rPr/>
          </w:pPr>
          <w:hyperlink w:anchor="__RefHeading___Toc3266448_2870459653">
            <w:r>
              <w:rPr>
                <w:webHidden/>
                <w:rStyle w:val="IndexLink"/>
                <w:rtl w:val="true"/>
              </w:rPr>
              <w:t>الأمر الأوّل</w:t>
            </w:r>
            <w:r>
              <w:rPr>
                <w:rStyle w:val="IndexLink"/>
                <w:rtl w:val="true"/>
              </w:rPr>
              <w:t xml:space="preserve">: </w:t>
            </w:r>
            <w:r>
              <w:rPr>
                <w:rStyle w:val="IndexLink"/>
                <w:rtl w:val="true"/>
              </w:rPr>
              <w:t>هل الإعراض المسقط لحجّية الخبر هو خصوص إعراض المتقدّمين أو يشمل المتأخّرين؟</w:t>
            </w:r>
            <w:r>
              <w:rPr>
                <w:rStyle w:val="IndexLink"/>
                <w:rtl w:val="true"/>
              </w:rPr>
              <w:tab/>
            </w:r>
            <w:r>
              <w:rPr>
                <w:rStyle w:val="IndexLink"/>
              </w:rPr>
              <w:t>225</w:t>
            </w:r>
          </w:hyperlink>
        </w:p>
        <w:p>
          <w:pPr>
            <w:pStyle w:val="Contents4"/>
            <w:tabs>
              <w:tab w:val="clear" w:pos="8176"/>
              <w:tab w:val="right" w:pos="9026" w:leader="dot"/>
            </w:tabs>
            <w:rPr/>
          </w:pPr>
          <w:hyperlink w:anchor="__RefHeading___Toc3266450_2870459653">
            <w:r>
              <w:rPr>
                <w:webHidden/>
                <w:rStyle w:val="IndexLink"/>
                <w:rtl w:val="true"/>
              </w:rPr>
              <w:t>الأمر الثاني</w:t>
            </w:r>
            <w:r>
              <w:rPr>
                <w:rStyle w:val="IndexLink"/>
                <w:rtl w:val="true"/>
              </w:rPr>
              <w:t xml:space="preserve">: </w:t>
            </w:r>
            <w:r>
              <w:rPr>
                <w:rStyle w:val="IndexLink"/>
                <w:rtl w:val="true"/>
              </w:rPr>
              <w:t>هل يشترط في تحقّق الإعراض ترك العمل بالخبر من جميع الأعلام أو يكفي فيه أكثرهم؟</w:t>
            </w:r>
            <w:r>
              <w:rPr>
                <w:rStyle w:val="IndexLink"/>
                <w:rtl w:val="true"/>
              </w:rPr>
              <w:tab/>
            </w:r>
            <w:r>
              <w:rPr>
                <w:rStyle w:val="IndexLink"/>
              </w:rPr>
              <w:t>226</w:t>
            </w:r>
          </w:hyperlink>
        </w:p>
        <w:p>
          <w:pPr>
            <w:pStyle w:val="Contents4"/>
            <w:tabs>
              <w:tab w:val="clear" w:pos="8176"/>
              <w:tab w:val="right" w:pos="9026" w:leader="dot"/>
            </w:tabs>
            <w:rPr/>
          </w:pPr>
          <w:hyperlink w:anchor="__RefHeading___Toc3266452_2870459653">
            <w:r>
              <w:rPr>
                <w:webHidden/>
                <w:rStyle w:val="IndexLink"/>
                <w:rtl w:val="true"/>
              </w:rPr>
              <w:t>الأمر الثالث</w:t>
            </w:r>
            <w:r>
              <w:rPr>
                <w:rStyle w:val="IndexLink"/>
                <w:rtl w:val="true"/>
              </w:rPr>
              <w:t xml:space="preserve">: </w:t>
            </w:r>
            <w:r>
              <w:rPr>
                <w:rStyle w:val="IndexLink"/>
                <w:rtl w:val="true"/>
              </w:rPr>
              <w:t>يشترط في تمامية الإعراض أن لا يكون معلوم المنشأ أو محتمله</w:t>
            </w:r>
            <w:r>
              <w:rPr>
                <w:rStyle w:val="IndexLink"/>
                <w:rtl w:val="true"/>
              </w:rPr>
              <w:tab/>
            </w:r>
            <w:r>
              <w:rPr>
                <w:rStyle w:val="IndexLink"/>
              </w:rPr>
              <w:t>227</w:t>
            </w:r>
          </w:hyperlink>
        </w:p>
        <w:p>
          <w:pPr>
            <w:pStyle w:val="Contents3"/>
            <w:tabs>
              <w:tab w:val="clear" w:pos="8459"/>
              <w:tab w:val="right" w:pos="9026" w:leader="dot"/>
            </w:tabs>
            <w:rPr/>
          </w:pPr>
          <w:hyperlink w:anchor="__RefHeading___Toc3266454_2870459653">
            <w:r>
              <w:rPr>
                <w:webHidden/>
                <w:rStyle w:val="IndexLink"/>
                <w:rtl w:val="true"/>
              </w:rPr>
              <w:t>أضبطيّة الكافي</w:t>
            </w:r>
            <w:r>
              <w:rPr>
                <w:rStyle w:val="IndexLink"/>
                <w:rtl w:val="true"/>
              </w:rPr>
              <w:tab/>
            </w:r>
            <w:r>
              <w:rPr>
                <w:rStyle w:val="IndexLink"/>
              </w:rPr>
              <w:t>228</w:t>
            </w:r>
          </w:hyperlink>
        </w:p>
        <w:p>
          <w:pPr>
            <w:pStyle w:val="Contents4"/>
            <w:tabs>
              <w:tab w:val="clear" w:pos="8176"/>
              <w:tab w:val="right" w:pos="9026" w:leader="dot"/>
            </w:tabs>
            <w:rPr/>
          </w:pPr>
          <w:hyperlink w:anchor="__RefHeading___Toc3266456_2870459653">
            <w:r>
              <w:rPr>
                <w:webHidden/>
                <w:rStyle w:val="IndexLink"/>
                <w:rtl w:val="true"/>
              </w:rPr>
              <w:t>اشارة</w:t>
            </w:r>
            <w:r>
              <w:rPr>
                <w:rStyle w:val="IndexLink"/>
                <w:rtl w:val="true"/>
              </w:rPr>
              <w:tab/>
            </w:r>
            <w:r>
              <w:rPr>
                <w:rStyle w:val="IndexLink"/>
              </w:rPr>
              <w:t>228</w:t>
            </w:r>
          </w:hyperlink>
        </w:p>
        <w:p>
          <w:pPr>
            <w:pStyle w:val="Contents4"/>
            <w:tabs>
              <w:tab w:val="clear" w:pos="8176"/>
              <w:tab w:val="right" w:pos="9026" w:leader="dot"/>
            </w:tabs>
            <w:rPr/>
          </w:pPr>
          <w:hyperlink w:anchor="__RefHeading___Toc3266458_2870459653">
            <w:r>
              <w:rPr>
                <w:webHidden/>
                <w:rStyle w:val="IndexLink"/>
                <w:rtl w:val="true"/>
              </w:rPr>
              <w:t>الأمر الأول</w:t>
            </w:r>
            <w:r>
              <w:rPr>
                <w:rStyle w:val="IndexLink"/>
                <w:rtl w:val="true"/>
              </w:rPr>
              <w:tab/>
            </w:r>
            <w:r>
              <w:rPr>
                <w:rStyle w:val="IndexLink"/>
              </w:rPr>
              <w:t>230</w:t>
            </w:r>
          </w:hyperlink>
        </w:p>
        <w:p>
          <w:pPr>
            <w:pStyle w:val="Contents4"/>
            <w:tabs>
              <w:tab w:val="clear" w:pos="8176"/>
              <w:tab w:val="right" w:pos="9026" w:leader="dot"/>
            </w:tabs>
            <w:rPr/>
          </w:pPr>
          <w:hyperlink w:anchor="__RefHeading___Toc3266460_2870459653">
            <w:r>
              <w:rPr>
                <w:webHidden/>
                <w:rStyle w:val="IndexLink"/>
                <w:rtl w:val="true"/>
              </w:rPr>
              <w:t>الأمر الثاني</w:t>
            </w:r>
            <w:r>
              <w:rPr>
                <w:rStyle w:val="IndexLink"/>
                <w:rtl w:val="true"/>
              </w:rPr>
              <w:tab/>
            </w:r>
            <w:r>
              <w:rPr>
                <w:rStyle w:val="IndexLink"/>
              </w:rPr>
              <w:t>230</w:t>
            </w:r>
          </w:hyperlink>
        </w:p>
        <w:p>
          <w:pPr>
            <w:pStyle w:val="Contents4"/>
            <w:tabs>
              <w:tab w:val="clear" w:pos="8176"/>
              <w:tab w:val="right" w:pos="9026" w:leader="dot"/>
            </w:tabs>
            <w:rPr/>
          </w:pPr>
          <w:hyperlink w:anchor="__RefHeading___Toc3266462_2870459653">
            <w:r>
              <w:rPr>
                <w:webHidden/>
                <w:rStyle w:val="IndexLink"/>
                <w:rtl w:val="true"/>
              </w:rPr>
              <w:t>الأمر الثالث</w:t>
            </w:r>
            <w:r>
              <w:rPr>
                <w:rStyle w:val="IndexLink"/>
                <w:rtl w:val="true"/>
              </w:rPr>
              <w:tab/>
            </w:r>
            <w:r>
              <w:rPr>
                <w:rStyle w:val="IndexLink"/>
              </w:rPr>
              <w:t>230</w:t>
            </w:r>
          </w:hyperlink>
        </w:p>
        <w:p>
          <w:pPr>
            <w:pStyle w:val="Contents3"/>
            <w:tabs>
              <w:tab w:val="clear" w:pos="8459"/>
              <w:tab w:val="right" w:pos="9026" w:leader="dot"/>
            </w:tabs>
            <w:rPr/>
          </w:pPr>
          <w:hyperlink w:anchor="__RefHeading___Toc3266464_2870459653">
            <w:r>
              <w:rPr>
                <w:webHidden/>
                <w:rStyle w:val="IndexLink"/>
                <w:rtl w:val="true"/>
              </w:rPr>
              <w:t xml:space="preserve">الجعفريات </w:t>
            </w:r>
            <w:r>
              <w:rPr>
                <w:rStyle w:val="IndexLink"/>
                <w:rtl w:val="true"/>
              </w:rPr>
              <w:t>(</w:t>
            </w:r>
            <w:r>
              <w:rPr>
                <w:rStyle w:val="IndexLink"/>
                <w:rtl w:val="true"/>
              </w:rPr>
              <w:t>الأشعثيات</w:t>
            </w:r>
            <w:r>
              <w:rPr>
                <w:rStyle w:val="IndexLink"/>
                <w:rtl w:val="true"/>
              </w:rPr>
              <w:t>)</w:t>
              <w:tab/>
            </w:r>
            <w:r>
              <w:rPr>
                <w:rStyle w:val="IndexLink"/>
              </w:rPr>
              <w:t>231</w:t>
            </w:r>
          </w:hyperlink>
        </w:p>
        <w:p>
          <w:pPr>
            <w:pStyle w:val="Contents4"/>
            <w:tabs>
              <w:tab w:val="clear" w:pos="8176"/>
              <w:tab w:val="right" w:pos="9026" w:leader="dot"/>
            </w:tabs>
            <w:rPr/>
          </w:pPr>
          <w:hyperlink w:anchor="__RefHeading___Toc3266466_2870459653">
            <w:r>
              <w:rPr>
                <w:webHidden/>
                <w:rStyle w:val="IndexLink"/>
                <w:rtl w:val="true"/>
              </w:rPr>
              <w:t>اشارة</w:t>
            </w:r>
            <w:r>
              <w:rPr>
                <w:rStyle w:val="IndexLink"/>
                <w:rtl w:val="true"/>
              </w:rPr>
              <w:tab/>
            </w:r>
            <w:r>
              <w:rPr>
                <w:rStyle w:val="IndexLink"/>
              </w:rPr>
              <w:t>231</w:t>
            </w:r>
          </w:hyperlink>
        </w:p>
        <w:p>
          <w:pPr>
            <w:pStyle w:val="Contents4"/>
            <w:tabs>
              <w:tab w:val="clear" w:pos="8176"/>
              <w:tab w:val="right" w:pos="9026" w:leader="dot"/>
            </w:tabs>
            <w:rPr/>
          </w:pPr>
          <w:hyperlink w:anchor="__RefHeading___Toc3266468_2870459653">
            <w:r>
              <w:rPr>
                <w:webHidden/>
                <w:rStyle w:val="IndexLink"/>
                <w:rtl w:val="true"/>
              </w:rPr>
              <w:t>النقطة الأولى</w:t>
            </w:r>
            <w:r>
              <w:rPr>
                <w:rStyle w:val="IndexLink"/>
                <w:rtl w:val="true"/>
              </w:rPr>
              <w:tab/>
            </w:r>
            <w:r>
              <w:rPr>
                <w:rStyle w:val="IndexLink"/>
              </w:rPr>
              <w:t>239</w:t>
            </w:r>
          </w:hyperlink>
        </w:p>
        <w:p>
          <w:pPr>
            <w:pStyle w:val="Contents4"/>
            <w:tabs>
              <w:tab w:val="clear" w:pos="8176"/>
              <w:tab w:val="right" w:pos="9026" w:leader="dot"/>
            </w:tabs>
            <w:rPr/>
          </w:pPr>
          <w:hyperlink w:anchor="__RefHeading___Toc3266470_2870459653">
            <w:r>
              <w:rPr>
                <w:webHidden/>
                <w:rStyle w:val="IndexLink"/>
                <w:rtl w:val="true"/>
              </w:rPr>
              <w:t>النقطة الثانية</w:t>
            </w:r>
            <w:r>
              <w:rPr>
                <w:rStyle w:val="IndexLink"/>
                <w:rtl w:val="true"/>
              </w:rPr>
              <w:tab/>
            </w:r>
            <w:r>
              <w:rPr>
                <w:rStyle w:val="IndexLink"/>
              </w:rPr>
              <w:t>241</w:t>
            </w:r>
          </w:hyperlink>
        </w:p>
        <w:p>
          <w:pPr>
            <w:pStyle w:val="Contents4"/>
            <w:tabs>
              <w:tab w:val="clear" w:pos="8176"/>
              <w:tab w:val="right" w:pos="9026" w:leader="dot"/>
            </w:tabs>
            <w:rPr/>
          </w:pPr>
          <w:hyperlink w:anchor="__RefHeading___Toc3266472_2870459653">
            <w:r>
              <w:rPr>
                <w:webHidden/>
                <w:rStyle w:val="IndexLink"/>
                <w:rtl w:val="true"/>
              </w:rPr>
              <w:t>النقطة الثالثة</w:t>
            </w:r>
            <w:r>
              <w:rPr>
                <w:rStyle w:val="IndexLink"/>
                <w:rtl w:val="true"/>
              </w:rPr>
              <w:tab/>
            </w:r>
            <w:r>
              <w:rPr>
                <w:rStyle w:val="IndexLink"/>
              </w:rPr>
              <w:t>243</w:t>
            </w:r>
          </w:hyperlink>
        </w:p>
        <w:p>
          <w:pPr>
            <w:pStyle w:val="Contents2"/>
            <w:tabs>
              <w:tab w:val="clear" w:pos="8743"/>
              <w:tab w:val="right" w:pos="9026" w:leader="dot"/>
            </w:tabs>
            <w:rPr/>
          </w:pPr>
          <w:hyperlink w:anchor="__RefHeading___Toc3266474_2870459653">
            <w:r>
              <w:rPr>
                <w:webHidden/>
                <w:rStyle w:val="IndexLink"/>
                <w:rtl w:val="true"/>
              </w:rPr>
              <w:t xml:space="preserve">شذرات فقهيّة للفقيه الكبير الشّيخ أحمد آل كاشف الغطاء </w:t>
            </w:r>
            <w:r>
              <w:rPr>
                <w:rStyle w:val="IndexLink"/>
                <w:rtl w:val="true"/>
              </w:rPr>
              <w:t>(</w:t>
            </w:r>
            <w:r>
              <w:rPr>
                <w:rStyle w:val="IndexLink"/>
                <w:rtl w:val="true"/>
              </w:rPr>
              <w:t>قدس سره</w:t>
            </w:r>
            <w:r>
              <w:rPr>
                <w:rStyle w:val="IndexLink"/>
                <w:rtl w:val="true"/>
              </w:rPr>
              <w:t xml:space="preserve">) - </w:t>
            </w:r>
            <w:r>
              <w:rPr>
                <w:rStyle w:val="IndexLink"/>
                <w:rtl w:val="true"/>
              </w:rPr>
              <w:t>تحقيق</w:t>
            </w:r>
            <w:r>
              <w:rPr>
                <w:rStyle w:val="IndexLink"/>
                <w:rtl w:val="true"/>
              </w:rPr>
              <w:t xml:space="preserve">: </w:t>
            </w:r>
            <w:r>
              <w:rPr>
                <w:rStyle w:val="IndexLink"/>
                <w:rtl w:val="true"/>
              </w:rPr>
              <w:t xml:space="preserve">السّيّد عليّ البعّاج </w:t>
            </w:r>
            <w:r>
              <w:rPr>
                <w:rStyle w:val="IndexLink"/>
                <w:rtl w:val="true"/>
              </w:rPr>
              <w:t>(</w:t>
            </w:r>
            <w:r>
              <w:rPr>
                <w:rStyle w:val="IndexLink"/>
                <w:rtl w:val="true"/>
              </w:rPr>
              <w:t>دام عزه</w:t>
            </w:r>
            <w:r>
              <w:rPr>
                <w:rStyle w:val="IndexLink"/>
                <w:rtl w:val="true"/>
              </w:rPr>
              <w:t>)</w:t>
              <w:tab/>
            </w:r>
            <w:r>
              <w:rPr>
                <w:rStyle w:val="IndexLink"/>
              </w:rPr>
              <w:t>245</w:t>
            </w:r>
          </w:hyperlink>
        </w:p>
        <w:p>
          <w:pPr>
            <w:pStyle w:val="Contents3"/>
            <w:tabs>
              <w:tab w:val="clear" w:pos="8459"/>
              <w:tab w:val="right" w:pos="9026" w:leader="dot"/>
            </w:tabs>
            <w:rPr/>
          </w:pPr>
          <w:hyperlink w:anchor="__RefHeading___Toc3266476_2870459653">
            <w:r>
              <w:rPr>
                <w:webHidden/>
                <w:rStyle w:val="IndexLink"/>
                <w:rtl w:val="true"/>
              </w:rPr>
              <w:t>اشارة</w:t>
            </w:r>
            <w:r>
              <w:rPr>
                <w:rStyle w:val="IndexLink"/>
                <w:rtl w:val="true"/>
              </w:rPr>
              <w:tab/>
            </w:r>
            <w:r>
              <w:rPr>
                <w:rStyle w:val="IndexLink"/>
              </w:rPr>
              <w:t>245</w:t>
            </w:r>
          </w:hyperlink>
        </w:p>
        <w:p>
          <w:pPr>
            <w:pStyle w:val="Contents3"/>
            <w:tabs>
              <w:tab w:val="clear" w:pos="8459"/>
              <w:tab w:val="right" w:pos="9026" w:leader="dot"/>
            </w:tabs>
            <w:rPr/>
          </w:pPr>
          <w:hyperlink w:anchor="__RefHeading___Toc3266478_2870459653">
            <w:r>
              <w:rPr>
                <w:webHidden/>
                <w:rStyle w:val="IndexLink"/>
                <w:rtl w:val="true"/>
              </w:rPr>
              <w:t>مقدمة</w:t>
            </w:r>
            <w:r>
              <w:rPr>
                <w:rStyle w:val="IndexLink"/>
                <w:rtl w:val="true"/>
              </w:rPr>
              <w:tab/>
            </w:r>
            <w:r>
              <w:rPr>
                <w:rStyle w:val="IndexLink"/>
              </w:rPr>
              <w:t>247</w:t>
            </w:r>
          </w:hyperlink>
        </w:p>
        <w:p>
          <w:pPr>
            <w:pStyle w:val="Contents4"/>
            <w:tabs>
              <w:tab w:val="clear" w:pos="8176"/>
              <w:tab w:val="right" w:pos="9026" w:leader="dot"/>
            </w:tabs>
            <w:rPr/>
          </w:pPr>
          <w:hyperlink w:anchor="__RefHeading___Toc3266480_2870459653">
            <w:r>
              <w:rPr>
                <w:webHidden/>
                <w:rStyle w:val="IndexLink"/>
                <w:rtl w:val="true"/>
              </w:rPr>
              <w:t>اشارة</w:t>
            </w:r>
            <w:r>
              <w:rPr>
                <w:rStyle w:val="IndexLink"/>
                <w:rtl w:val="true"/>
              </w:rPr>
              <w:tab/>
            </w:r>
            <w:r>
              <w:rPr>
                <w:rStyle w:val="IndexLink"/>
              </w:rPr>
              <w:t>247</w:t>
            </w:r>
          </w:hyperlink>
        </w:p>
        <w:p>
          <w:pPr>
            <w:pStyle w:val="Contents4"/>
            <w:tabs>
              <w:tab w:val="clear" w:pos="8176"/>
              <w:tab w:val="right" w:pos="9026" w:leader="dot"/>
            </w:tabs>
            <w:rPr/>
          </w:pPr>
          <w:hyperlink w:anchor="__RefHeading___Toc3266482_2870459653">
            <w:r>
              <w:rPr>
                <w:webHidden/>
                <w:rStyle w:val="IndexLink"/>
                <w:rtl w:val="true"/>
              </w:rPr>
              <w:t>تعريف بالشّذرات التي بين يديك ونسخها</w:t>
            </w:r>
            <w:r>
              <w:rPr>
                <w:rStyle w:val="IndexLink"/>
                <w:rtl w:val="true"/>
              </w:rPr>
              <w:tab/>
            </w:r>
            <w:r>
              <w:rPr>
                <w:rStyle w:val="IndexLink"/>
              </w:rPr>
              <w:t>248</w:t>
            </w:r>
          </w:hyperlink>
        </w:p>
        <w:p>
          <w:pPr>
            <w:pStyle w:val="Contents5"/>
            <w:tabs>
              <w:tab w:val="clear" w:pos="7892"/>
              <w:tab w:val="right" w:pos="9026" w:leader="dot"/>
            </w:tabs>
            <w:rPr/>
          </w:pPr>
          <w:hyperlink w:anchor="__RefHeading___Toc3266484_2870459653">
            <w:r>
              <w:rPr>
                <w:webHidden/>
                <w:rStyle w:val="IndexLink"/>
                <w:rtl w:val="true"/>
              </w:rPr>
              <w:t>الأولى</w:t>
            </w:r>
            <w:r>
              <w:rPr>
                <w:rStyle w:val="IndexLink"/>
                <w:rtl w:val="true"/>
              </w:rPr>
              <w:tab/>
            </w:r>
            <w:r>
              <w:rPr>
                <w:rStyle w:val="IndexLink"/>
              </w:rPr>
              <w:t>248</w:t>
            </w:r>
          </w:hyperlink>
        </w:p>
        <w:p>
          <w:pPr>
            <w:pStyle w:val="Contents5"/>
            <w:tabs>
              <w:tab w:val="clear" w:pos="7892"/>
              <w:tab w:val="right" w:pos="9026" w:leader="dot"/>
            </w:tabs>
            <w:rPr/>
          </w:pPr>
          <w:hyperlink w:anchor="__RefHeading___Toc3266486_2870459653">
            <w:r>
              <w:rPr>
                <w:webHidden/>
                <w:rStyle w:val="IndexLink"/>
                <w:rtl w:val="true"/>
              </w:rPr>
              <w:t>الثانية</w:t>
            </w:r>
            <w:r>
              <w:rPr>
                <w:rStyle w:val="IndexLink"/>
                <w:rtl w:val="true"/>
              </w:rPr>
              <w:tab/>
            </w:r>
            <w:r>
              <w:rPr>
                <w:rStyle w:val="IndexLink"/>
              </w:rPr>
              <w:t>249</w:t>
            </w:r>
          </w:hyperlink>
        </w:p>
        <w:p>
          <w:pPr>
            <w:pStyle w:val="Contents5"/>
            <w:tabs>
              <w:tab w:val="clear" w:pos="7892"/>
              <w:tab w:val="right" w:pos="9026" w:leader="dot"/>
            </w:tabs>
            <w:rPr/>
          </w:pPr>
          <w:hyperlink w:anchor="__RefHeading___Toc3266488_2870459653">
            <w:r>
              <w:rPr>
                <w:webHidden/>
                <w:rStyle w:val="IndexLink"/>
                <w:rtl w:val="true"/>
              </w:rPr>
              <w:t>الثّالثة</w:t>
            </w:r>
            <w:r>
              <w:rPr>
                <w:rStyle w:val="IndexLink"/>
                <w:rtl w:val="true"/>
              </w:rPr>
              <w:tab/>
            </w:r>
            <w:r>
              <w:rPr>
                <w:rStyle w:val="IndexLink"/>
              </w:rPr>
              <w:t>250</w:t>
            </w:r>
          </w:hyperlink>
        </w:p>
        <w:p>
          <w:pPr>
            <w:pStyle w:val="Contents4"/>
            <w:tabs>
              <w:tab w:val="clear" w:pos="8176"/>
              <w:tab w:val="right" w:pos="9026" w:leader="dot"/>
            </w:tabs>
            <w:rPr/>
          </w:pPr>
          <w:hyperlink w:anchor="__RefHeading___Toc3266490_2870459653">
            <w:r>
              <w:rPr>
                <w:webHidden/>
                <w:rStyle w:val="IndexLink"/>
                <w:rtl w:val="true"/>
              </w:rPr>
              <w:t>طريقة العمل</w:t>
            </w:r>
            <w:r>
              <w:rPr>
                <w:rStyle w:val="IndexLink"/>
                <w:rtl w:val="true"/>
              </w:rPr>
              <w:tab/>
            </w:r>
            <w:r>
              <w:rPr>
                <w:rStyle w:val="IndexLink"/>
              </w:rPr>
              <w:t>250</w:t>
            </w:r>
          </w:hyperlink>
        </w:p>
        <w:p>
          <w:pPr>
            <w:pStyle w:val="Contents4"/>
            <w:tabs>
              <w:tab w:val="clear" w:pos="8176"/>
              <w:tab w:val="right" w:pos="9026" w:leader="dot"/>
            </w:tabs>
            <w:rPr/>
          </w:pPr>
          <w:hyperlink w:anchor="__RefHeading___Toc3266492_2870459653">
            <w:r>
              <w:rPr>
                <w:webHidden/>
                <w:rStyle w:val="IndexLink"/>
                <w:rtl w:val="true"/>
              </w:rPr>
              <w:t>شكر وتقدير</w:t>
            </w:r>
            <w:r>
              <w:rPr>
                <w:rStyle w:val="IndexLink"/>
                <w:rtl w:val="true"/>
              </w:rPr>
              <w:tab/>
            </w:r>
            <w:r>
              <w:rPr>
                <w:rStyle w:val="IndexLink"/>
              </w:rPr>
              <w:t>251</w:t>
            </w:r>
          </w:hyperlink>
        </w:p>
        <w:p>
          <w:pPr>
            <w:pStyle w:val="Contents3"/>
            <w:tabs>
              <w:tab w:val="clear" w:pos="8459"/>
              <w:tab w:val="right" w:pos="9026" w:leader="dot"/>
            </w:tabs>
            <w:rPr/>
          </w:pPr>
          <w:hyperlink w:anchor="__RefHeading___Toc3266494_2870459653">
            <w:r>
              <w:rPr>
                <w:webHidden/>
                <w:rStyle w:val="IndexLink"/>
                <w:rtl w:val="true"/>
              </w:rPr>
              <w:t>حقیقة الأحداث و الأغسال</w:t>
            </w:r>
            <w:r>
              <w:rPr>
                <w:rStyle w:val="IndexLink"/>
                <w:rtl w:val="true"/>
              </w:rPr>
              <w:tab/>
            </w:r>
            <w:r>
              <w:rPr>
                <w:rStyle w:val="IndexLink"/>
              </w:rPr>
              <w:t>255</w:t>
            </w:r>
          </w:hyperlink>
        </w:p>
        <w:p>
          <w:pPr>
            <w:pStyle w:val="Contents4"/>
            <w:tabs>
              <w:tab w:val="clear" w:pos="8176"/>
              <w:tab w:val="right" w:pos="9026" w:leader="dot"/>
            </w:tabs>
            <w:rPr/>
          </w:pPr>
          <w:hyperlink w:anchor="__RefHeading___Toc3266496_2870459653">
            <w:r>
              <w:rPr>
                <w:webHidden/>
                <w:rStyle w:val="IndexLink"/>
                <w:rtl w:val="true"/>
              </w:rPr>
              <w:t>اشارة</w:t>
            </w:r>
            <w:r>
              <w:rPr>
                <w:rStyle w:val="IndexLink"/>
                <w:rtl w:val="true"/>
              </w:rPr>
              <w:tab/>
            </w:r>
            <w:r>
              <w:rPr>
                <w:rStyle w:val="IndexLink"/>
              </w:rPr>
              <w:t>255</w:t>
            </w:r>
          </w:hyperlink>
        </w:p>
        <w:p>
          <w:pPr>
            <w:pStyle w:val="Contents4"/>
            <w:tabs>
              <w:tab w:val="clear" w:pos="8176"/>
              <w:tab w:val="right" w:pos="9026" w:leader="dot"/>
            </w:tabs>
            <w:rPr/>
          </w:pPr>
          <w:hyperlink w:anchor="__RefHeading___Toc3266498_2870459653">
            <w:r>
              <w:rPr>
                <w:webHidden/>
                <w:rStyle w:val="IndexLink"/>
                <w:rtl w:val="true"/>
              </w:rPr>
              <w:t xml:space="preserve">مسألة </w:t>
            </w:r>
            <w:r>
              <w:rPr>
                <w:rStyle w:val="IndexLink"/>
              </w:rPr>
              <w:t>15</w:t>
            </w:r>
            <w:r>
              <w:rPr>
                <w:rStyle w:val="IndexLink"/>
                <w:rtl w:val="true"/>
              </w:rPr>
              <w:t xml:space="preserve">: </w:t>
            </w:r>
            <w:r>
              <w:rPr>
                <w:rStyle w:val="IndexLink"/>
                <w:rtl w:val="true"/>
              </w:rPr>
              <w:t>قوله</w:t>
            </w:r>
            <w:r>
              <w:rPr>
                <w:rStyle w:val="IndexLink"/>
                <w:rtl w:val="true"/>
              </w:rPr>
              <w:t>: (</w:t>
            </w:r>
            <w:r>
              <w:rPr>
                <w:rStyle w:val="IndexLink"/>
                <w:rtl w:val="true"/>
              </w:rPr>
              <w:t>إذا اجتمع عليه أغسال متعدّدة</w:t>
            </w:r>
            <w:r>
              <w:rPr>
                <w:rStyle w:val="IndexLink"/>
                <w:rtl w:val="true"/>
              </w:rPr>
              <w:t>)</w:t>
              <w:tab/>
            </w:r>
            <w:r>
              <w:rPr>
                <w:rStyle w:val="IndexLink"/>
              </w:rPr>
              <w:t>257</w:t>
            </w:r>
          </w:hyperlink>
        </w:p>
        <w:p>
          <w:pPr>
            <w:pStyle w:val="Contents5"/>
            <w:tabs>
              <w:tab w:val="clear" w:pos="7892"/>
              <w:tab w:val="right" w:pos="9026" w:leader="dot"/>
            </w:tabs>
            <w:rPr/>
          </w:pPr>
          <w:hyperlink w:anchor="__RefHeading___Toc3266500_2870459653">
            <w:r>
              <w:rPr>
                <w:webHidden/>
                <w:rStyle w:val="IndexLink"/>
                <w:rtl w:val="true"/>
              </w:rPr>
              <w:t>اشارة</w:t>
            </w:r>
            <w:r>
              <w:rPr>
                <w:rStyle w:val="IndexLink"/>
                <w:rtl w:val="true"/>
              </w:rPr>
              <w:tab/>
            </w:r>
            <w:r>
              <w:rPr>
                <w:rStyle w:val="IndexLink"/>
              </w:rPr>
              <w:t>257</w:t>
            </w:r>
          </w:hyperlink>
        </w:p>
        <w:p>
          <w:pPr>
            <w:pStyle w:val="Contents5"/>
            <w:tabs>
              <w:tab w:val="clear" w:pos="7892"/>
              <w:tab w:val="right" w:pos="9026" w:leader="dot"/>
            </w:tabs>
            <w:rPr/>
          </w:pPr>
          <w:hyperlink w:anchor="__RefHeading___Toc3266502_2870459653">
            <w:r>
              <w:rPr>
                <w:webHidden/>
                <w:rStyle w:val="IndexLink"/>
                <w:rtl w:val="true"/>
              </w:rPr>
              <w:t>تحرير محلّ البحث</w:t>
            </w:r>
            <w:r>
              <w:rPr>
                <w:rStyle w:val="IndexLink"/>
                <w:rtl w:val="true"/>
              </w:rPr>
              <w:tab/>
            </w:r>
            <w:r>
              <w:rPr>
                <w:rStyle w:val="IndexLink"/>
              </w:rPr>
              <w:t>257</w:t>
            </w:r>
          </w:hyperlink>
        </w:p>
        <w:p>
          <w:pPr>
            <w:pStyle w:val="Contents5"/>
            <w:tabs>
              <w:tab w:val="clear" w:pos="7892"/>
              <w:tab w:val="right" w:pos="9026" w:leader="dot"/>
            </w:tabs>
            <w:rPr/>
          </w:pPr>
          <w:hyperlink w:anchor="__RefHeading___Toc3266504_2870459653">
            <w:r>
              <w:rPr>
                <w:webHidden/>
                <w:rStyle w:val="IndexLink"/>
                <w:rtl w:val="true"/>
              </w:rPr>
              <w:t>القول المختار</w:t>
            </w:r>
            <w:r>
              <w:rPr>
                <w:rStyle w:val="IndexLink"/>
                <w:rtl w:val="true"/>
              </w:rPr>
              <w:tab/>
            </w:r>
            <w:r>
              <w:rPr>
                <w:rStyle w:val="IndexLink"/>
              </w:rPr>
              <w:t>260</w:t>
            </w:r>
          </w:hyperlink>
        </w:p>
        <w:p>
          <w:pPr>
            <w:pStyle w:val="Contents5"/>
            <w:tabs>
              <w:tab w:val="clear" w:pos="7892"/>
              <w:tab w:val="right" w:pos="9026" w:leader="dot"/>
            </w:tabs>
            <w:rPr/>
          </w:pPr>
          <w:hyperlink w:anchor="__RefHeading___Toc3266506_2870459653">
            <w:r>
              <w:rPr>
                <w:webHidden/>
                <w:rStyle w:val="IndexLink"/>
                <w:rtl w:val="true"/>
              </w:rPr>
              <w:t>أدلّة القول المختار</w:t>
            </w:r>
            <w:r>
              <w:rPr>
                <w:rStyle w:val="IndexLink"/>
                <w:rtl w:val="true"/>
              </w:rPr>
              <w:tab/>
            </w:r>
            <w:r>
              <w:rPr>
                <w:rStyle w:val="IndexLink"/>
              </w:rPr>
              <w:t>261</w:t>
            </w:r>
          </w:hyperlink>
        </w:p>
        <w:p>
          <w:pPr>
            <w:pStyle w:val="Contents5"/>
            <w:tabs>
              <w:tab w:val="clear" w:pos="7892"/>
              <w:tab w:val="right" w:pos="9026" w:leader="dot"/>
            </w:tabs>
            <w:rPr/>
          </w:pPr>
          <w:hyperlink w:anchor="__RefHeading___Toc3266508_2870459653">
            <w:r>
              <w:rPr>
                <w:webHidden/>
                <w:rStyle w:val="IndexLink"/>
                <w:rtl w:val="true"/>
              </w:rPr>
              <w:t>أدلّة القول باختلاف ماهيّة الأحداث والأغسال</w:t>
            </w:r>
            <w:r>
              <w:rPr>
                <w:rStyle w:val="IndexLink"/>
                <w:rtl w:val="true"/>
              </w:rPr>
              <w:tab/>
            </w:r>
            <w:r>
              <w:rPr>
                <w:rStyle w:val="IndexLink"/>
              </w:rPr>
              <w:t>263</w:t>
            </w:r>
          </w:hyperlink>
        </w:p>
        <w:p>
          <w:pPr>
            <w:pStyle w:val="Contents5"/>
            <w:tabs>
              <w:tab w:val="clear" w:pos="7892"/>
              <w:tab w:val="right" w:pos="9026" w:leader="dot"/>
            </w:tabs>
            <w:rPr/>
          </w:pPr>
          <w:hyperlink w:anchor="__RefHeading___Toc3266510_2870459653">
            <w:r>
              <w:rPr>
                <w:webHidden/>
                <w:rStyle w:val="IndexLink"/>
                <w:rtl w:val="true"/>
              </w:rPr>
              <w:t>مناقشة أدلّة القول بالاختلاف</w:t>
            </w:r>
            <w:r>
              <w:rPr>
                <w:rStyle w:val="IndexLink"/>
                <w:rtl w:val="true"/>
              </w:rPr>
              <w:tab/>
            </w:r>
            <w:r>
              <w:rPr>
                <w:rStyle w:val="IndexLink"/>
              </w:rPr>
              <w:t>266</w:t>
            </w:r>
          </w:hyperlink>
        </w:p>
        <w:p>
          <w:pPr>
            <w:pStyle w:val="Contents3"/>
            <w:tabs>
              <w:tab w:val="clear" w:pos="8459"/>
              <w:tab w:val="right" w:pos="9026" w:leader="dot"/>
            </w:tabs>
            <w:rPr/>
          </w:pPr>
          <w:hyperlink w:anchor="__RefHeading___Toc3266512_2870459653">
            <w:r>
              <w:rPr>
                <w:webHidden/>
                <w:rStyle w:val="IndexLink"/>
                <w:rtl w:val="true"/>
              </w:rPr>
              <w:t>تعاقب الأحداث</w:t>
            </w:r>
            <w:r>
              <w:rPr>
                <w:rStyle w:val="IndexLink"/>
                <w:rtl w:val="true"/>
              </w:rPr>
              <w:tab/>
            </w:r>
            <w:r>
              <w:rPr>
                <w:rStyle w:val="IndexLink"/>
              </w:rPr>
              <w:t>277</w:t>
            </w:r>
          </w:hyperlink>
        </w:p>
        <w:p>
          <w:pPr>
            <w:pStyle w:val="Contents4"/>
            <w:tabs>
              <w:tab w:val="clear" w:pos="8176"/>
              <w:tab w:val="right" w:pos="9026" w:leader="dot"/>
            </w:tabs>
            <w:rPr/>
          </w:pPr>
          <w:hyperlink w:anchor="__RefHeading___Toc3266514_2870459653">
            <w:r>
              <w:rPr>
                <w:webHidden/>
                <w:rStyle w:val="IndexLink"/>
                <w:rtl w:val="true"/>
              </w:rPr>
              <w:t>اشارة</w:t>
            </w:r>
            <w:r>
              <w:rPr>
                <w:rStyle w:val="IndexLink"/>
                <w:rtl w:val="true"/>
              </w:rPr>
              <w:tab/>
            </w:r>
            <w:r>
              <w:rPr>
                <w:rStyle w:val="IndexLink"/>
              </w:rPr>
              <w:t>277</w:t>
            </w:r>
          </w:hyperlink>
        </w:p>
        <w:p>
          <w:pPr>
            <w:pStyle w:val="Contents4"/>
            <w:tabs>
              <w:tab w:val="clear" w:pos="8176"/>
              <w:tab w:val="right" w:pos="9026" w:leader="dot"/>
            </w:tabs>
            <w:rPr/>
          </w:pPr>
          <w:hyperlink w:anchor="__RefHeading___Toc3266516_2870459653">
            <w:r>
              <w:rPr>
                <w:webHidden/>
                <w:rStyle w:val="IndexLink"/>
                <w:rtl w:val="true"/>
              </w:rPr>
              <w:t>الصّورة الأولى</w:t>
            </w:r>
            <w:r>
              <w:rPr>
                <w:rStyle w:val="IndexLink"/>
                <w:rtl w:val="true"/>
              </w:rPr>
              <w:t xml:space="preserve">: </w:t>
            </w:r>
            <w:r>
              <w:rPr>
                <w:rStyle w:val="IndexLink"/>
                <w:rtl w:val="true"/>
              </w:rPr>
              <w:t>التساوي في الأثر والرّافع</w:t>
            </w:r>
            <w:r>
              <w:rPr>
                <w:rStyle w:val="IndexLink"/>
                <w:rtl w:val="true"/>
              </w:rPr>
              <w:tab/>
            </w:r>
            <w:r>
              <w:rPr>
                <w:rStyle w:val="IndexLink"/>
              </w:rPr>
              <w:t>279</w:t>
            </w:r>
          </w:hyperlink>
        </w:p>
        <w:p>
          <w:pPr>
            <w:pStyle w:val="Contents4"/>
            <w:tabs>
              <w:tab w:val="clear" w:pos="8176"/>
              <w:tab w:val="right" w:pos="9026" w:leader="dot"/>
            </w:tabs>
            <w:rPr/>
          </w:pPr>
          <w:hyperlink w:anchor="__RefHeading___Toc3266518_2870459653">
            <w:r>
              <w:rPr>
                <w:webHidden/>
                <w:rStyle w:val="IndexLink"/>
                <w:rtl w:val="true"/>
              </w:rPr>
              <w:t>الصّورة الثّانية</w:t>
            </w:r>
            <w:r>
              <w:rPr>
                <w:rStyle w:val="IndexLink"/>
                <w:rtl w:val="true"/>
              </w:rPr>
              <w:t xml:space="preserve">: </w:t>
            </w:r>
            <w:r>
              <w:rPr>
                <w:rStyle w:val="IndexLink"/>
                <w:rtl w:val="true"/>
              </w:rPr>
              <w:t>التّساوي في الأثر والاختلاف في الرّافع</w:t>
            </w:r>
            <w:r>
              <w:rPr>
                <w:rStyle w:val="IndexLink"/>
                <w:rtl w:val="true"/>
              </w:rPr>
              <w:tab/>
            </w:r>
            <w:r>
              <w:rPr>
                <w:rStyle w:val="IndexLink"/>
              </w:rPr>
              <w:t>280</w:t>
            </w:r>
          </w:hyperlink>
        </w:p>
        <w:p>
          <w:pPr>
            <w:pStyle w:val="Contents4"/>
            <w:tabs>
              <w:tab w:val="clear" w:pos="8176"/>
              <w:tab w:val="right" w:pos="9026" w:leader="dot"/>
            </w:tabs>
            <w:rPr/>
          </w:pPr>
          <w:hyperlink w:anchor="__RefHeading___Toc3266520_2870459653">
            <w:r>
              <w:rPr>
                <w:webHidden/>
                <w:rStyle w:val="IndexLink"/>
                <w:rtl w:val="true"/>
              </w:rPr>
              <w:t>الصّورة الثّالثة</w:t>
            </w:r>
            <w:r>
              <w:rPr>
                <w:rStyle w:val="IndexLink"/>
                <w:rtl w:val="true"/>
              </w:rPr>
              <w:t xml:space="preserve">: </w:t>
            </w:r>
            <w:r>
              <w:rPr>
                <w:rStyle w:val="IndexLink"/>
                <w:rtl w:val="true"/>
              </w:rPr>
              <w:t>الاختلاف في الأثر</w:t>
            </w:r>
            <w:r>
              <w:rPr>
                <w:rStyle w:val="IndexLink"/>
                <w:rtl w:val="true"/>
              </w:rPr>
              <w:tab/>
            </w:r>
            <w:r>
              <w:rPr>
                <w:rStyle w:val="IndexLink"/>
              </w:rPr>
              <w:t>281</w:t>
            </w:r>
          </w:hyperlink>
        </w:p>
        <w:p>
          <w:pPr>
            <w:pStyle w:val="Contents4"/>
            <w:tabs>
              <w:tab w:val="clear" w:pos="8176"/>
              <w:tab w:val="right" w:pos="9026" w:leader="dot"/>
            </w:tabs>
            <w:rPr/>
          </w:pPr>
          <w:hyperlink w:anchor="__RefHeading___Toc3266522_2870459653">
            <w:r>
              <w:rPr>
                <w:webHidden/>
                <w:rStyle w:val="IndexLink"/>
                <w:rtl w:val="true"/>
              </w:rPr>
              <w:t>وقوع الحدث الأصغر أثناء غسل الجنابة، والأقوال فيه</w:t>
            </w:r>
            <w:r>
              <w:rPr>
                <w:rStyle w:val="IndexLink"/>
                <w:rtl w:val="true"/>
              </w:rPr>
              <w:tab/>
            </w:r>
            <w:r>
              <w:rPr>
                <w:rStyle w:val="IndexLink"/>
              </w:rPr>
              <w:t>282</w:t>
            </w:r>
          </w:hyperlink>
        </w:p>
        <w:p>
          <w:pPr>
            <w:pStyle w:val="Contents4"/>
            <w:tabs>
              <w:tab w:val="clear" w:pos="8176"/>
              <w:tab w:val="right" w:pos="9026" w:leader="dot"/>
            </w:tabs>
            <w:rPr/>
          </w:pPr>
          <w:hyperlink w:anchor="__RefHeading___Toc3266524_2870459653">
            <w:r>
              <w:rPr>
                <w:webHidden/>
                <w:rStyle w:val="IndexLink"/>
                <w:rtl w:val="true"/>
              </w:rPr>
              <w:t>القول المختار وأدلّته</w:t>
            </w:r>
            <w:r>
              <w:rPr>
                <w:rStyle w:val="IndexLink"/>
                <w:rtl w:val="true"/>
              </w:rPr>
              <w:tab/>
            </w:r>
            <w:r>
              <w:rPr>
                <w:rStyle w:val="IndexLink"/>
              </w:rPr>
              <w:t>284</w:t>
            </w:r>
          </w:hyperlink>
        </w:p>
        <w:p>
          <w:pPr>
            <w:pStyle w:val="Contents4"/>
            <w:tabs>
              <w:tab w:val="clear" w:pos="8176"/>
              <w:tab w:val="right" w:pos="9026" w:leader="dot"/>
            </w:tabs>
            <w:rPr/>
          </w:pPr>
          <w:hyperlink w:anchor="__RefHeading___Toc3266526_2870459653">
            <w:r>
              <w:rPr>
                <w:webHidden/>
                <w:rStyle w:val="IndexLink"/>
                <w:rtl w:val="true"/>
              </w:rPr>
              <w:t>وقوع الحدث الأصغر أثناء التيمّم</w:t>
            </w:r>
            <w:r>
              <w:rPr>
                <w:rStyle w:val="IndexLink"/>
                <w:rtl w:val="true"/>
              </w:rPr>
              <w:tab/>
            </w:r>
            <w:r>
              <w:rPr>
                <w:rStyle w:val="IndexLink"/>
              </w:rPr>
              <w:t>286</w:t>
            </w:r>
          </w:hyperlink>
        </w:p>
        <w:p>
          <w:pPr>
            <w:pStyle w:val="Contents4"/>
            <w:tabs>
              <w:tab w:val="clear" w:pos="8176"/>
              <w:tab w:val="right" w:pos="9026" w:leader="dot"/>
            </w:tabs>
            <w:rPr/>
          </w:pPr>
          <w:hyperlink w:anchor="__RefHeading___Toc3266528_2870459653">
            <w:r>
              <w:rPr>
                <w:webHidden/>
                <w:rStyle w:val="IndexLink"/>
                <w:rtl w:val="true"/>
              </w:rPr>
              <w:t>انتقاض المقدّمات المستحبّة</w:t>
            </w:r>
            <w:r>
              <w:rPr>
                <w:rStyle w:val="IndexLink"/>
                <w:rtl w:val="true"/>
              </w:rPr>
              <w:tab/>
            </w:r>
            <w:r>
              <w:rPr>
                <w:rStyle w:val="IndexLink"/>
              </w:rPr>
              <w:t>287</w:t>
            </w:r>
          </w:hyperlink>
        </w:p>
        <w:p>
          <w:pPr>
            <w:pStyle w:val="Contents3"/>
            <w:tabs>
              <w:tab w:val="clear" w:pos="8459"/>
              <w:tab w:val="right" w:pos="9026" w:leader="dot"/>
            </w:tabs>
            <w:rPr/>
          </w:pPr>
          <w:hyperlink w:anchor="__RefHeading___Toc3266530_2870459653">
            <w:r>
              <w:rPr>
                <w:webHidden/>
                <w:rStyle w:val="IndexLink"/>
                <w:rtl w:val="true"/>
              </w:rPr>
              <w:t>حکم النقصان السهوی فی الصلاة</w:t>
            </w:r>
            <w:r>
              <w:rPr>
                <w:rStyle w:val="IndexLink"/>
                <w:rtl w:val="true"/>
              </w:rPr>
              <w:tab/>
            </w:r>
            <w:r>
              <w:rPr>
                <w:rStyle w:val="IndexLink"/>
              </w:rPr>
              <w:t>289</w:t>
            </w:r>
          </w:hyperlink>
        </w:p>
        <w:p>
          <w:pPr>
            <w:pStyle w:val="Contents4"/>
            <w:tabs>
              <w:tab w:val="clear" w:pos="8176"/>
              <w:tab w:val="right" w:pos="9026" w:leader="dot"/>
            </w:tabs>
            <w:rPr/>
          </w:pPr>
          <w:hyperlink w:anchor="__RefHeading___Toc3266532_2870459653">
            <w:r>
              <w:rPr>
                <w:webHidden/>
                <w:rStyle w:val="IndexLink"/>
                <w:rtl w:val="true"/>
              </w:rPr>
              <w:t>اشارة</w:t>
            </w:r>
            <w:r>
              <w:rPr>
                <w:rStyle w:val="IndexLink"/>
                <w:rtl w:val="true"/>
              </w:rPr>
              <w:tab/>
            </w:r>
            <w:r>
              <w:rPr>
                <w:rStyle w:val="IndexLink"/>
              </w:rPr>
              <w:t>289</w:t>
            </w:r>
          </w:hyperlink>
        </w:p>
        <w:p>
          <w:pPr>
            <w:pStyle w:val="Contents4"/>
            <w:tabs>
              <w:tab w:val="clear" w:pos="8176"/>
              <w:tab w:val="right" w:pos="9026" w:leader="dot"/>
            </w:tabs>
            <w:rPr/>
          </w:pPr>
          <w:hyperlink w:anchor="__RefHeading___Toc3266534_2870459653">
            <w:r>
              <w:rPr>
                <w:webHidden/>
                <w:rStyle w:val="IndexLink"/>
                <w:rtl w:val="true"/>
              </w:rPr>
              <w:t>بيان مقتضى القاعدة والأصل الثّانويّ</w:t>
            </w:r>
            <w:r>
              <w:rPr>
                <w:rStyle w:val="IndexLink"/>
                <w:rtl w:val="true"/>
              </w:rPr>
              <w:tab/>
            </w:r>
            <w:r>
              <w:rPr>
                <w:rStyle w:val="IndexLink"/>
              </w:rPr>
              <w:t>292</w:t>
            </w:r>
          </w:hyperlink>
        </w:p>
        <w:p>
          <w:pPr>
            <w:pStyle w:val="Contents4"/>
            <w:tabs>
              <w:tab w:val="clear" w:pos="8176"/>
              <w:tab w:val="right" w:pos="9026" w:leader="dot"/>
            </w:tabs>
            <w:rPr/>
          </w:pPr>
          <w:hyperlink w:anchor="__RefHeading___Toc3266536_2870459653">
            <w:r>
              <w:rPr>
                <w:webHidden/>
                <w:rStyle w:val="IndexLink"/>
                <w:rtl w:val="true"/>
              </w:rPr>
              <w:t>الاستدلال على تقسيم المشهور</w:t>
            </w:r>
            <w:r>
              <w:rPr>
                <w:rStyle w:val="IndexLink"/>
                <w:rtl w:val="true"/>
              </w:rPr>
              <w:tab/>
            </w:r>
            <w:r>
              <w:rPr>
                <w:rStyle w:val="IndexLink"/>
              </w:rPr>
              <w:t>294</w:t>
            </w:r>
          </w:hyperlink>
        </w:p>
        <w:p>
          <w:pPr>
            <w:pStyle w:val="Contents4"/>
            <w:tabs>
              <w:tab w:val="clear" w:pos="8176"/>
              <w:tab w:val="right" w:pos="9026" w:leader="dot"/>
            </w:tabs>
            <w:rPr/>
          </w:pPr>
          <w:hyperlink w:anchor="__RefHeading___Toc3266538_2870459653">
            <w:r>
              <w:rPr>
                <w:webHidden/>
                <w:rStyle w:val="IndexLink"/>
                <w:rtl w:val="true"/>
              </w:rPr>
              <w:t>جريان حكم الرّكن على ما يتوقّف صدق الماهيّة عليه</w:t>
            </w:r>
            <w:r>
              <w:rPr>
                <w:rStyle w:val="IndexLink"/>
                <w:rtl w:val="true"/>
              </w:rPr>
              <w:tab/>
            </w:r>
            <w:r>
              <w:rPr>
                <w:rStyle w:val="IndexLink"/>
              </w:rPr>
              <w:t>296</w:t>
            </w:r>
          </w:hyperlink>
        </w:p>
        <w:p>
          <w:pPr>
            <w:pStyle w:val="Contents4"/>
            <w:tabs>
              <w:tab w:val="clear" w:pos="8176"/>
              <w:tab w:val="right" w:pos="9026" w:leader="dot"/>
            </w:tabs>
            <w:rPr/>
          </w:pPr>
          <w:hyperlink w:anchor="__RefHeading___Toc3266540_2870459653">
            <w:r>
              <w:rPr>
                <w:webHidden/>
                <w:rStyle w:val="IndexLink"/>
                <w:rtl w:val="true"/>
              </w:rPr>
              <w:t>الإخلال بالسّجود على الجبهة نسياناً</w:t>
            </w:r>
            <w:r>
              <w:rPr>
                <w:rStyle w:val="IndexLink"/>
                <w:rtl w:val="true"/>
              </w:rPr>
              <w:tab/>
            </w:r>
            <w:r>
              <w:rPr>
                <w:rStyle w:val="IndexLink"/>
              </w:rPr>
              <w:t>298</w:t>
            </w:r>
          </w:hyperlink>
        </w:p>
        <w:p>
          <w:pPr>
            <w:pStyle w:val="Contents4"/>
            <w:tabs>
              <w:tab w:val="clear" w:pos="8176"/>
              <w:tab w:val="right" w:pos="9026" w:leader="dot"/>
            </w:tabs>
            <w:rPr/>
          </w:pPr>
          <w:hyperlink w:anchor="__RefHeading___Toc3266542_2870459653">
            <w:r>
              <w:rPr>
                <w:webHidden/>
                <w:rStyle w:val="IndexLink"/>
                <w:rtl w:val="true"/>
              </w:rPr>
              <w:t>فوات محلّ الواجب الضّمنيّ</w:t>
            </w:r>
            <w:r>
              <w:rPr>
                <w:rStyle w:val="IndexLink"/>
                <w:rtl w:val="true"/>
              </w:rPr>
              <w:tab/>
            </w:r>
            <w:r>
              <w:rPr>
                <w:rStyle w:val="IndexLink"/>
              </w:rPr>
              <w:t>298</w:t>
            </w:r>
          </w:hyperlink>
        </w:p>
        <w:p>
          <w:pPr>
            <w:pStyle w:val="Contents4"/>
            <w:tabs>
              <w:tab w:val="clear" w:pos="8176"/>
              <w:tab w:val="right" w:pos="9026" w:leader="dot"/>
            </w:tabs>
            <w:rPr/>
          </w:pPr>
          <w:hyperlink w:anchor="__RefHeading___Toc3266544_2870459653">
            <w:r>
              <w:rPr>
                <w:webHidden/>
                <w:rStyle w:val="IndexLink"/>
                <w:rtl w:val="true"/>
              </w:rPr>
              <w:t>الإتيان بالفائت من دون زيادة ركن</w:t>
            </w:r>
            <w:r>
              <w:rPr>
                <w:rStyle w:val="IndexLink"/>
                <w:rtl w:val="true"/>
              </w:rPr>
              <w:tab/>
            </w:r>
            <w:r>
              <w:rPr>
                <w:rStyle w:val="IndexLink"/>
              </w:rPr>
              <w:t>299</w:t>
            </w:r>
          </w:hyperlink>
        </w:p>
        <w:p>
          <w:pPr>
            <w:pStyle w:val="Contents4"/>
            <w:tabs>
              <w:tab w:val="clear" w:pos="8176"/>
              <w:tab w:val="right" w:pos="9026" w:leader="dot"/>
            </w:tabs>
            <w:rPr/>
          </w:pPr>
          <w:hyperlink w:anchor="__RefHeading___Toc3266546_2870459653">
            <w:r>
              <w:rPr>
                <w:webHidden/>
                <w:rStyle w:val="IndexLink"/>
                <w:rtl w:val="true"/>
              </w:rPr>
              <w:t>صور القسم الأوّل والمناط فيه</w:t>
            </w:r>
            <w:r>
              <w:rPr>
                <w:rStyle w:val="IndexLink"/>
                <w:rtl w:val="true"/>
              </w:rPr>
              <w:tab/>
            </w:r>
            <w:r>
              <w:rPr>
                <w:rStyle w:val="IndexLink"/>
              </w:rPr>
              <w:t>300</w:t>
            </w:r>
          </w:hyperlink>
        </w:p>
        <w:p>
          <w:pPr>
            <w:pStyle w:val="Contents5"/>
            <w:tabs>
              <w:tab w:val="clear" w:pos="7892"/>
              <w:tab w:val="right" w:pos="9026" w:leader="dot"/>
            </w:tabs>
            <w:rPr/>
          </w:pPr>
          <w:hyperlink w:anchor="__RefHeading___Toc3266548_2870459653">
            <w:r>
              <w:rPr>
                <w:webHidden/>
                <w:rStyle w:val="IndexLink"/>
                <w:rtl w:val="true"/>
              </w:rPr>
              <w:t>اشارة</w:t>
            </w:r>
            <w:r>
              <w:rPr>
                <w:rStyle w:val="IndexLink"/>
                <w:rtl w:val="true"/>
              </w:rPr>
              <w:tab/>
            </w:r>
            <w:r>
              <w:rPr>
                <w:rStyle w:val="IndexLink"/>
              </w:rPr>
              <w:t>300</w:t>
            </w:r>
          </w:hyperlink>
        </w:p>
        <w:p>
          <w:pPr>
            <w:pStyle w:val="Contents5"/>
            <w:tabs>
              <w:tab w:val="clear" w:pos="7892"/>
              <w:tab w:val="right" w:pos="9026" w:leader="dot"/>
            </w:tabs>
            <w:rPr/>
          </w:pPr>
          <w:hyperlink w:anchor="__RefHeading___Toc3266550_2870459653">
            <w:r>
              <w:rPr>
                <w:webHidden/>
                <w:rStyle w:val="IndexLink"/>
                <w:rtl w:val="true"/>
              </w:rPr>
              <w:t>القسم الأوّل</w:t>
            </w:r>
            <w:r>
              <w:rPr>
                <w:rStyle w:val="IndexLink"/>
                <w:rtl w:val="true"/>
              </w:rPr>
              <w:t xml:space="preserve">: </w:t>
            </w:r>
            <w:r>
              <w:rPr>
                <w:rStyle w:val="IndexLink"/>
                <w:rtl w:val="true"/>
              </w:rPr>
              <w:t>ما لا يجب تداركه ولو في الأثناء، ولا سجدتا السّهو</w:t>
            </w:r>
            <w:r>
              <w:rPr>
                <w:rStyle w:val="IndexLink"/>
                <w:rtl w:val="true"/>
              </w:rPr>
              <w:tab/>
            </w:r>
            <w:r>
              <w:rPr>
                <w:rStyle w:val="IndexLink"/>
              </w:rPr>
              <w:t>300</w:t>
            </w:r>
          </w:hyperlink>
        </w:p>
        <w:p>
          <w:pPr>
            <w:pStyle w:val="Contents6"/>
            <w:tabs>
              <w:tab w:val="clear" w:pos="7609"/>
              <w:tab w:val="right" w:pos="9026" w:leader="dot"/>
            </w:tabs>
            <w:rPr/>
          </w:pPr>
          <w:hyperlink w:anchor="__RefHeading___Toc3266552_2870459653">
            <w:r>
              <w:rPr>
                <w:webHidden/>
                <w:rStyle w:val="IndexLink"/>
                <w:rtl w:val="true"/>
              </w:rPr>
              <w:t>اشارة</w:t>
            </w:r>
            <w:r>
              <w:rPr>
                <w:rStyle w:val="IndexLink"/>
                <w:rtl w:val="true"/>
              </w:rPr>
              <w:tab/>
            </w:r>
            <w:r>
              <w:rPr>
                <w:rStyle w:val="IndexLink"/>
              </w:rPr>
              <w:t>300</w:t>
            </w:r>
          </w:hyperlink>
        </w:p>
        <w:p>
          <w:pPr>
            <w:pStyle w:val="Contents6"/>
            <w:tabs>
              <w:tab w:val="clear" w:pos="7609"/>
              <w:tab w:val="right" w:pos="9026" w:leader="dot"/>
            </w:tabs>
            <w:rPr/>
          </w:pPr>
          <w:hyperlink w:anchor="__RefHeading___Toc3266554_2870459653">
            <w:r>
              <w:rPr>
                <w:webHidden/>
                <w:rStyle w:val="IndexLink"/>
                <w:rtl w:val="true"/>
              </w:rPr>
              <w:t>نسيان الذّكر في الرّكوع</w:t>
            </w:r>
            <w:r>
              <w:rPr>
                <w:rStyle w:val="IndexLink"/>
                <w:rtl w:val="true"/>
              </w:rPr>
              <w:tab/>
            </w:r>
            <w:r>
              <w:rPr>
                <w:rStyle w:val="IndexLink"/>
              </w:rPr>
              <w:t>301</w:t>
            </w:r>
          </w:hyperlink>
        </w:p>
        <w:p>
          <w:pPr>
            <w:pStyle w:val="Contents6"/>
            <w:tabs>
              <w:tab w:val="clear" w:pos="7609"/>
              <w:tab w:val="right" w:pos="9026" w:leader="dot"/>
            </w:tabs>
            <w:rPr/>
          </w:pPr>
          <w:hyperlink w:anchor="__RefHeading___Toc3266556_2870459653">
            <w:r>
              <w:rPr>
                <w:webHidden/>
                <w:rStyle w:val="IndexLink"/>
                <w:rtl w:val="true"/>
              </w:rPr>
              <w:t>فوات الطّمأنينة في الرّكوع</w:t>
            </w:r>
            <w:r>
              <w:rPr>
                <w:rStyle w:val="IndexLink"/>
                <w:rtl w:val="true"/>
              </w:rPr>
              <w:tab/>
            </w:r>
            <w:r>
              <w:rPr>
                <w:rStyle w:val="IndexLink"/>
              </w:rPr>
              <w:t>302</w:t>
            </w:r>
          </w:hyperlink>
        </w:p>
        <w:p>
          <w:pPr>
            <w:pStyle w:val="Contents6"/>
            <w:tabs>
              <w:tab w:val="clear" w:pos="7609"/>
              <w:tab w:val="right" w:pos="9026" w:leader="dot"/>
            </w:tabs>
            <w:rPr/>
          </w:pPr>
          <w:hyperlink w:anchor="__RefHeading___Toc3266558_2870459653">
            <w:r>
              <w:rPr>
                <w:webHidden/>
                <w:rStyle w:val="IndexLink"/>
                <w:rtl w:val="true"/>
              </w:rPr>
              <w:t>نسيان رفع الرأس من الرّكوع</w:t>
            </w:r>
            <w:r>
              <w:rPr>
                <w:rStyle w:val="IndexLink"/>
                <w:rtl w:val="true"/>
              </w:rPr>
              <w:tab/>
            </w:r>
            <w:r>
              <w:rPr>
                <w:rStyle w:val="IndexLink"/>
              </w:rPr>
              <w:t>302</w:t>
            </w:r>
          </w:hyperlink>
        </w:p>
        <w:p>
          <w:pPr>
            <w:pStyle w:val="Contents6"/>
            <w:tabs>
              <w:tab w:val="clear" w:pos="7609"/>
              <w:tab w:val="right" w:pos="9026" w:leader="dot"/>
            </w:tabs>
            <w:rPr/>
          </w:pPr>
          <w:hyperlink w:anchor="__RefHeading___Toc3266560_2870459653">
            <w:r>
              <w:rPr>
                <w:webHidden/>
                <w:rStyle w:val="IndexLink"/>
                <w:rtl w:val="true"/>
              </w:rPr>
              <w:t>فوات السّجود على الأعضاء السّبعة</w:t>
            </w:r>
            <w:r>
              <w:rPr>
                <w:rStyle w:val="IndexLink"/>
                <w:rtl w:val="true"/>
              </w:rPr>
              <w:tab/>
            </w:r>
            <w:r>
              <w:rPr>
                <w:rStyle w:val="IndexLink"/>
              </w:rPr>
              <w:t>303</w:t>
            </w:r>
          </w:hyperlink>
        </w:p>
        <w:p>
          <w:pPr>
            <w:pStyle w:val="Contents6"/>
            <w:tabs>
              <w:tab w:val="clear" w:pos="7609"/>
              <w:tab w:val="right" w:pos="9026" w:leader="dot"/>
            </w:tabs>
            <w:rPr/>
          </w:pPr>
          <w:hyperlink w:anchor="__RefHeading___Toc3266562_2870459653">
            <w:r>
              <w:rPr>
                <w:webHidden/>
                <w:rStyle w:val="IndexLink"/>
                <w:rtl w:val="true"/>
              </w:rPr>
              <w:t>نسيان رفع الرّأس من السجدة الأولى</w:t>
            </w:r>
            <w:r>
              <w:rPr>
                <w:rStyle w:val="IndexLink"/>
                <w:rtl w:val="true"/>
              </w:rPr>
              <w:tab/>
            </w:r>
            <w:r>
              <w:rPr>
                <w:rStyle w:val="IndexLink"/>
              </w:rPr>
              <w:t>304</w:t>
            </w:r>
          </w:hyperlink>
        </w:p>
        <w:p>
          <w:pPr>
            <w:pStyle w:val="Contents6"/>
            <w:tabs>
              <w:tab w:val="clear" w:pos="7609"/>
              <w:tab w:val="right" w:pos="9026" w:leader="dot"/>
            </w:tabs>
            <w:rPr/>
          </w:pPr>
          <w:hyperlink w:anchor="__RefHeading___Toc3266564_2870459653">
            <w:r>
              <w:rPr>
                <w:webHidden/>
                <w:rStyle w:val="IndexLink"/>
                <w:rtl w:val="true"/>
              </w:rPr>
              <w:t>نسيان الجلسة الواجبة</w:t>
            </w:r>
            <w:r>
              <w:rPr>
                <w:rStyle w:val="IndexLink"/>
                <w:rtl w:val="true"/>
              </w:rPr>
              <w:tab/>
            </w:r>
            <w:r>
              <w:rPr>
                <w:rStyle w:val="IndexLink"/>
              </w:rPr>
              <w:t>304</w:t>
            </w:r>
          </w:hyperlink>
        </w:p>
        <w:p>
          <w:pPr>
            <w:pStyle w:val="Contents6"/>
            <w:tabs>
              <w:tab w:val="clear" w:pos="7609"/>
              <w:tab w:val="right" w:pos="9026" w:leader="dot"/>
            </w:tabs>
            <w:rPr/>
          </w:pPr>
          <w:hyperlink w:anchor="__RefHeading___Toc3266566_2870459653">
            <w:r>
              <w:rPr>
                <w:webHidden/>
                <w:rStyle w:val="IndexLink"/>
                <w:rtl w:val="true"/>
              </w:rPr>
              <w:t>الملاك في سقوط التّدارك في القسم الأوّل</w:t>
            </w:r>
            <w:r>
              <w:rPr>
                <w:rStyle w:val="IndexLink"/>
                <w:rtl w:val="true"/>
              </w:rPr>
              <w:tab/>
            </w:r>
            <w:r>
              <w:rPr>
                <w:rStyle w:val="IndexLink"/>
              </w:rPr>
              <w:t>304</w:t>
            </w:r>
          </w:hyperlink>
        </w:p>
        <w:p>
          <w:pPr>
            <w:pStyle w:val="Contents5"/>
            <w:tabs>
              <w:tab w:val="clear" w:pos="7892"/>
              <w:tab w:val="right" w:pos="9026" w:leader="dot"/>
            </w:tabs>
            <w:rPr/>
          </w:pPr>
          <w:hyperlink w:anchor="__RefHeading___Toc3266568_2870459653">
            <w:r>
              <w:rPr>
                <w:webHidden/>
                <w:rStyle w:val="IndexLink"/>
                <w:rtl w:val="true"/>
              </w:rPr>
              <w:t>القسم الثّاني</w:t>
            </w:r>
            <w:r>
              <w:rPr>
                <w:rStyle w:val="IndexLink"/>
                <w:rtl w:val="true"/>
              </w:rPr>
              <w:t xml:space="preserve">: </w:t>
            </w:r>
            <w:r>
              <w:rPr>
                <w:rStyle w:val="IndexLink"/>
                <w:rtl w:val="true"/>
              </w:rPr>
              <w:t>ما يجب تداركه في الأثناء من دون سجدتي السّهو</w:t>
            </w:r>
            <w:r>
              <w:rPr>
                <w:rStyle w:val="IndexLink"/>
                <w:rtl w:val="true"/>
              </w:rPr>
              <w:tab/>
            </w:r>
            <w:r>
              <w:rPr>
                <w:rStyle w:val="IndexLink"/>
              </w:rPr>
              <w:t>305</w:t>
            </w:r>
          </w:hyperlink>
        </w:p>
        <w:p>
          <w:pPr>
            <w:pStyle w:val="Contents6"/>
            <w:tabs>
              <w:tab w:val="clear" w:pos="7609"/>
              <w:tab w:val="right" w:pos="9026" w:leader="dot"/>
            </w:tabs>
            <w:rPr/>
          </w:pPr>
          <w:hyperlink w:anchor="__RefHeading___Toc3266570_2870459653">
            <w:r>
              <w:rPr>
                <w:webHidden/>
                <w:rStyle w:val="IndexLink"/>
                <w:rtl w:val="true"/>
              </w:rPr>
              <w:t>اشارة</w:t>
            </w:r>
            <w:r>
              <w:rPr>
                <w:rStyle w:val="IndexLink"/>
                <w:rtl w:val="true"/>
              </w:rPr>
              <w:tab/>
            </w:r>
            <w:r>
              <w:rPr>
                <w:rStyle w:val="IndexLink"/>
              </w:rPr>
              <w:t>305</w:t>
            </w:r>
          </w:hyperlink>
        </w:p>
        <w:p>
          <w:pPr>
            <w:pStyle w:val="Contents6"/>
            <w:tabs>
              <w:tab w:val="clear" w:pos="7609"/>
              <w:tab w:val="right" w:pos="9026" w:leader="dot"/>
            </w:tabs>
            <w:rPr/>
          </w:pPr>
          <w:hyperlink w:anchor="__RefHeading___Toc3266572_2870459653">
            <w:r>
              <w:rPr>
                <w:webHidden/>
                <w:rStyle w:val="IndexLink"/>
                <w:rtl w:val="true"/>
              </w:rPr>
              <w:t>الصّورة الأولى</w:t>
            </w:r>
            <w:r>
              <w:rPr>
                <w:rStyle w:val="IndexLink"/>
                <w:rtl w:val="true"/>
              </w:rPr>
              <w:t xml:space="preserve">: </w:t>
            </w:r>
            <w:r>
              <w:rPr>
                <w:rStyle w:val="IndexLink"/>
                <w:rtl w:val="true"/>
              </w:rPr>
              <w:t>نسيان الحمد</w:t>
            </w:r>
            <w:r>
              <w:rPr>
                <w:rStyle w:val="IndexLink"/>
                <w:rtl w:val="true"/>
              </w:rPr>
              <w:tab/>
            </w:r>
            <w:r>
              <w:rPr>
                <w:rStyle w:val="IndexLink"/>
              </w:rPr>
              <w:t>306</w:t>
            </w:r>
          </w:hyperlink>
        </w:p>
        <w:p>
          <w:pPr>
            <w:pStyle w:val="Contents6"/>
            <w:tabs>
              <w:tab w:val="clear" w:pos="7609"/>
              <w:tab w:val="right" w:pos="9026" w:leader="dot"/>
            </w:tabs>
            <w:rPr/>
          </w:pPr>
          <w:hyperlink w:anchor="__RefHeading___Toc3266574_2870459653">
            <w:r>
              <w:rPr>
                <w:webHidden/>
                <w:rStyle w:val="IndexLink"/>
                <w:rtl w:val="true"/>
              </w:rPr>
              <w:t>الصّورة الثّانية</w:t>
            </w:r>
            <w:r>
              <w:rPr>
                <w:rStyle w:val="IndexLink"/>
                <w:rtl w:val="true"/>
              </w:rPr>
              <w:t xml:space="preserve">: </w:t>
            </w:r>
            <w:r>
              <w:rPr>
                <w:rStyle w:val="IndexLink"/>
                <w:rtl w:val="true"/>
              </w:rPr>
              <w:t>نسيان الرّكوع</w:t>
            </w:r>
            <w:r>
              <w:rPr>
                <w:rStyle w:val="IndexLink"/>
                <w:rtl w:val="true"/>
              </w:rPr>
              <w:tab/>
            </w:r>
            <w:r>
              <w:rPr>
                <w:rStyle w:val="IndexLink"/>
              </w:rPr>
              <w:t>306</w:t>
            </w:r>
          </w:hyperlink>
        </w:p>
        <w:p>
          <w:pPr>
            <w:pStyle w:val="Contents6"/>
            <w:tabs>
              <w:tab w:val="clear" w:pos="7609"/>
              <w:tab w:val="right" w:pos="9026" w:leader="dot"/>
            </w:tabs>
            <w:rPr/>
          </w:pPr>
          <w:hyperlink w:anchor="__RefHeading___Toc3266576_2870459653">
            <w:r>
              <w:rPr>
                <w:webHidden/>
                <w:rStyle w:val="IndexLink"/>
                <w:rtl w:val="true"/>
              </w:rPr>
              <w:t>اشارة</w:t>
            </w:r>
            <w:r>
              <w:rPr>
                <w:rStyle w:val="IndexLink"/>
                <w:rtl w:val="true"/>
              </w:rPr>
              <w:tab/>
            </w:r>
            <w:r>
              <w:rPr>
                <w:rStyle w:val="IndexLink"/>
              </w:rPr>
              <w:t>306</w:t>
            </w:r>
          </w:hyperlink>
        </w:p>
        <w:p>
          <w:pPr>
            <w:pStyle w:val="Contents6"/>
            <w:tabs>
              <w:tab w:val="clear" w:pos="7609"/>
              <w:tab w:val="right" w:pos="9026" w:leader="dot"/>
            </w:tabs>
            <w:rPr/>
          </w:pPr>
          <w:hyperlink w:anchor="__RefHeading___Toc3266578_2870459653">
            <w:r>
              <w:rPr>
                <w:webHidden/>
                <w:rStyle w:val="IndexLink"/>
                <w:rtl w:val="true"/>
              </w:rPr>
              <w:t>محلّ فوات الرّكوع بحسب كلمات الأصحاب</w:t>
            </w:r>
            <w:r>
              <w:rPr>
                <w:rStyle w:val="IndexLink"/>
                <w:rtl w:val="true"/>
              </w:rPr>
              <w:tab/>
            </w:r>
            <w:r>
              <w:rPr>
                <w:rStyle w:val="IndexLink"/>
              </w:rPr>
              <w:t>307</w:t>
            </w:r>
          </w:hyperlink>
        </w:p>
        <w:p>
          <w:pPr>
            <w:pStyle w:val="Contents6"/>
            <w:tabs>
              <w:tab w:val="clear" w:pos="7609"/>
              <w:tab w:val="right" w:pos="9026" w:leader="dot"/>
            </w:tabs>
            <w:rPr/>
          </w:pPr>
          <w:hyperlink w:anchor="__RefHeading___Toc3266580_2870459653">
            <w:r>
              <w:rPr>
                <w:webHidden/>
                <w:rStyle w:val="IndexLink"/>
                <w:rtl w:val="true"/>
              </w:rPr>
              <w:t>عدم الفرق في النّسيان بين كونه حال الهويّ إلى السّجود أو الرّكوع بحسب كلمات الأصحاب</w:t>
            </w:r>
            <w:r>
              <w:rPr>
                <w:rStyle w:val="IndexLink"/>
                <w:rtl w:val="true"/>
              </w:rPr>
              <w:tab/>
            </w:r>
            <w:r>
              <w:rPr>
                <w:rStyle w:val="IndexLink"/>
              </w:rPr>
              <w:t>308</w:t>
            </w:r>
          </w:hyperlink>
        </w:p>
        <w:p>
          <w:pPr>
            <w:pStyle w:val="Contents6"/>
            <w:tabs>
              <w:tab w:val="clear" w:pos="7609"/>
              <w:tab w:val="right" w:pos="9026" w:leader="dot"/>
            </w:tabs>
            <w:rPr/>
          </w:pPr>
          <w:hyperlink w:anchor="__RefHeading___Toc3266582_2870459653">
            <w:r>
              <w:rPr>
                <w:webHidden/>
                <w:rStyle w:val="IndexLink"/>
                <w:rtl w:val="true"/>
              </w:rPr>
              <w:t xml:space="preserve">كلام صاحب الجواهر </w:t>
            </w:r>
            <w:r>
              <w:rPr>
                <w:rStyle w:val="IndexLink"/>
                <w:rtl w:val="true"/>
              </w:rPr>
              <w:t>(</w:t>
            </w:r>
            <w:r>
              <w:rPr>
                <w:rStyle w:val="IndexLink"/>
                <w:rtl w:val="true"/>
              </w:rPr>
              <w:t>قدس سره</w:t>
            </w:r>
            <w:r>
              <w:rPr>
                <w:rStyle w:val="IndexLink"/>
                <w:rtl w:val="true"/>
              </w:rPr>
              <w:t xml:space="preserve">) </w:t>
            </w:r>
            <w:r>
              <w:rPr>
                <w:rStyle w:val="IndexLink"/>
                <w:rtl w:val="true"/>
              </w:rPr>
              <w:t>في المقام</w:t>
            </w:r>
            <w:r>
              <w:rPr>
                <w:rStyle w:val="IndexLink"/>
                <w:rtl w:val="true"/>
              </w:rPr>
              <w:tab/>
            </w:r>
            <w:r>
              <w:rPr>
                <w:rStyle w:val="IndexLink"/>
              </w:rPr>
              <w:t>309</w:t>
            </w:r>
          </w:hyperlink>
        </w:p>
        <w:p>
          <w:pPr>
            <w:pStyle w:val="Contents6"/>
            <w:tabs>
              <w:tab w:val="clear" w:pos="7609"/>
              <w:tab w:val="right" w:pos="9026" w:leader="dot"/>
            </w:tabs>
            <w:rPr/>
          </w:pPr>
          <w:hyperlink w:anchor="__RefHeading___Toc3266584_2870459653">
            <w:r>
              <w:rPr>
                <w:webHidden/>
                <w:rStyle w:val="IndexLink"/>
                <w:rtl w:val="true"/>
              </w:rPr>
              <w:t xml:space="preserve">إشكال صاحب المدارك </w:t>
            </w:r>
            <w:r>
              <w:rPr>
                <w:rStyle w:val="IndexLink"/>
                <w:rtl w:val="true"/>
              </w:rPr>
              <w:t>(</w:t>
            </w:r>
            <w:r>
              <w:rPr>
                <w:rStyle w:val="IndexLink"/>
                <w:rtl w:val="true"/>
              </w:rPr>
              <w:t>قدس سره</w:t>
            </w:r>
            <w:r>
              <w:rPr>
                <w:rStyle w:val="IndexLink"/>
                <w:rtl w:val="true"/>
              </w:rPr>
              <w:t xml:space="preserve">) </w:t>
            </w:r>
            <w:r>
              <w:rPr>
                <w:rStyle w:val="IndexLink"/>
                <w:rtl w:val="true"/>
              </w:rPr>
              <w:t>بزيادة الرّكوع في المقام</w:t>
            </w:r>
            <w:r>
              <w:rPr>
                <w:rStyle w:val="IndexLink"/>
                <w:rtl w:val="true"/>
              </w:rPr>
              <w:tab/>
            </w:r>
            <w:r>
              <w:rPr>
                <w:rStyle w:val="IndexLink"/>
              </w:rPr>
              <w:t>311</w:t>
            </w:r>
          </w:hyperlink>
        </w:p>
        <w:p>
          <w:pPr>
            <w:pStyle w:val="Contents6"/>
            <w:tabs>
              <w:tab w:val="clear" w:pos="7609"/>
              <w:tab w:val="right" w:pos="9026" w:leader="dot"/>
            </w:tabs>
            <w:rPr/>
          </w:pPr>
          <w:hyperlink w:anchor="__RefHeading___Toc3266586_2870459653">
            <w:r>
              <w:rPr>
                <w:webHidden/>
                <w:rStyle w:val="IndexLink"/>
                <w:rtl w:val="true"/>
              </w:rPr>
              <w:t>الصّورة الثّالثة</w:t>
            </w:r>
            <w:r>
              <w:rPr>
                <w:rStyle w:val="IndexLink"/>
                <w:rtl w:val="true"/>
              </w:rPr>
              <w:t xml:space="preserve">: </w:t>
            </w:r>
            <w:r>
              <w:rPr>
                <w:rStyle w:val="IndexLink"/>
                <w:rtl w:val="true"/>
              </w:rPr>
              <w:t>نسيان السّجدتين أو احديهما</w:t>
            </w:r>
            <w:r>
              <w:rPr>
                <w:rStyle w:val="IndexLink"/>
                <w:rtl w:val="true"/>
              </w:rPr>
              <w:tab/>
            </w:r>
            <w:r>
              <w:rPr>
                <w:rStyle w:val="IndexLink"/>
              </w:rPr>
              <w:t>311</w:t>
            </w:r>
          </w:hyperlink>
        </w:p>
        <w:p>
          <w:pPr>
            <w:pStyle w:val="Contents6"/>
            <w:tabs>
              <w:tab w:val="clear" w:pos="7609"/>
              <w:tab w:val="right" w:pos="9026" w:leader="dot"/>
            </w:tabs>
            <w:rPr/>
          </w:pPr>
          <w:hyperlink w:anchor="__RefHeading___Toc3266588_2870459653">
            <w:r>
              <w:rPr>
                <w:webHidden/>
                <w:rStyle w:val="IndexLink"/>
                <w:rtl w:val="true"/>
              </w:rPr>
              <w:t xml:space="preserve">فائدة </w:t>
            </w:r>
            <w:r>
              <w:rPr>
                <w:rStyle w:val="IndexLink"/>
                <w:rtl w:val="true"/>
              </w:rPr>
              <w:t xml:space="preserve">- </w:t>
            </w:r>
            <w:r>
              <w:rPr>
                <w:rStyle w:val="IndexLink"/>
                <w:rtl w:val="true"/>
              </w:rPr>
              <w:t>الصّورة الرّابعة</w:t>
            </w:r>
            <w:r>
              <w:rPr>
                <w:rStyle w:val="IndexLink"/>
                <w:rtl w:val="true"/>
              </w:rPr>
              <w:t xml:space="preserve">: </w:t>
            </w:r>
            <w:r>
              <w:rPr>
                <w:rStyle w:val="IndexLink"/>
                <w:rtl w:val="true"/>
              </w:rPr>
              <w:t>نسيان التّشهّد وتذكّره قبل الرّكوع</w:t>
            </w:r>
            <w:r>
              <w:rPr>
                <w:rStyle w:val="IndexLink"/>
                <w:rtl w:val="true"/>
              </w:rPr>
              <w:tab/>
            </w:r>
            <w:r>
              <w:rPr>
                <w:rStyle w:val="IndexLink"/>
              </w:rPr>
              <w:t>324</w:t>
            </w:r>
          </w:hyperlink>
        </w:p>
        <w:p>
          <w:pPr>
            <w:pStyle w:val="Contents4"/>
            <w:tabs>
              <w:tab w:val="clear" w:pos="8176"/>
              <w:tab w:val="right" w:pos="9026" w:leader="dot"/>
            </w:tabs>
            <w:rPr/>
          </w:pPr>
          <w:hyperlink w:anchor="__RefHeading___Toc3266590_2870459653">
            <w:r>
              <w:rPr>
                <w:webHidden/>
                <w:rStyle w:val="IndexLink"/>
                <w:rtl w:val="true"/>
              </w:rPr>
              <w:t>عائدة</w:t>
            </w:r>
            <w:r>
              <w:rPr>
                <w:rStyle w:val="IndexLink"/>
                <w:rtl w:val="true"/>
              </w:rPr>
              <w:tab/>
            </w:r>
            <w:r>
              <w:rPr>
                <w:rStyle w:val="IndexLink"/>
              </w:rPr>
              <w:t>326</w:t>
            </w:r>
          </w:hyperlink>
        </w:p>
        <w:p>
          <w:pPr>
            <w:pStyle w:val="Contents4"/>
            <w:tabs>
              <w:tab w:val="clear" w:pos="8176"/>
              <w:tab w:val="right" w:pos="9026" w:leader="dot"/>
            </w:tabs>
            <w:rPr/>
          </w:pPr>
          <w:hyperlink w:anchor="__RefHeading___Toc3266592_2870459653">
            <w:r>
              <w:rPr>
                <w:webHidden/>
                <w:rStyle w:val="IndexLink"/>
                <w:rtl w:val="true"/>
              </w:rPr>
              <w:t>مصادر التّحقيق</w:t>
            </w:r>
            <w:r>
              <w:rPr>
                <w:rStyle w:val="IndexLink"/>
                <w:rtl w:val="true"/>
              </w:rPr>
              <w:tab/>
            </w:r>
            <w:r>
              <w:rPr>
                <w:rStyle w:val="IndexLink"/>
              </w:rPr>
              <w:t>327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142_80541"/>
      <w:bookmarkStart w:id="1" w:name="pg9142_80541"/>
      <w:bookmarkEnd w:id="1"/>
    </w:p>
    <w:p>
      <w:pPr>
        <w:pStyle w:val="Heading2"/>
        <w:numPr>
          <w:ilvl w:val="1"/>
          <w:numId w:val="1"/>
        </w:numPr>
        <w:rPr/>
      </w:pPr>
      <w:bookmarkStart w:id="2" w:name="pg9142_80541"/>
      <w:bookmarkStart w:id="3" w:name="__RefHeading___Toc3266040_2870459653"/>
      <w:bookmarkStart w:id="4" w:name="_Toc1"/>
      <w:bookmarkEnd w:id="2"/>
      <w:bookmarkEnd w:id="3"/>
      <w:r>
        <w:rPr>
          <w:rtl w:val="true"/>
        </w:rPr>
        <w:t>هویة الکتاب</w:t>
      </w:r>
      <w:bookmarkEnd w:id="4"/>
    </w:p>
    <w:p>
      <w:pPr>
        <w:pStyle w:val="BookText"/>
        <w:rPr/>
      </w:pPr>
      <w:r>
        <w:rPr>
          <w:rFonts w:ascii="Amiri" w:hAnsi="Amiri" w:eastAsia="Amiri" w:cs="Amiri"/>
          <w:color w:val="111111"/>
          <w:sz w:val="28"/>
          <w:sz w:val="28"/>
          <w:szCs w:val="28"/>
          <w:rtl w:val="true"/>
          <w:lang w:bidi="ar-SA"/>
        </w:rPr>
        <w:t>الهيأة العلمية</w:t>
      </w:r>
    </w:p>
    <w:p>
      <w:pPr>
        <w:pStyle w:val="BookText"/>
        <w:rPr/>
      </w:pPr>
      <w:r>
        <w:rPr>
          <w:rFonts w:ascii="Amiri" w:hAnsi="Amiri" w:eastAsia="Amiri" w:cs="Amiri"/>
          <w:color w:val="111111"/>
          <w:sz w:val="28"/>
          <w:sz w:val="28"/>
          <w:szCs w:val="28"/>
          <w:rtl w:val="true"/>
          <w:lang w:bidi="ar-SA"/>
        </w:rPr>
        <w:t>نخبة من أساتذة الحوزة العلمية في النجف الأشرف</w:t>
      </w:r>
    </w:p>
    <w:p>
      <w:pPr>
        <w:pStyle w:val="BookText"/>
        <w:rPr/>
      </w:pPr>
      <w:r>
        <w:rPr>
          <w:rFonts w:ascii="Amiri" w:hAnsi="Amiri" w:eastAsia="Amiri" w:cs="Amiri"/>
          <w:color w:val="111111"/>
          <w:sz w:val="28"/>
          <w:sz w:val="28"/>
          <w:szCs w:val="28"/>
          <w:rtl w:val="true"/>
          <w:lang w:bidi="ar-SA"/>
        </w:rPr>
        <w:t>رئيس التحرير</w:t>
      </w:r>
    </w:p>
    <w:p>
      <w:pPr>
        <w:pStyle w:val="BookText"/>
        <w:rPr/>
      </w:pPr>
      <w:r>
        <w:rPr>
          <w:rFonts w:ascii="Amiri" w:hAnsi="Amiri" w:eastAsia="Amiri" w:cs="Amiri"/>
          <w:color w:val="111111"/>
          <w:sz w:val="28"/>
          <w:sz w:val="28"/>
          <w:szCs w:val="28"/>
          <w:rtl w:val="true"/>
          <w:lang w:bidi="ar-SA"/>
        </w:rPr>
        <w:t>السيد جواد الموسوي الغريفي</w:t>
      </w:r>
    </w:p>
    <w:p>
      <w:pPr>
        <w:pStyle w:val="BookText"/>
        <w:rPr/>
      </w:pPr>
      <w:r>
        <w:rPr>
          <w:rFonts w:ascii="Amiri" w:hAnsi="Amiri" w:eastAsia="Amiri" w:cs="Amiri"/>
          <w:color w:val="111111"/>
          <w:sz w:val="28"/>
          <w:sz w:val="28"/>
          <w:szCs w:val="28"/>
          <w:rtl w:val="true"/>
          <w:lang w:bidi="ar-SA"/>
        </w:rPr>
        <w:t>هيأة التحرير</w:t>
      </w:r>
    </w:p>
    <w:p>
      <w:pPr>
        <w:pStyle w:val="BookText"/>
        <w:rPr/>
      </w:pPr>
      <w:r>
        <w:rPr>
          <w:rFonts w:ascii="Amiri" w:hAnsi="Amiri" w:eastAsia="Amiri" w:cs="Amiri"/>
          <w:color w:val="111111"/>
          <w:sz w:val="28"/>
          <w:sz w:val="28"/>
          <w:szCs w:val="28"/>
          <w:rtl w:val="true"/>
          <w:lang w:bidi="ar-SA"/>
        </w:rPr>
        <w:t>السيد علي البعاج</w:t>
      </w:r>
    </w:p>
    <w:p>
      <w:pPr>
        <w:pStyle w:val="BookText"/>
        <w:rPr/>
      </w:pPr>
      <w:r>
        <w:rPr>
          <w:rFonts w:ascii="Amiri" w:hAnsi="Amiri" w:eastAsia="Amiri" w:cs="Amiri"/>
          <w:color w:val="111111"/>
          <w:sz w:val="28"/>
          <w:sz w:val="28"/>
          <w:szCs w:val="28"/>
          <w:rtl w:val="true"/>
          <w:lang w:bidi="ar-SA"/>
        </w:rPr>
        <w:t>الشيخ محمد الجعفري</w:t>
      </w:r>
    </w:p>
    <w:p>
      <w:pPr>
        <w:pStyle w:val="BookText"/>
        <w:rPr/>
      </w:pPr>
      <w:r>
        <w:rPr>
          <w:rFonts w:ascii="Amiri" w:hAnsi="Amiri" w:eastAsia="Amiri" w:cs="Amiri"/>
          <w:color w:val="111111"/>
          <w:sz w:val="28"/>
          <w:sz w:val="28"/>
          <w:szCs w:val="28"/>
          <w:rtl w:val="true"/>
          <w:lang w:bidi="ar-SA"/>
        </w:rPr>
        <w:t>الشيخ قاسم الطائي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دراسات علمية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مجلة دراسات 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العدد السادس عشر</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p>
    <w:p>
      <w:pPr>
        <w:pStyle w:val="BookText"/>
        <w:rPr/>
      </w:pPr>
      <w:r>
        <w:rPr>
          <w:rFonts w:ascii="Amiri" w:hAnsi="Amiri" w:eastAsia="Amiri" w:cs="Amiri"/>
          <w:color w:val="111111"/>
          <w:sz w:val="28"/>
          <w:sz w:val="28"/>
          <w:szCs w:val="28"/>
          <w:rtl w:val="true"/>
          <w:lang w:bidi="ar-SA"/>
        </w:rPr>
        <w:t>تاريخ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Amiri" w:hAnsi="Amiri" w:eastAsia="Amiri" w:cs="Amiri"/>
          <w:color w:val="111111"/>
          <w:sz w:val="28"/>
          <w:sz w:val="28"/>
          <w:szCs w:val="28"/>
          <w:rtl w:val="true"/>
          <w:lang w:bidi="ar-SA"/>
        </w:rPr>
        <w:t xml:space="preserve">رقم الإيداع في دار الكتب والوثائق ببغداد </w:t>
      </w:r>
      <w:r>
        <w:rPr>
          <w:rFonts w:eastAsia="Amiri" w:cs="Amiri" w:ascii="Amiri" w:hAnsi="Amiri"/>
          <w:color w:val="111111"/>
          <w:sz w:val="28"/>
          <w:szCs w:val="28"/>
          <w:lang w:bidi="ar-SA"/>
        </w:rPr>
        <w:t>1614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لسنة </w:t>
      </w:r>
      <w:r>
        <w:rPr>
          <w:rFonts w:eastAsia="Amiri" w:cs="Amiri" w:ascii="Amiri" w:hAnsi="Amiri"/>
          <w:color w:val="111111"/>
          <w:sz w:val="28"/>
          <w:szCs w:val="28"/>
          <w:lang w:bidi="ar-SA"/>
        </w:rPr>
        <w:t>2011</w:t>
      </w:r>
    </w:p>
    <w:p>
      <w:pPr>
        <w:pStyle w:val="BookText"/>
        <w:rPr/>
      </w:pPr>
      <w:r>
        <w:rPr>
          <w:rFonts w:ascii="IRNazanin" w:hAnsi="IRNazanin" w:eastAsia="IRNazanin"/>
          <w:color w:val="111111"/>
          <w:sz w:val="28"/>
          <w:sz w:val="28"/>
          <w:szCs w:val="28"/>
          <w:rtl w:val="true"/>
          <w:lang w:bidi="fa-IR"/>
        </w:rPr>
        <w:t>صورة الغلاف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أنموذج من الشذرات الفقیهة المطبوعة في هذا العدد بخط مؤلفها الفقیه الکبیر الشیخ أحمد آل کاشف الغطاء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دراسات علمية</w:t>
      </w:r>
    </w:p>
    <w:p>
      <w:pPr>
        <w:pStyle w:val="BookText"/>
        <w:rPr/>
      </w:pPr>
      <w:r>
        <w:rPr>
          <w:rFonts w:ascii="Amiri" w:hAnsi="Amiri" w:eastAsia="Amiri" w:cs="Amiri"/>
          <w:color w:val="111111"/>
          <w:sz w:val="28"/>
          <w:sz w:val="28"/>
          <w:szCs w:val="28"/>
          <w:rtl w:val="true"/>
          <w:lang w:bidi="ar-SA"/>
        </w:rPr>
        <w:t>مجلة نصف سنونية تصدر عن المدرسة العلمية الاخون الصغرى في النجف الأشرف</w:t>
      </w:r>
    </w:p>
    <w:p>
      <w:pPr>
        <w:pStyle w:val="BookText"/>
        <w:rPr/>
      </w:pPr>
      <w:r>
        <w:rPr>
          <w:rFonts w:ascii="Amiri" w:hAnsi="Amiri" w:eastAsia="Amiri" w:cs="Amiri"/>
          <w:color w:val="111111"/>
          <w:sz w:val="28"/>
          <w:sz w:val="28"/>
          <w:szCs w:val="28"/>
          <w:rtl w:val="true"/>
          <w:lang w:bidi="ar-SA"/>
        </w:rPr>
        <w:t>تعنى بالابْحَاتِ التَّخَصُصِيَة في الحوزة العلمية</w:t>
      </w:r>
    </w:p>
    <w:p>
      <w:pPr>
        <w:pStyle w:val="BookText"/>
        <w:rPr/>
      </w:pPr>
      <w:r>
        <w:rPr>
          <w:rFonts w:ascii="IRNazanin" w:hAnsi="IRNazanin" w:eastAsia="IRNazanin"/>
          <w:color w:val="111111"/>
          <w:sz w:val="28"/>
          <w:sz w:val="28"/>
          <w:szCs w:val="28"/>
          <w:rtl w:val="true"/>
          <w:lang w:bidi="fa-IR"/>
        </w:rPr>
        <w:t>العدد السادس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الأول </w:t>
      </w:r>
      <w:r>
        <w:rPr>
          <w:rFonts w:eastAsia="IRNazanin" w:cs="IRNazanin"/>
          <w:color w:val="111111"/>
          <w:sz w:val="28"/>
          <w:szCs w:val="28"/>
          <w:lang w:bidi="fa-IR"/>
        </w:rPr>
        <w:t>1441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266042_2870459653"/>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كَانَ الْمُؤْمِنُونَ لِيَنْفِرُوا كَافَّةً فَلَوْلَا نَفَرَ مِنْ كُلِّ فِرْقَةٍ مِنْهُمْ طَائِفَةٌ لِيَتَفَقَّهُوا فِي الدِّينِ وَلِيُنْذِرُوا قَوْمَهُمْ إِذَا رَجَعُوا إِلَيْهِمْ لَعَلَّهُمْ يَحْذَرُونَ التوبة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bookmarkStart w:id="7" w:name="pg9142_80544"/>
    </w:p>
    <w:p>
      <w:pPr>
        <w:pStyle w:val="Heading2"/>
        <w:numPr>
          <w:ilvl w:val="1"/>
          <w:numId w:val="1"/>
        </w:numPr>
        <w:rPr/>
      </w:pPr>
      <w:bookmarkStart w:id="8" w:name="__RefHeading___Toc3266044_2870459653"/>
      <w:bookmarkStart w:id="9" w:name="_Toc3"/>
      <w:bookmarkEnd w:id="7"/>
      <w:bookmarkEnd w:id="8"/>
      <w:r>
        <w:rPr>
          <w:rtl w:val="true"/>
        </w:rPr>
        <w:t>الأسس المعتمدة للنشر</w:t>
      </w:r>
      <w:bookmarkEnd w:id="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ترحّب المجلَّة بإسهامات الباحثين الأفاضل في مختلف المجالات التي تهمّ طالب الأبحاث العليا في الحوزة العلميّة من الفقه والأُصول والرجال والحديث ونحوها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يُشترط في المادّة المُراد نشرها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مستوفية لأُصول البحث العلمي على مختلف المستويات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الفنيّة والعلميّة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المنهجيّة والتوثيق ونحوهما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الأبحاث مكتوبة بخطّ واضح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منضَّدة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توضع الهوامش في أسفل الصفحة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يتراوح حجم البحث 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من القطع الوزيري بخطٍّ متوسّط الحجم وما يزيد على ذلك يمكن جعله في حلقتين أو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نظر المجلَّة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شريطة استلام البحث كاملاً، ويمكن للمجلّة في ما زاد عن ذلك أن تنشره مستقلّا ً مع نشر قسمٍ منه في بعض أعدادها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البحث قد نُشر أو أُرسل للنشر في مكان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يُذيَّلَ البحث بذكر المصادر التي اعتمدها الباحث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يخضع البحث لمراجعة هيئة علميَّة ولا يُعاد إلى صاحبه سواء أنُشر أم لم يُنشر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للمجلَّة وحدها حقّ إعادة نشر البحوث التي نشرتها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يخضع ترتيب البحوث المنشورة في المجلَّة لاعتبارات فنّيّة لا علاقة لها بمكانة الكاتب أو أهميّة الموضوع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يُنشر في المجلَّة لا يعدو كونه مطارحات علميّة صرفة ولا يُعبّر بالضرورة عن رأي المجلَّة</w:t>
      </w:r>
      <w:r>
        <w:rPr>
          <w:rFonts w:eastAsia="Amiri" w:cs="Amiri" w:ascii="Amiri" w:hAnsi="Amiri"/>
          <w:color w:val="111111"/>
          <w:sz w:val="28"/>
          <w:szCs w:val="28"/>
          <w:rtl w:val="true"/>
          <w:lang w:bidi="ar-SA"/>
        </w:rPr>
        <w:t xml:space="preserve">. </w:t>
      </w:r>
      <w:bookmarkStart w:id="10" w:name="pg9142_80545"/>
    </w:p>
    <w:p>
      <w:pPr>
        <w:pStyle w:val="Heading2"/>
        <w:numPr>
          <w:ilvl w:val="1"/>
          <w:numId w:val="1"/>
        </w:numPr>
        <w:rPr/>
      </w:pPr>
      <w:bookmarkStart w:id="11" w:name="__RefHeading___Toc3266046_2870459653"/>
      <w:bookmarkStart w:id="12" w:name="_Toc4"/>
      <w:bookmarkEnd w:id="10"/>
      <w:bookmarkEnd w:id="11"/>
      <w:r>
        <w:rPr>
          <w:rtl w:val="true"/>
        </w:rPr>
        <w:t>المحتوی</w:t>
      </w:r>
      <w:bookmarkEnd w:id="12"/>
    </w:p>
    <w:p>
      <w:pPr>
        <w:pStyle w:val="BookText"/>
        <w:rPr/>
      </w:pPr>
      <w:r>
        <w:rPr>
          <w:rFonts w:ascii="Amiri" w:hAnsi="Amiri" w:eastAsia="Amiri" w:cs="Amiri"/>
          <w:color w:val="111111"/>
          <w:sz w:val="28"/>
          <w:sz w:val="28"/>
          <w:szCs w:val="28"/>
          <w:rtl w:val="true"/>
          <w:lang w:bidi="ar-SA"/>
        </w:rPr>
        <w:t xml:space="preserve">السّنة 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العدد السّادس عشر</w:t>
      </w:r>
    </w:p>
    <w:p>
      <w:pPr>
        <w:pStyle w:val="BookText"/>
        <w:rPr/>
      </w:pPr>
      <w:r>
        <w:rPr>
          <w:rFonts w:ascii="Amiri" w:hAnsi="Amiri" w:eastAsia="Amiri" w:cs="Amiri"/>
          <w:color w:val="111111"/>
          <w:sz w:val="28"/>
          <w:sz w:val="28"/>
          <w:szCs w:val="28"/>
          <w:rtl w:val="true"/>
          <w:lang w:bidi="ar-SA"/>
        </w:rPr>
        <w:t>كلمة العدد</w:t>
      </w:r>
    </w:p>
    <w:p>
      <w:pPr>
        <w:pStyle w:val="BookText"/>
        <w:rPr/>
      </w:pPr>
      <w:r>
        <w:rPr>
          <w:rFonts w:ascii="Amiri" w:hAnsi="Amiri" w:eastAsia="Amiri" w:cs="Amiri"/>
          <w:color w:val="111111"/>
          <w:sz w:val="28"/>
          <w:sz w:val="28"/>
          <w:szCs w:val="28"/>
          <w:rtl w:val="true"/>
          <w:lang w:bidi="ar-SA"/>
        </w:rPr>
        <w:t>هيئة التّحرير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اشتراط الذّكورة في القاضي</w:t>
      </w:r>
    </w:p>
    <w:p>
      <w:pPr>
        <w:pStyle w:val="BookText"/>
        <w:rPr/>
      </w:pPr>
      <w:r>
        <w:rPr>
          <w:rFonts w:ascii="Amiri" w:hAnsi="Amiri" w:eastAsia="Amiri" w:cs="Amiri"/>
          <w:color w:val="111111"/>
          <w:sz w:val="28"/>
          <w:sz w:val="28"/>
          <w:szCs w:val="28"/>
          <w:rtl w:val="true"/>
          <w:lang w:bidi="ar-SA"/>
        </w:rPr>
        <w:t xml:space="preserve">الشّيخ نزار آل سنبل القطيفيّ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عزه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حقّ الشّفعة عند زيادة الشّركاء على الاثنين</w:t>
      </w:r>
    </w:p>
    <w:p>
      <w:pPr>
        <w:pStyle w:val="BookText"/>
        <w:rPr/>
      </w:pPr>
      <w:r>
        <w:rPr>
          <w:rFonts w:ascii="Amiri" w:hAnsi="Amiri" w:eastAsia="Amiri" w:cs="Amiri"/>
          <w:color w:val="111111"/>
          <w:sz w:val="28"/>
          <w:sz w:val="28"/>
          <w:szCs w:val="28"/>
          <w:rtl w:val="true"/>
          <w:lang w:bidi="ar-SA"/>
        </w:rPr>
        <w:t xml:space="preserve">الشّيخ رافد الزّيداويّ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عزه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خروج الزّوجة من بيتها بدون إذن زوجها</w:t>
      </w:r>
    </w:p>
    <w:p>
      <w:pPr>
        <w:pStyle w:val="BookText"/>
        <w:rPr/>
      </w:pPr>
      <w:r>
        <w:rPr>
          <w:rFonts w:ascii="Amiri" w:hAnsi="Amiri" w:eastAsia="Amiri" w:cs="Amiri"/>
          <w:color w:val="111111"/>
          <w:sz w:val="28"/>
          <w:sz w:val="28"/>
          <w:szCs w:val="28"/>
          <w:rtl w:val="true"/>
          <w:lang w:bidi="ar-SA"/>
        </w:rPr>
        <w:t xml:space="preserve">الشّيخ محمّد رضا السّاعديّ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عزه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السّيرة العقلائيّة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 xml:space="preserve">الشّيخ نجم التّرابيّ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عزه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IRNazanin" w:hAnsi="IRNazanin" w:eastAsia="IRNazanin"/>
          <w:color w:val="111111"/>
          <w:sz w:val="28"/>
          <w:sz w:val="28"/>
          <w:szCs w:val="28"/>
          <w:rtl w:val="true"/>
          <w:lang w:bidi="fa-IR"/>
        </w:rPr>
        <w:t>رجال الجواهر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ascii="Amiri" w:hAnsi="Amiri" w:eastAsia="Amiri" w:cs="Amiri"/>
          <w:color w:val="111111"/>
          <w:sz w:val="28"/>
          <w:sz w:val="28"/>
          <w:szCs w:val="28"/>
          <w:rtl w:val="true"/>
          <w:lang w:bidi="ar-SA"/>
        </w:rPr>
        <w:t xml:space="preserve">الشّيخ عليّ الغزّيّ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عزه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شذرات فقهيّة للفقيه الكبير الشّيخ أحمد آل كاشف الغطاء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عليّ البعّاج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عزه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 w:name="pg9142_80547"/>
      <w:bookmarkStart w:id="14" w:name="pg9142_80547"/>
      <w:bookmarkEnd w:id="14"/>
    </w:p>
    <w:p>
      <w:pPr>
        <w:pStyle w:val="Heading2"/>
        <w:numPr>
          <w:ilvl w:val="1"/>
          <w:numId w:val="1"/>
        </w:numPr>
        <w:rPr/>
      </w:pPr>
      <w:bookmarkStart w:id="15" w:name="pg9142_80547"/>
      <w:bookmarkStart w:id="16" w:name="__RefHeading___Toc3266048_2870459653"/>
      <w:bookmarkStart w:id="17" w:name="_Toc5"/>
      <w:bookmarkEnd w:id="15"/>
      <w:bookmarkEnd w:id="16"/>
      <w:r>
        <w:rPr>
          <w:rtl w:val="true"/>
        </w:rPr>
        <w:t>کلمة العدد</w:t>
      </w:r>
      <w:bookmarkEnd w:id="17"/>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الحمد لله ربِّ العالمين والصّلاة والسّلام على محمّد وعلى آله الطيّبين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تستهدفُ المجلّاتُ التّخصّصيّةُ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شريحةً معيّنةً من القرّاء، هم المختصّون والمهتمّون الملمّون بموضوعِ الاختصاصِ الّذي تتناولُهُ تلك المجلّات ببحوثها، إلّا أنّ هناك عواملَ ومناسباتٍ قد تجعلُ دائرةَ القرّاءِ أوسعَ من المظنون، ومن تلكَ العوامل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الآثارُ الفكريّةُ والاجتماعيّةُ الّتي تترتّبُ على مستخلصاتِ تلكَ البحوث، أو الاهتمامُ العامّ بالموضوعات المطروحة، أو سهولة اللّغة والأسلوب رغم كون المسلك فيها تخصّصيّاً، لكنّ جاذبيّة الطّرح والأسلوب وترتيب الأفكار تساعد على الوصول إلى دائرة أوسع من القرّاء</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ما نراه بجميعه متوافراً في المجال الّذي تخوض فيه مجلّة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دراسات علميّة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تتبّع وعرض أدلّة العلماء في مجال استنباط الأحكام الشّرعيّة فقهاً وأصولاً وما يرتبط بالعلمَين ومقدّماتهما ممّا يقع في دائرة اهتمام المجلّة، هو ما نحرص دائماً على أنْ يُحرَّر بطريقة تعبّر عن روح الباحث ونظرته الخاصّة، أو كمرآة للنظرة العامّة للموضوع الّذي يعالجه البحث فيما لو كان متعلّقاً بسلوك أو مشكلة تواجه الفرد أو 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w:t>
      </w:r>
    </w:p>
    <w:p>
      <w:pPr>
        <w:pStyle w:val="BookText"/>
        <w:rPr/>
      </w:pPr>
      <w:r>
        <w:rPr>
          <w:rFonts w:ascii="Amiri" w:hAnsi="Amiri" w:eastAsia="Amiri" w:cs="Amiri"/>
          <w:color w:val="111111"/>
          <w:sz w:val="28"/>
          <w:sz w:val="28"/>
          <w:szCs w:val="28"/>
          <w:rtl w:val="true"/>
          <w:lang w:bidi="ar-SA"/>
        </w:rPr>
        <w:t>هذا الاهتمام والنّظر يسكب الباحث على الأدوات الصّارمة المتخصّصة للبحث روحاً متحرّكة يحسّها القارئ ويتلمّسها في طريقة عرض الباحث والتّصويرات المناسبة لذهن القرّاء في مقاربته للموضوع وأدلّة الحكم ممّا يوحي للقارئ بأنّه شريك حيويٌّ مع الباحث في تتبّع الموضوع وأدلّته والمشاكل الصّناعيّة والفكريّة الّتي تواجهه، فيكون للبحث ونتائجه أبلغ الأثر عند المتلقّي دون أن يحيد الكاتب عن الأدلّة العلميّة الّتي تهيمن على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من ناحية الآثار الفكريّة والاجتماعيّة للبحوث المختصّة في مجالاتها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تقدّم أنّها يمكن أن تكون من أسباب توجّه دائرة أكبر من القرّاء لمثل تلك البحوث والكتابات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تقود الباحث لضرورة أن يجتهد من أجل توضيح واختبار بعض الآثار والأهداف المهمّة لبحثه، يوردها كمقدّمة ومدخلٍ قبل الخوض فيما يتيسّر من أدلّة شرعيّة مساعدة أو معارضة للأهداف المتصوّرة ذات السّمة الفكريّة أو الاجتماعيّة من المنظار الخاصّ أو العامّ الملقي بظلاله على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بعد ذلك مانع من إتمام التّصوّر النّظريّ المطروح أوّل البحث بعد مناقشة الأدلّة العامّة والخاصّة، أمكن أن يقدّم الباحث توصياته ورؤاه في معالجة الموضوع ضمن حدود ما تسمح به الأدلّة ولكي يكون لبحثه ربط بين الواقع والأدلّة الواصلة في صورة واضحة للمطالع المستفيد، وربّما يثمر ذلك مستقبلاً في باب المعاملات بالمعنى الأعمّ مثلاً علاجات ورؤى جديدة تتفادى الوقوع في حيّز المخالفة الشّرعيّة</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وعلى النّهج المعتاد للمجلّة في الإيفاء بأنواع البحوث فقهاً وأصولاً وما يرتبط بهما يطالع المتابع لأبحاثها في هذا العدد السّادس عشر موضوعات مختلفة في الفقه، ويبدو أنّ للمرأة الحظّ الأوفر من اهتمام الباحثين في هذا العدد ابتداءً من بحث اشتراط الذكورة في القاضي، وهو تعبيرٌ اصطلاحيّ عن جدل حقوقيّ يلوح خلف </w:t>
      </w:r>
    </w:p>
    <w:p>
      <w:pPr>
        <w:pStyle w:val="BookText"/>
        <w:rPr/>
      </w:pPr>
      <w:r>
        <w:rPr>
          <w:rFonts w:ascii="Amiri" w:hAnsi="Amiri" w:eastAsia="Amiri" w:cs="Amiri"/>
          <w:color w:val="111111"/>
          <w:sz w:val="28"/>
          <w:sz w:val="28"/>
          <w:szCs w:val="28"/>
          <w:rtl w:val="true"/>
          <w:lang w:bidi="ar-SA"/>
        </w:rPr>
        <w:t>العنوان،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صلاحيّة المرأة أو حقّها في تولّي القضاء بين المتخاصمين في حدود ما تسمح به الأدلّة، وانتهاءً باشتراط إذن الزوج في جواز خروج المرأة من بيته وإن لم ينافِ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ويتلو البحثين المذكورين بحث ثالث في ثبوت حقّ الشفعة للشركاء إذا ازدادوا عن اثنين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الأصول فنطالع بحثاً في حدود السّيرة العقلائيّة وحجّيّتها كدليل شرعيّ يلتجئ إليه الفقهاء، وطرقهم في استكشاف إمضاء الشّارع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علم الرّجال نتابع حلقةً ثانيةً ممّا بدأناه في العدد السّابق حول استقصاء مذهب الفقيه الكبير مرجع الطّائفة الشّيخ محمّد حسن النّجفيّ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تعديل الرّجال والأسناد، واستكشاف قواعده المتّبعة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وأخيراً يستريح القارئ بتسريح نظره في ثلاث شذرات فقهيّة محقّقة للفقيه الكبير آية الله الشّيخ أحمد آل كاشف الغطاء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الأولى في حقيقة الأحداث والأغسال، والثّانية في تعاقب الأحداث، والثّالثة في حكم النّقصان السّهويّ في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الختام نوجّه شكرنا إلى أعضاء اللّجنة العلميّة الدائبين على مراجعة البحوث وإبداء أنظارهم المباركة في الأركان المهمّة الّتي تقوم عليها الأبحاث ممّا يساهم في تراكم الخبرة عند الباحثين والمجلّة بصورة 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نتوجه بالشّكر إلى الباحثين الأفاضل الّذين يرفدون المجلّة بأبحاثهم وكتاباتهم، والشّكر موصول إلى كلّ من ساهم في إخراج هذا العدد على ما هو عليه محبّة منهم للعلم ولأهداف المجلّة، وفّق الله تعالى الجميع لما فيه خدمة الدّين وعلومه والعاملين به</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هيئة التّحرير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 w:name="pg9142_80551"/>
      <w:bookmarkStart w:id="19" w:name="pg9142_80551"/>
      <w:bookmarkEnd w:id="19"/>
    </w:p>
    <w:p>
      <w:pPr>
        <w:pStyle w:val="Heading2"/>
        <w:numPr>
          <w:ilvl w:val="1"/>
          <w:numId w:val="1"/>
        </w:numPr>
        <w:rPr/>
      </w:pPr>
      <w:bookmarkStart w:id="20" w:name="pg9142_80551"/>
      <w:bookmarkStart w:id="21" w:name="__RefHeading___Toc3266050_2870459653"/>
      <w:bookmarkStart w:id="22" w:name="_Toc6"/>
      <w:bookmarkEnd w:id="20"/>
      <w:bookmarkEnd w:id="21"/>
      <w:r>
        <w:rPr>
          <w:rtl w:val="true"/>
        </w:rPr>
        <w:t xml:space="preserve">اشتراط الذكورة في القاضي </w:t>
      </w:r>
      <w:r>
        <w:rPr>
          <w:rtl w:val="true"/>
        </w:rPr>
        <w:t xml:space="preserve">- </w:t>
      </w:r>
      <w:r>
        <w:rPr>
          <w:rtl w:val="true"/>
        </w:rPr>
        <w:t xml:space="preserve">الشيخ نزار آل سنبل القطيفي </w:t>
      </w:r>
      <w:r>
        <w:rPr>
          <w:rtl w:val="true"/>
        </w:rPr>
        <w:t>(</w:t>
      </w:r>
      <w:r>
        <w:rPr>
          <w:rtl w:val="true"/>
        </w:rPr>
        <w:t>دام عزه</w:t>
      </w:r>
      <w:r>
        <w:rPr>
          <w:rtl w:val="true"/>
        </w:rPr>
        <w:t>)</w:t>
      </w:r>
      <w:bookmarkEnd w:id="22"/>
    </w:p>
    <w:p>
      <w:pPr>
        <w:pStyle w:val="Heading3"/>
        <w:numPr>
          <w:ilvl w:val="2"/>
          <w:numId w:val="1"/>
        </w:numPr>
        <w:rPr/>
      </w:pPr>
      <w:bookmarkStart w:id="23" w:name="__RefHeading___Toc3266052_2870459653"/>
      <w:bookmarkStart w:id="24" w:name="_Toc7"/>
      <w:bookmarkEnd w:id="23"/>
      <w:r>
        <w:rPr>
          <w:rtl w:val="true"/>
        </w:rPr>
        <w:t>اشارة</w:t>
      </w:r>
      <w:bookmarkEnd w:id="24"/>
    </w:p>
    <w:p>
      <w:pPr>
        <w:pStyle w:val="BookText"/>
        <w:rPr/>
      </w:pPr>
      <w:r>
        <w:rPr>
          <w:rFonts w:ascii="IRNazanin" w:hAnsi="IRNazanin" w:eastAsia="IRNazanin"/>
          <w:color w:val="111111"/>
          <w:sz w:val="28"/>
          <w:sz w:val="28"/>
          <w:szCs w:val="28"/>
          <w:rtl w:val="true"/>
          <w:lang w:bidi="fa-IR"/>
        </w:rPr>
        <w:t xml:space="preserve">تكاد عبارات الأعلام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تتطابق على اعتبار الذكورة في القاضي، فلا ينعقد القضاء للمرأة، ولا ينفذ حكمها ولو استجمعت سائر الشرائط كالعلم والعدالة وغيرهما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منطلق أهمّيّة هذه المسألة في الواقع العمليّ وكثرة الابتلاء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سيّما في العصور المتأخّرة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المناسب بحثها والنظر في أدلّتها وبيان الراجح منها</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ما تتكفّل به هذه الدراسة التي أضعها بين يدي القارئ الكريم والتي كتبتها قبل حدود أربع وعشرين سنة سائلاً المولى أن يقبلها وينفع بها طالبها بمحمّد وآله الطاهرين</w:t>
      </w:r>
      <w:r>
        <w:rPr>
          <w:rFonts w:eastAsia="Amiri" w:cs="Amiri" w:ascii="Amiri" w:hAnsi="Amiri"/>
          <w:color w:val="111111"/>
          <w:sz w:val="28"/>
          <w:szCs w:val="28"/>
          <w:rtl w:val="true"/>
          <w:lang w:bidi="ar-SA"/>
        </w:rPr>
        <w:t xml:space="preserve">. </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 w:name="pg9142_80553"/>
      <w:bookmarkStart w:id="26" w:name="pg9142_80553"/>
      <w:bookmarkEnd w:id="26"/>
    </w:p>
    <w:p>
      <w:pPr>
        <w:pStyle w:val="BookText"/>
        <w:rPr/>
      </w:pPr>
      <w:bookmarkStart w:id="27" w:name="pg9142_80553"/>
      <w:bookmarkEnd w:id="27"/>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الحمد لله ربِّ العالمين، والصّلاة والسّلام على أشرف الأنبياء والمرسلين نبيّنا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وصلّى الله على أهل بيته الطيّبين الطاهرين، واللّعن الدائم على أعدائهم أجمعين إلى قيام يوم الدين</w:t>
      </w:r>
      <w:r>
        <w:rPr>
          <w:rFonts w:eastAsia="IRNazanin" w:cs="IRNazanin"/>
          <w:color w:val="111111"/>
          <w:sz w:val="28"/>
          <w:szCs w:val="28"/>
          <w:rtl w:val="true"/>
          <w:lang w:bidi="fa-IR"/>
        </w:rPr>
        <w:t>.</w:t>
      </w:r>
    </w:p>
    <w:p>
      <w:pPr>
        <w:pStyle w:val="Heading3"/>
        <w:numPr>
          <w:ilvl w:val="2"/>
          <w:numId w:val="1"/>
        </w:numPr>
        <w:rPr/>
      </w:pPr>
      <w:bookmarkStart w:id="28" w:name="__RefHeading___Toc3266054_2870459653"/>
      <w:bookmarkStart w:id="29" w:name="_Toc8"/>
      <w:bookmarkEnd w:id="28"/>
      <w:r>
        <w:rPr>
          <w:rtl w:val="true"/>
        </w:rPr>
        <w:t>اشتراط الذكورة في القاضي</w:t>
      </w:r>
      <w:bookmarkEnd w:id="29"/>
    </w:p>
    <w:p>
      <w:pPr>
        <w:pStyle w:val="Heading4"/>
        <w:numPr>
          <w:ilvl w:val="3"/>
          <w:numId w:val="1"/>
        </w:numPr>
        <w:rPr/>
      </w:pPr>
      <w:bookmarkStart w:id="30" w:name="__RefHeading___Toc3266056_2870459653"/>
      <w:bookmarkStart w:id="31" w:name="_Toc9"/>
      <w:bookmarkEnd w:id="30"/>
      <w:r>
        <w:rPr>
          <w:rtl w:val="true"/>
        </w:rPr>
        <w:t>اشارة</w:t>
      </w:r>
      <w:bookmarkEnd w:id="31"/>
    </w:p>
    <w:p>
      <w:pPr>
        <w:pStyle w:val="BookText"/>
        <w:rPr/>
      </w:pPr>
      <w:r>
        <w:rPr>
          <w:rFonts w:ascii="Amiri" w:hAnsi="Amiri" w:eastAsia="Amiri" w:cs="Amiri"/>
          <w:color w:val="111111"/>
          <w:sz w:val="28"/>
          <w:sz w:val="28"/>
          <w:szCs w:val="28"/>
          <w:rtl w:val="true"/>
          <w:lang w:bidi="ar-SA"/>
        </w:rPr>
        <w:t>هل يشترط في القاضي أن يكون رجلاً، فلا يجوز تولّي المرأة للقضاء، أو لا؟</w:t>
      </w:r>
    </w:p>
    <w:p>
      <w:pPr>
        <w:pStyle w:val="BookText"/>
        <w:rPr/>
      </w:pPr>
      <w:r>
        <w:rPr>
          <w:rFonts w:ascii="Amiri" w:hAnsi="Amiri" w:eastAsia="Amiri" w:cs="Amiri"/>
          <w:color w:val="111111"/>
          <w:sz w:val="28"/>
          <w:sz w:val="28"/>
          <w:szCs w:val="28"/>
          <w:rtl w:val="true"/>
          <w:lang w:bidi="ar-SA"/>
        </w:rPr>
        <w:t>في المسألة وجهان</w:t>
      </w:r>
      <w:r>
        <w:rPr>
          <w:rFonts w:eastAsia="Amiri" w:cs="Amiri" w:ascii="Amiri" w:hAnsi="Amiri"/>
          <w:color w:val="111111"/>
          <w:sz w:val="28"/>
          <w:szCs w:val="28"/>
          <w:rtl w:val="true"/>
          <w:lang w:bidi="ar-SA"/>
        </w:rPr>
        <w:t>:</w:t>
      </w:r>
    </w:p>
    <w:p>
      <w:pPr>
        <w:pStyle w:val="Heading4"/>
        <w:numPr>
          <w:ilvl w:val="3"/>
          <w:numId w:val="1"/>
        </w:numPr>
        <w:rPr/>
      </w:pPr>
      <w:bookmarkStart w:id="32" w:name="__RefHeading___Toc3266058_2870459653"/>
      <w:bookmarkStart w:id="33" w:name="_Toc10"/>
      <w:bookmarkEnd w:id="32"/>
      <w:r>
        <w:rPr>
          <w:rtl w:val="true"/>
        </w:rPr>
        <w:t>الوجه الأوّل</w:t>
      </w:r>
      <w:r>
        <w:rPr>
          <w:rtl w:val="true"/>
        </w:rPr>
        <w:t xml:space="preserve">: </w:t>
      </w:r>
      <w:r>
        <w:rPr>
          <w:rtl w:val="true"/>
        </w:rPr>
        <w:t>عدم الاشتراط</w:t>
      </w:r>
      <w:bookmarkEnd w:id="33"/>
    </w:p>
    <w:p>
      <w:pPr>
        <w:pStyle w:val="Heading5"/>
        <w:numPr>
          <w:ilvl w:val="4"/>
          <w:numId w:val="1"/>
        </w:numPr>
        <w:rPr/>
      </w:pPr>
      <w:bookmarkStart w:id="34" w:name="__RefHeading___Toc3266060_2870459653"/>
      <w:bookmarkStart w:id="35" w:name="_Toc11"/>
      <w:bookmarkEnd w:id="34"/>
      <w:r>
        <w:rPr>
          <w:rtl w:val="true"/>
        </w:rPr>
        <w:t>اشارة</w:t>
      </w:r>
      <w:bookmarkEnd w:id="35"/>
    </w:p>
    <w:p>
      <w:pPr>
        <w:pStyle w:val="BookText"/>
        <w:rPr/>
      </w:pPr>
      <w:r>
        <w:rPr>
          <w:rFonts w:ascii="Amiri" w:hAnsi="Amiri" w:eastAsia="Amiri" w:cs="Amiri"/>
          <w:color w:val="111111"/>
          <w:sz w:val="28"/>
          <w:sz w:val="28"/>
          <w:szCs w:val="28"/>
          <w:rtl w:val="true"/>
          <w:lang w:bidi="ar-SA"/>
        </w:rPr>
        <w:t>وما يمكن أن يستدلّ به عليه أمران</w:t>
      </w:r>
      <w:r>
        <w:rPr>
          <w:rFonts w:eastAsia="Amiri" w:cs="Amiri" w:ascii="Amiri" w:hAnsi="Amiri"/>
          <w:color w:val="111111"/>
          <w:sz w:val="28"/>
          <w:szCs w:val="28"/>
          <w:rtl w:val="true"/>
          <w:lang w:bidi="ar-SA"/>
        </w:rPr>
        <w:t>:</w:t>
      </w:r>
    </w:p>
    <w:p>
      <w:pPr>
        <w:pStyle w:val="Heading5"/>
        <w:numPr>
          <w:ilvl w:val="4"/>
          <w:numId w:val="1"/>
        </w:numPr>
        <w:rPr/>
      </w:pPr>
      <w:bookmarkStart w:id="36" w:name="__RefHeading___Toc3266062_2870459653"/>
      <w:bookmarkStart w:id="37" w:name="_Toc12"/>
      <w:bookmarkEnd w:id="36"/>
      <w:r>
        <w:rPr>
          <w:rtl w:val="true"/>
        </w:rPr>
        <w:t>الأمر الأوّل</w:t>
      </w:r>
      <w:bookmarkEnd w:id="37"/>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إطلاق كلٍّ من التوقيع المرويّ عن الناحية المقدّسة، ومقبولة عمر ابن حنظلة؛ حيث جاء في التوقيع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الحوادث الواقعة فارجعوا فيها إلى رواة حديثنا</w:t>
      </w:r>
      <w:r>
        <w:rPr>
          <w:rFonts w:eastAsia="Amiri" w:cs="Amiri" w:ascii="Amiri" w:hAnsi="Amiri"/>
          <w:color w:val="111111"/>
          <w:sz w:val="28"/>
          <w:szCs w:val="28"/>
          <w:rtl w:val="true"/>
          <w:lang w:bidi="ar-SA"/>
        </w:rPr>
        <w:t>..)</w:t>
      </w:r>
      <w:r>
        <w:rPr>
          <w:rStyle w:val="FootnoteAnchor"/>
          <w:rtl w:val="true"/>
        </w:rPr>
        <w:footnoteReference w:id="2"/>
      </w:r>
      <w:r>
        <w:rPr>
          <w:rFonts w:ascii="Amiri" w:hAnsi="Amiri" w:eastAsia="Amiri" w:cs="Amiri"/>
          <w:color w:val="111111"/>
          <w:sz w:val="28"/>
          <w:sz w:val="28"/>
          <w:szCs w:val="28"/>
          <w:rtl w:val="true"/>
          <w:lang w:bidi="ar-SA"/>
        </w:rPr>
        <w:t>، وجاء في المقبولة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ينظران مَنْ كان منكم ممّن روى حديثنا</w:t>
      </w:r>
      <w:r>
        <w:rPr>
          <w:rFonts w:eastAsia="Amiri" w:cs="Amiri" w:ascii="Amiri" w:hAnsi="Amiri"/>
          <w:color w:val="111111"/>
          <w:sz w:val="28"/>
          <w:szCs w:val="28"/>
          <w:rtl w:val="true"/>
          <w:lang w:bidi="ar-SA"/>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 xml:space="preserve">. </w:t>
      </w:r>
      <w:bookmarkStart w:id="38" w:name="pg9142_80554"/>
    </w:p>
    <w:p>
      <w:pPr>
        <w:pStyle w:val="BookText"/>
        <w:rPr/>
      </w:pPr>
      <w:bookmarkEnd w:id="38"/>
      <w:r>
        <w:rPr>
          <w:rFonts w:ascii="Amiri" w:hAnsi="Amiri" w:eastAsia="Amiri" w:cs="Amiri"/>
          <w:color w:val="111111"/>
          <w:sz w:val="28"/>
          <w:sz w:val="28"/>
          <w:szCs w:val="28"/>
          <w:rtl w:val="true"/>
          <w:lang w:bidi="ar-SA"/>
        </w:rPr>
        <w:t>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شامل للمرأة والرجل، كما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تعمّهما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الدليل الرابع من أدلّة الاشتراط ما يمنع من الإطلاق، مضافاً إلى المناقشة السنديّة في التوقيع</w:t>
      </w:r>
      <w:r>
        <w:rPr>
          <w:rFonts w:eastAsia="Amiri" w:cs="Amiri" w:ascii="Amiri" w:hAnsi="Amiri"/>
          <w:color w:val="111111"/>
          <w:sz w:val="28"/>
          <w:szCs w:val="28"/>
          <w:rtl w:val="true"/>
          <w:lang w:bidi="ar-SA"/>
        </w:rPr>
        <w:t>.</w:t>
      </w:r>
    </w:p>
    <w:p>
      <w:pPr>
        <w:pStyle w:val="Heading5"/>
        <w:numPr>
          <w:ilvl w:val="4"/>
          <w:numId w:val="1"/>
        </w:numPr>
        <w:rPr/>
      </w:pPr>
      <w:bookmarkStart w:id="39" w:name="__RefHeading___Toc3266064_2870459653"/>
      <w:bookmarkStart w:id="40" w:name="_Toc13"/>
      <w:bookmarkEnd w:id="39"/>
      <w:r>
        <w:rPr>
          <w:rtl w:val="true"/>
        </w:rPr>
        <w:t>الأمر الآخر</w:t>
      </w:r>
      <w:bookmarkEnd w:id="40"/>
    </w:p>
    <w:p>
      <w:pPr>
        <w:pStyle w:val="BookText"/>
        <w:rPr/>
      </w:pPr>
      <w:r>
        <w:rPr>
          <w:rFonts w:ascii="Amiri" w:hAnsi="Amiri" w:eastAsia="Amiri" w:cs="Amiri"/>
          <w:color w:val="111111"/>
          <w:sz w:val="28"/>
          <w:sz w:val="28"/>
          <w:szCs w:val="28"/>
          <w:rtl w:val="true"/>
          <w:lang w:bidi="ar-SA"/>
        </w:rPr>
        <w:t xml:space="preserve">سيرة العقلاء، فإنّها قائمة على عدم الفرق في الرجوع لأهل الخبرة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بينها الخبير في رفع الخصومات وحلّ المنازعات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الرجل والمرأة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توقّف حجّية السيرة على إمضاء الشارع لها ولو من طريق عدم الردع مع إمكانه، وسيأتي في الدليل الرابع ما يحصل به الردع عن ذلك، أو ما يوجب عدم تحقّق إحراز الإمضاء فلا حجّية فيها</w:t>
      </w:r>
      <w:r>
        <w:rPr>
          <w:rFonts w:eastAsia="Amiri" w:cs="Amiri" w:ascii="Amiri" w:hAnsi="Amiri"/>
          <w:color w:val="111111"/>
          <w:sz w:val="28"/>
          <w:szCs w:val="28"/>
          <w:rtl w:val="true"/>
          <w:lang w:bidi="ar-SA"/>
        </w:rPr>
        <w:t>.</w:t>
      </w:r>
    </w:p>
    <w:p>
      <w:pPr>
        <w:pStyle w:val="Heading4"/>
        <w:numPr>
          <w:ilvl w:val="3"/>
          <w:numId w:val="1"/>
        </w:numPr>
        <w:rPr/>
      </w:pPr>
      <w:bookmarkStart w:id="41" w:name="__RefHeading___Toc3266066_2870459653"/>
      <w:bookmarkStart w:id="42" w:name="_Toc14"/>
      <w:bookmarkEnd w:id="41"/>
      <w:r>
        <w:rPr>
          <w:rtl w:val="true"/>
        </w:rPr>
        <w:t>الوجه الآخر</w:t>
      </w:r>
      <w:r>
        <w:rPr>
          <w:rtl w:val="true"/>
        </w:rPr>
        <w:t xml:space="preserve">: </w:t>
      </w:r>
      <w:r>
        <w:rPr>
          <w:rtl w:val="true"/>
        </w:rPr>
        <w:t>القول بالاشتراط</w:t>
      </w:r>
      <w:bookmarkEnd w:id="42"/>
    </w:p>
    <w:p>
      <w:pPr>
        <w:pStyle w:val="Heading5"/>
        <w:numPr>
          <w:ilvl w:val="4"/>
          <w:numId w:val="1"/>
        </w:numPr>
        <w:rPr/>
      </w:pPr>
      <w:bookmarkStart w:id="43" w:name="__RefHeading___Toc3266068_2870459653"/>
      <w:bookmarkStart w:id="44" w:name="_Toc15"/>
      <w:bookmarkEnd w:id="43"/>
      <w:r>
        <w:rPr>
          <w:rtl w:val="true"/>
        </w:rPr>
        <w:t>اشارة</w:t>
      </w:r>
      <w:bookmarkEnd w:id="44"/>
    </w:p>
    <w:p>
      <w:pPr>
        <w:pStyle w:val="BookText"/>
        <w:rPr/>
      </w:pPr>
      <w:r>
        <w:rPr>
          <w:rFonts w:ascii="Amiri" w:hAnsi="Amiri" w:eastAsia="Amiri" w:cs="Amiri"/>
          <w:color w:val="111111"/>
          <w:sz w:val="28"/>
          <w:sz w:val="28"/>
          <w:szCs w:val="28"/>
          <w:rtl w:val="true"/>
          <w:lang w:bidi="ar-SA"/>
        </w:rPr>
        <w:t>وهو قول عامّة أهل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أقيمت عليه عدّة أدلّة، وهي</w:t>
      </w:r>
      <w:r>
        <w:rPr>
          <w:rFonts w:eastAsia="Amiri" w:cs="Amiri" w:ascii="Amiri" w:hAnsi="Amiri"/>
          <w:color w:val="111111"/>
          <w:sz w:val="28"/>
          <w:szCs w:val="28"/>
          <w:rtl w:val="true"/>
          <w:lang w:bidi="ar-SA"/>
        </w:rPr>
        <w:t>:</w:t>
      </w:r>
    </w:p>
    <w:p>
      <w:pPr>
        <w:pStyle w:val="Heading5"/>
        <w:numPr>
          <w:ilvl w:val="4"/>
          <w:numId w:val="1"/>
        </w:numPr>
        <w:rPr/>
      </w:pPr>
      <w:bookmarkStart w:id="45" w:name="__RefHeading___Toc3266070_2870459653"/>
      <w:bookmarkStart w:id="46" w:name="_Toc16"/>
      <w:bookmarkEnd w:id="45"/>
      <w:r>
        <w:rPr>
          <w:rtl w:val="true"/>
        </w:rPr>
        <w:t>الدليل الأوَّل</w:t>
      </w:r>
      <w:r>
        <w:rPr>
          <w:rtl w:val="true"/>
        </w:rPr>
        <w:t xml:space="preserve">: </w:t>
      </w:r>
      <w:r>
        <w:rPr>
          <w:rtl w:val="true"/>
        </w:rPr>
        <w:t>الإجماع</w:t>
      </w:r>
      <w:bookmarkEnd w:id="46"/>
    </w:p>
    <w:p>
      <w:pPr>
        <w:pStyle w:val="BookText"/>
        <w:rPr/>
      </w:pPr>
      <w:r>
        <w:rPr>
          <w:rFonts w:ascii="Amiri" w:hAnsi="Amiri" w:eastAsia="Amiri" w:cs="Amiri"/>
          <w:color w:val="111111"/>
          <w:sz w:val="28"/>
          <w:sz w:val="28"/>
          <w:szCs w:val="28"/>
          <w:rtl w:val="true"/>
          <w:lang w:bidi="ar-SA"/>
        </w:rPr>
        <w:t>وننقل بعض كلمات القوم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المسالك عند التعليق على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ويشترط فيه البلوغ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والذكورة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الشرائط عندنا موضع وفاق</w:t>
      </w:r>
      <w:r>
        <w:rPr>
          <w:rFonts w:eastAsia="Amiri" w:cs="Amiri" w:ascii="Amiri" w:hAnsi="Amiri"/>
          <w:color w:val="111111"/>
          <w:sz w:val="28"/>
          <w:szCs w:val="28"/>
          <w:rtl w:val="true"/>
          <w:lang w:bidi="ar-SA"/>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عند التعليق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ينعقد القضاء للمرأة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موضع وفاق، وخالف فيه بعض العامّة وجوّز قضاءها في ما يقبل شهادتها فيه</w:t>
      </w:r>
      <w:r>
        <w:rPr>
          <w:rFonts w:eastAsia="Amiri" w:cs="Amiri" w:ascii="Amiri" w:hAnsi="Amiri"/>
          <w:color w:val="111111"/>
          <w:sz w:val="28"/>
          <w:szCs w:val="28"/>
          <w:rtl w:val="true"/>
          <w:lang w:bidi="ar-SA"/>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في مفتاح الكرامة عند التعليق على الشروط السبعة التي من ضمنها الذكورة</w:t>
      </w:r>
      <w:r>
        <w:rPr>
          <w:rFonts w:eastAsia="Amiri" w:cs="Amiri" w:ascii="Amiri" w:hAnsi="Amiri"/>
          <w:color w:val="111111"/>
          <w:sz w:val="28"/>
          <w:szCs w:val="28"/>
          <w:rtl w:val="true"/>
          <w:lang w:bidi="ar-SA"/>
        </w:rPr>
        <w:t xml:space="preserve">: </w:t>
      </w:r>
      <w:bookmarkStart w:id="47" w:name="pg9142_80555"/>
    </w:p>
    <w:p>
      <w:pPr>
        <w:pStyle w:val="BookText"/>
        <w:rPr/>
      </w:pPr>
      <w:bookmarkEnd w:id="4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الشروط السبعة معتبرة إجماعاً معلوماً ومنقولاً حتّى في المسالك والكفاية والمفاتيح</w:t>
      </w:r>
      <w:r>
        <w:rPr>
          <w:rFonts w:eastAsia="Amiri" w:cs="Amiri" w:ascii="Amiri" w:hAnsi="Amiri"/>
          <w:color w:val="111111"/>
          <w:sz w:val="28"/>
          <w:szCs w:val="28"/>
          <w:rtl w:val="true"/>
          <w:lang w:bidi="ar-SA"/>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 الجواهر عند التعليق على الشروط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بلا خلاف أجده في شيءٍ منها، بل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الشرائط عندنا موضع وفاق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حكاه في الرياض عن غيرها أيضاً، وعن الأردبيلي دعواه فيما عدا الثالث والسادس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الإيمان والعلم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والغنية في العلم والعدالة، ونهج الحقّ في العلم والذكورة</w:t>
      </w:r>
      <w:r>
        <w:rPr>
          <w:rFonts w:eastAsia="Amiri" w:cs="Amiri" w:ascii="Amiri" w:hAnsi="Amiri"/>
          <w:color w:val="111111"/>
          <w:sz w:val="28"/>
          <w:szCs w:val="28"/>
          <w:rtl w:val="true"/>
          <w:lang w:bidi="ar-SA"/>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الشيخ الأنصاري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فالمرأة لا تولّى القضاء، كما في النبوي المطابق للأصل المنجبر بعدم الخلاف في المسألة</w:t>
      </w:r>
      <w:r>
        <w:rPr>
          <w:rFonts w:eastAsia="Amiri" w:cs="Amiri" w:ascii="Amiri" w:hAnsi="Amiri"/>
          <w:color w:val="111111"/>
          <w:sz w:val="28"/>
          <w:szCs w:val="28"/>
          <w:rtl w:val="true"/>
          <w:lang w:bidi="ar-SA"/>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ويرد على هذا الدليل أنّه إجماع مدركيّ لا تعبّديّ؛ لاستناد المجمعين وناقلي الإجماع إلى الوجوه الآتية أو إلى بعضها، وقد قرّر في محلّه عدم حجّية مثله</w:t>
      </w:r>
      <w:r>
        <w:rPr>
          <w:rFonts w:eastAsia="Amiri" w:cs="Amiri" w:ascii="Amiri" w:hAnsi="Amiri"/>
          <w:color w:val="111111"/>
          <w:sz w:val="28"/>
          <w:szCs w:val="28"/>
          <w:rtl w:val="true"/>
          <w:lang w:bidi="ar-SA"/>
        </w:rPr>
        <w:t>.</w:t>
      </w:r>
    </w:p>
    <w:p>
      <w:pPr>
        <w:pStyle w:val="Heading5"/>
        <w:numPr>
          <w:ilvl w:val="4"/>
          <w:numId w:val="1"/>
        </w:numPr>
        <w:rPr/>
      </w:pPr>
      <w:bookmarkStart w:id="48" w:name="__RefHeading___Toc3266072_2870459653"/>
      <w:bookmarkStart w:id="49" w:name="_Toc17"/>
      <w:bookmarkEnd w:id="48"/>
      <w:r>
        <w:rPr>
          <w:rtl w:val="true"/>
        </w:rPr>
        <w:t>الدليل الثاني</w:t>
      </w:r>
      <w:r>
        <w:rPr>
          <w:rtl w:val="true"/>
        </w:rPr>
        <w:t xml:space="preserve">: </w:t>
      </w:r>
      <w:r>
        <w:rPr>
          <w:rtl w:val="true"/>
        </w:rPr>
        <w:t>الروايات</w:t>
      </w:r>
      <w:bookmarkEnd w:id="49"/>
    </w:p>
    <w:p>
      <w:pPr>
        <w:pStyle w:val="Heading6"/>
        <w:numPr>
          <w:ilvl w:val="5"/>
          <w:numId w:val="1"/>
        </w:numPr>
        <w:rPr/>
      </w:pPr>
      <w:bookmarkStart w:id="50" w:name="__RefHeading___Toc3266074_2870459653"/>
      <w:bookmarkStart w:id="51" w:name="_Toc18"/>
      <w:bookmarkEnd w:id="50"/>
      <w:r>
        <w:rPr>
          <w:rtl w:val="true"/>
        </w:rPr>
        <w:t>اشارة</w:t>
      </w:r>
      <w:bookmarkEnd w:id="51"/>
    </w:p>
    <w:p>
      <w:pPr>
        <w:pStyle w:val="BookText"/>
        <w:rPr/>
      </w:pPr>
      <w:r>
        <w:rPr>
          <w:rFonts w:ascii="Amiri" w:hAnsi="Amiri" w:eastAsia="Amiri" w:cs="Amiri"/>
          <w:color w:val="111111"/>
          <w:sz w:val="28"/>
          <w:sz w:val="28"/>
          <w:szCs w:val="28"/>
          <w:rtl w:val="true"/>
          <w:lang w:bidi="ar-SA"/>
        </w:rPr>
        <w:t>وهي على طوائف</w:t>
      </w:r>
      <w:r>
        <w:rPr>
          <w:rFonts w:eastAsia="Amiri" w:cs="Amiri" w:ascii="Amiri" w:hAnsi="Amiri"/>
          <w:color w:val="111111"/>
          <w:sz w:val="28"/>
          <w:szCs w:val="28"/>
          <w:rtl w:val="true"/>
          <w:lang w:bidi="ar-SA"/>
        </w:rPr>
        <w:t>:</w:t>
      </w:r>
    </w:p>
    <w:p>
      <w:pPr>
        <w:pStyle w:val="Heading6"/>
        <w:numPr>
          <w:ilvl w:val="5"/>
          <w:numId w:val="1"/>
        </w:numPr>
        <w:rPr/>
      </w:pPr>
      <w:bookmarkStart w:id="52" w:name="__RefHeading___Toc3266076_2870459653"/>
      <w:bookmarkStart w:id="53" w:name="_Toc19"/>
      <w:bookmarkEnd w:id="52"/>
      <w:r>
        <w:rPr>
          <w:rtl w:val="true"/>
        </w:rPr>
        <w:t>الطائفة الأولى</w:t>
      </w:r>
      <w:bookmarkEnd w:id="53"/>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روي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يفلح قوم ولّوا أمرهم امرأة</w:t>
      </w:r>
      <w:r>
        <w:rPr>
          <w:rFonts w:eastAsia="IRNazanin" w:cs="IRNazanin"/>
          <w:color w:val="111111"/>
          <w:sz w:val="28"/>
          <w:szCs w:val="28"/>
          <w:rtl w:val="true"/>
          <w:lang w:bidi="fa-IR"/>
        </w:rPr>
        <w:t>)</w:t>
      </w:r>
      <w:r>
        <w:rPr>
          <w:rStyle w:val="FootnoteAnchor"/>
          <w:rtl w:val="true"/>
        </w:rPr>
        <w:footnoteReference w:id="9"/>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يفلح قوم وليتهم امرأة</w:t>
      </w:r>
      <w:r>
        <w:rPr>
          <w:rFonts w:eastAsia="Amiri" w:cs="Amiri" w:ascii="Amiri" w:hAnsi="Amiri"/>
          <w:color w:val="111111"/>
          <w:sz w:val="28"/>
          <w:szCs w:val="28"/>
          <w:rtl w:val="true"/>
          <w:lang w:bidi="ar-SA"/>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 xml:space="preserve">. </w:t>
      </w:r>
      <w:bookmarkStart w:id="54" w:name="pg9142_80556"/>
    </w:p>
    <w:p>
      <w:pPr>
        <w:pStyle w:val="BookText"/>
        <w:rPr/>
      </w:pPr>
      <w:bookmarkEnd w:id="54"/>
      <w:r>
        <w:rPr>
          <w:rFonts w:ascii="Amiri" w:hAnsi="Amiri" w:eastAsia="Amiri" w:cs="Amiri"/>
          <w:color w:val="111111"/>
          <w:sz w:val="28"/>
          <w:sz w:val="28"/>
          <w:szCs w:val="28"/>
          <w:rtl w:val="true"/>
          <w:lang w:bidi="ar-SA"/>
        </w:rPr>
        <w:t>وهو مناقش سنداً ودلالة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من ناحية السند فالرواية عامّية لم ترد من طرقنا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وجبرها بعمل القوم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شمل مثلها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مبنيٌّ كبروياً على الخلاف في مسألة جبر ضعف السند بعمل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عدم انحصار الدليل بها حتّى نحرز الاستناد إليها في مقام العمل، وقاعدة الجبر فرع إحراز الاستناد في العمل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الدلالة فأوّلاً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التولية المذكورة ظاهرة في الرئاسة والقيادة وتولّي شؤون أمر القوم، أي لا يفلح قوم جعلوا رئيسهم وولي أمرهم امرأة، ويشير إلى هذا المعنى سبب قول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للجملة الأولى كما ورد في روايات القوم؛ إذ ورد في البخاري وغيره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الحسن، عن أبي بكرة،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نفعني الله بكلمة أيّام الجمل لمّا بلغ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فارساً ملّكوا ابنة كسرى،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يفلح قوم ولّوا أمرهم امرأة</w:t>
      </w:r>
      <w:r>
        <w:rPr>
          <w:rFonts w:eastAsia="IRNazanin" w:cs="IRNazanin"/>
          <w:color w:val="111111"/>
          <w:sz w:val="28"/>
          <w:szCs w:val="28"/>
          <w:rtl w:val="true"/>
          <w:lang w:bidi="fa-IR"/>
        </w:rPr>
        <w:t>)</w:t>
      </w:r>
      <w:r>
        <w:rPr>
          <w:rStyle w:val="FootnoteAnchor"/>
          <w:rtl w:val="true"/>
        </w:rPr>
        <w:footnoteReference w:id="11"/>
      </w:r>
      <w:r>
        <w:rPr>
          <w:rFonts w:ascii="Amiri" w:hAnsi="Amiri" w:eastAsia="Amiri" w:cs="Amiri"/>
          <w:color w:val="111111"/>
          <w:sz w:val="28"/>
          <w:sz w:val="28"/>
          <w:szCs w:val="28"/>
          <w:rtl w:val="true"/>
          <w:lang w:bidi="ar-SA"/>
        </w:rPr>
        <w:t>، وصريح لفظ أحمد في مسنده بالنسبة إلى العبارة الثانية؛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تملكهم امرأة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فرض تسليم شموله للقضاء فهو لا يدلّ على عدم الجواز؛ لأنّ التعبير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يفلح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ينافي الجواز، فربّما يكون ناظراً إلى الأمر الوضعيّ، وأنّ مآل أمر من تلي شؤونهم امرأة إلى بوار</w:t>
      </w:r>
      <w:r>
        <w:rPr>
          <w:rFonts w:eastAsia="Amiri" w:cs="Amiri" w:ascii="Amiri" w:hAnsi="Amiri"/>
          <w:color w:val="111111"/>
          <w:sz w:val="28"/>
          <w:szCs w:val="28"/>
          <w:rtl w:val="true"/>
          <w:lang w:bidi="ar-SA"/>
        </w:rPr>
        <w:t>.</w:t>
      </w:r>
    </w:p>
    <w:p>
      <w:pPr>
        <w:pStyle w:val="Heading6"/>
        <w:numPr>
          <w:ilvl w:val="5"/>
          <w:numId w:val="1"/>
        </w:numPr>
        <w:rPr/>
      </w:pPr>
      <w:bookmarkStart w:id="55" w:name="__RefHeading___Toc3266078_2870459653"/>
      <w:bookmarkStart w:id="56" w:name="_Toc20"/>
      <w:bookmarkEnd w:id="55"/>
      <w:r>
        <w:rPr>
          <w:rtl w:val="true"/>
        </w:rPr>
        <w:t>الطائفة الثانية</w:t>
      </w:r>
      <w:bookmarkEnd w:id="56"/>
    </w:p>
    <w:p>
      <w:pPr>
        <w:pStyle w:val="BookText"/>
        <w:rPr/>
      </w:pPr>
      <w:r>
        <w:rPr>
          <w:rFonts w:ascii="Amiri" w:hAnsi="Amiri" w:eastAsia="Amiri" w:cs="Amiri"/>
          <w:color w:val="111111"/>
          <w:sz w:val="28"/>
          <w:sz w:val="28"/>
          <w:szCs w:val="28"/>
          <w:rtl w:val="true"/>
          <w:lang w:bidi="ar-SA"/>
        </w:rPr>
        <w:t>وهي روايتان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في البحار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القطّان، عن السكّري، عن الجوهري، عن</w:t>
      </w:r>
    </w:p>
    <w:p>
      <w:pPr>
        <w:pStyle w:val="BookText"/>
        <w:rPr/>
      </w:pPr>
      <w:r>
        <w:rPr>
          <w:rFonts w:ascii="IRNazanin" w:hAnsi="IRNazanin" w:eastAsia="IRNazanin"/>
          <w:color w:val="111111"/>
          <w:sz w:val="28"/>
          <w:sz w:val="28"/>
          <w:szCs w:val="28"/>
          <w:rtl w:val="true"/>
          <w:lang w:bidi="fa-IR"/>
        </w:rPr>
        <w:t>جعفر بن محمّد بن عمارة، عن أبيه، عن جابر الجعفي،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ليس على النساء أذان، ولا إقامة، ولا جمعة، ولا جماعة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 تولّى المرأة القضاء</w:t>
      </w:r>
      <w:r>
        <w:rPr>
          <w:rFonts w:eastAsia="IRNazanin" w:cs="IRNazanin"/>
          <w:color w:val="111111"/>
          <w:sz w:val="28"/>
          <w:szCs w:val="28"/>
          <w:rtl w:val="true"/>
          <w:lang w:bidi="fa-IR"/>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عليّ بن الحسين بإسناده عن حمّاد بن عمرو، وأنس بن محمّد، عن أبيه، عن جعفر بن محمّد، عن آبائه في وصية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عليّ ليس على المرأة جمعة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 تولّى القضاء</w:t>
      </w:r>
      <w:r>
        <w:rPr>
          <w:rFonts w:eastAsia="IRNazanin" w:cs="IRNazanin"/>
          <w:color w:val="111111"/>
          <w:sz w:val="28"/>
          <w:szCs w:val="28"/>
          <w:rtl w:val="true"/>
          <w:lang w:bidi="fa-IR"/>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وكلتا الروايتين ضعيفتان من ناحية السند، فلا تصلحان للاستدلال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ربّما تعتبران مؤيّدتين لما يتمّ من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أورد السيّد الخوانساري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الدلالة بأنّ التعبير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على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ينافي الجواز، ألا ترى أنّ المرأة تصلّي جماعة مع النساء؟</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أن يجاب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التعبير المذكور إنّما كان بالنسبة إلى الصلاة جمعة وجماعة والأذان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بالنسبة إلى القضاء فالتعبير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تولّى القضاء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غير التعبير الأوّل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وردت في سياق أمور غير محرّمة عليها، كحضورها صلاة الجمعة والجماعة وغيرهما ممّا يُشكّل قرينة على عدم إرادة نفي الجواز</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ذلك مردود</w:t>
      </w:r>
      <w:r>
        <w:rPr>
          <w:rFonts w:eastAsia="Amiri" w:cs="Amiri" w:ascii="Amiri" w:hAnsi="Amiri"/>
          <w:color w:val="111111"/>
          <w:sz w:val="28"/>
          <w:szCs w:val="28"/>
          <w:rtl w:val="true"/>
          <w:lang w:bidi="ar-SA"/>
        </w:rPr>
        <w:t xml:space="preserve">: </w:t>
      </w:r>
      <w:bookmarkStart w:id="57" w:name="pg9142_80558"/>
    </w:p>
    <w:p>
      <w:pPr>
        <w:pStyle w:val="BookText"/>
        <w:rPr/>
      </w:pPr>
      <w:bookmarkEnd w:id="57"/>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السياق ليس قرينة على معرفة المراد كما أُفيد في محلّه، وهو محلّ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ملاحظة الرواية جملة جملة، فندرس كلَّاً منها على حدة، وعليه فنلاحظ اختلاف التعبير كما أشرنا إليه سابقاً، فإنّ الأمور غير المحرّمة عبّرت عنها الرواية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على المرأة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وأمّا في القضاء فقالت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تولّى المرأة القضاء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ومع هذا الاختلاف في التعبير لا يمكن أن يكون السياق قرينة على أنّ المراد من العبارة الثانية هو ما يراد من العبارة الأولى</w:t>
      </w:r>
      <w:r>
        <w:rPr>
          <w:rFonts w:eastAsia="Amiri" w:cs="Amiri" w:ascii="Amiri" w:hAnsi="Amiri"/>
          <w:color w:val="111111"/>
          <w:sz w:val="28"/>
          <w:szCs w:val="28"/>
          <w:rtl w:val="true"/>
          <w:lang w:bidi="ar-SA"/>
        </w:rPr>
        <w:t>.</w:t>
      </w:r>
    </w:p>
    <w:p>
      <w:pPr>
        <w:pStyle w:val="Heading6"/>
        <w:numPr>
          <w:ilvl w:val="5"/>
          <w:numId w:val="1"/>
        </w:numPr>
        <w:rPr/>
      </w:pPr>
      <w:bookmarkStart w:id="58" w:name="__RefHeading___Toc3266080_2870459653"/>
      <w:bookmarkStart w:id="59" w:name="_Toc21"/>
      <w:bookmarkEnd w:id="58"/>
      <w:r>
        <w:rPr>
          <w:rtl w:val="true"/>
        </w:rPr>
        <w:t>الطائفة الثالثة</w:t>
      </w:r>
      <w:bookmarkEnd w:id="59"/>
    </w:p>
    <w:p>
      <w:pPr>
        <w:pStyle w:val="BookText"/>
        <w:rPr/>
      </w:pPr>
      <w:r>
        <w:rPr>
          <w:rFonts w:ascii="IRNazanin" w:hAnsi="IRNazanin" w:eastAsia="IRNazanin"/>
          <w:color w:val="111111"/>
          <w:sz w:val="28"/>
          <w:sz w:val="28"/>
          <w:szCs w:val="28"/>
          <w:rtl w:val="true"/>
          <w:lang w:bidi="fa-IR"/>
        </w:rPr>
        <w:t xml:space="preserve">ما روي عن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أخّروهنّ من حيث أخّرهنّ الله</w:t>
      </w:r>
      <w:r>
        <w:rPr>
          <w:rFonts w:eastAsia="IRNazanin" w:cs="IRNazanin"/>
          <w:color w:val="111111"/>
          <w:sz w:val="28"/>
          <w:szCs w:val="28"/>
          <w:rtl w:val="true"/>
          <w:lang w:bidi="fa-IR"/>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ووجه الاستدلال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جاء في كتاب الخلاف للشيخ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السادسة من باب القضاء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من أجاز للمرأة أن تلي القضاء فقد قدّمها وأخّر الرجل عنها</w:t>
      </w:r>
      <w:r>
        <w:rPr>
          <w:rFonts w:eastAsia="Amiri" w:cs="Amiri" w:ascii="Amiri" w:hAnsi="Amiri"/>
          <w:color w:val="111111"/>
          <w:sz w:val="28"/>
          <w:szCs w:val="28"/>
          <w:rtl w:val="true"/>
          <w:lang w:bidi="ar-SA"/>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كونها رواية نبويّة مرسلة لا يمكن قبولها سنداً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صالحة للاستدلال؛ فإنّا قبل أن نعرف من دليل آخر عدم جواز تولّي المرأة للقضاء لا يمكن لنا أن نتمسّك بهذه الرواية؛ لأنّا لا نعلم أنّ هذا المورد من الموارد التي أخّرها الله فيه أو لا، فالتمسّك بها تمسّك بالدليل في الشبهة الموضوعيّة</w:t>
      </w:r>
      <w:r>
        <w:rPr>
          <w:rFonts w:eastAsia="Amiri" w:cs="Amiri" w:ascii="Amiri" w:hAnsi="Amiri"/>
          <w:color w:val="111111"/>
          <w:sz w:val="28"/>
          <w:szCs w:val="28"/>
          <w:rtl w:val="true"/>
          <w:lang w:bidi="ar-SA"/>
        </w:rPr>
        <w:t>.</w:t>
      </w:r>
    </w:p>
    <w:p>
      <w:pPr>
        <w:pStyle w:val="Heading6"/>
        <w:numPr>
          <w:ilvl w:val="5"/>
          <w:numId w:val="1"/>
        </w:numPr>
        <w:rPr/>
      </w:pPr>
      <w:bookmarkStart w:id="60" w:name="__RefHeading___Toc3266082_2870459653"/>
      <w:bookmarkStart w:id="61" w:name="_Toc22"/>
      <w:bookmarkEnd w:id="60"/>
      <w:r>
        <w:rPr>
          <w:rtl w:val="true"/>
        </w:rPr>
        <w:t>الطائفة الرابعة</w:t>
      </w:r>
      <w:bookmarkEnd w:id="61"/>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رواه الشيخ المفيد في الاختصاص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ابن عباس في حديث طويل فيه مسائل عبد الله بن سلام،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فأخبرني عن آدم خلق من حواء أو حواء خلقت من آدم؟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خلقت حواء من آدم، ولو أنّ آدم خلق من حواء لكان الطلاق بيد النساء ولم يكن بيد الرجال</w:t>
      </w:r>
      <w:r>
        <w:rPr>
          <w:rFonts w:eastAsia="IRNazanin" w:cs="IRNazanin"/>
          <w:color w:val="111111"/>
          <w:sz w:val="28"/>
          <w:szCs w:val="28"/>
          <w:rtl w:val="true"/>
          <w:lang w:bidi="fa-IR"/>
        </w:rPr>
        <w:t xml:space="preserve">. </w:t>
      </w:r>
      <w:bookmarkStart w:id="62" w:name="pg9142_80559"/>
    </w:p>
    <w:p>
      <w:pPr>
        <w:pStyle w:val="BookText"/>
        <w:rPr/>
      </w:pPr>
      <w:bookmarkEnd w:id="62"/>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كلّه أو من بعضه؟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من بعضه، ولو خلقت حواء من كلّه لجاز القضاء في النساء كما يجوز في الرجال</w:t>
      </w:r>
      <w:r>
        <w:rPr>
          <w:rFonts w:eastAsia="Amiri" w:cs="Amiri" w:ascii="Amiri" w:hAnsi="Amiri"/>
          <w:color w:val="111111"/>
          <w:sz w:val="28"/>
          <w:szCs w:val="28"/>
          <w:rtl w:val="true"/>
          <w:lang w:bidi="ar-SA"/>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والرواية مرسلة غير قابلة للاعتماد، مضافاً إلى عدم ثبوت كتاب الاختصاص إلى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Heading6"/>
        <w:numPr>
          <w:ilvl w:val="5"/>
          <w:numId w:val="1"/>
        </w:numPr>
        <w:rPr/>
      </w:pPr>
      <w:bookmarkStart w:id="63" w:name="__RefHeading___Toc3266084_2870459653"/>
      <w:bookmarkStart w:id="64" w:name="_Toc23"/>
      <w:bookmarkEnd w:id="63"/>
      <w:r>
        <w:rPr>
          <w:rtl w:val="true"/>
        </w:rPr>
        <w:t>الطائفة الخامسة</w:t>
      </w:r>
      <w:bookmarkEnd w:id="64"/>
    </w:p>
    <w:p>
      <w:pPr>
        <w:pStyle w:val="BookText"/>
        <w:rPr/>
      </w:pPr>
      <w:r>
        <w:rPr>
          <w:rFonts w:ascii="Amiri" w:hAnsi="Amiri" w:eastAsia="Amiri" w:cs="Amiri"/>
          <w:color w:val="111111"/>
          <w:sz w:val="28"/>
          <w:sz w:val="28"/>
          <w:szCs w:val="28"/>
          <w:rtl w:val="true"/>
          <w:lang w:bidi="ar-SA"/>
        </w:rPr>
        <w:t xml:space="preserve">روايات التنصيب التي لم تذكر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التوقيع المبارك، والذي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الحوادث الواقعة فارجعوا فيها إلى رواة حديثنا، فإنّهم حجّتي عليكم وأنا حجّة الله</w:t>
      </w:r>
      <w:r>
        <w:rPr>
          <w:rFonts w:eastAsia="Amiri" w:cs="Amiri" w:ascii="Amiri" w:hAnsi="Amiri"/>
          <w:color w:val="111111"/>
          <w:sz w:val="28"/>
          <w:szCs w:val="28"/>
          <w:rtl w:val="true"/>
          <w:lang w:bidi="ar-SA"/>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مقبولة عمر بن حنظلة، ومحلّ الشاهد فيها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ينظران مَن كان منكم ممّن قد روى حديثنا ونظر في حلالنا وحرامنا وعرف أحكامنا فليرضوا به حكماً، فإنّي قد جعلته عليكم حاكماً</w:t>
      </w:r>
      <w:r>
        <w:rPr>
          <w:rFonts w:eastAsia="IRNazanin" w:cs="IRNazanin"/>
          <w:color w:val="111111"/>
          <w:sz w:val="28"/>
          <w:szCs w:val="28"/>
          <w:rtl w:val="true"/>
          <w:lang w:bidi="fa-IR"/>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ووجه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المنساق من هذه الطائفة غير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منصرفة إلى الرجل؛ لما علم من أنّ الشارع يريد الستر للمرأة وعدم خروجها في محافل الرجال وبروزها للأجانب، وتولّيها للقضاء يقتضي عكس ذلك</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سندهما،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دلالتهما على المدّعى، فنقول</w:t>
      </w:r>
      <w:r>
        <w:rPr>
          <w:rFonts w:eastAsia="Amiri" w:cs="Amiri" w:ascii="Amiri" w:hAnsi="Amiri"/>
          <w:color w:val="111111"/>
          <w:sz w:val="28"/>
          <w:szCs w:val="28"/>
          <w:rtl w:val="true"/>
          <w:lang w:bidi="ar-SA"/>
        </w:rPr>
        <w:t xml:space="preserve">: </w:t>
      </w:r>
      <w:bookmarkStart w:id="65" w:name="pg9142_80560"/>
    </w:p>
    <w:p>
      <w:pPr>
        <w:pStyle w:val="BookText"/>
        <w:rPr/>
      </w:pPr>
      <w:bookmarkEnd w:id="65"/>
      <w:r>
        <w:rPr>
          <w:rFonts w:ascii="Amiri" w:hAnsi="Amiri" w:eastAsia="Amiri" w:cs="Amiri"/>
          <w:color w:val="111111"/>
          <w:sz w:val="28"/>
          <w:sz w:val="28"/>
          <w:szCs w:val="28"/>
          <w:rtl w:val="true"/>
          <w:lang w:bidi="ar-SA"/>
        </w:rPr>
        <w:t xml:space="preserve">أمّا التوقيع فمخدوش من ناحية السند؛ لكون الراوي له مجهولاً وهو إسحاق ابن يعقوب، والقول بجبر ضعف سنده بعمل المشهور مبتنٍ على المختار في صحّة تلك القاعدة، والأقوى عدم قبولها في جبر السند بالعمل وإن كان إعراض المشهور عن الرواية الصحيحة موهناً لها كما هو رأي شيخنا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المقبولة ففي عمر بن حنظلة بحث طويل الذيل، فيبتني قبول الرواية على المختار فيه كما حقّق في علم الرجال، فالسيّد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تثبت عنده وثاقته فلا يعتمد على روايته</w:t>
      </w:r>
      <w:r>
        <w:rPr>
          <w:rStyle w:val="FootnoteAnchor"/>
          <w:rtl w:val="true"/>
        </w:rPr>
        <w:footnoteReference w:id="20"/>
      </w:r>
      <w:r>
        <w:rPr>
          <w:rFonts w:ascii="Amiri" w:hAnsi="Amiri" w:eastAsia="Amiri" w:cs="Amiri"/>
          <w:color w:val="111111"/>
          <w:sz w:val="28"/>
          <w:sz w:val="28"/>
          <w:szCs w:val="28"/>
          <w:rtl w:val="true"/>
          <w:lang w:bidi="ar-SA"/>
        </w:rPr>
        <w:t>، وأمّا غيره فقد وثّقه أو اعتمد على روايته؛ لأنّ الأصحاب قد تلقّوها بالقبول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والأرجح عندي القول بوثاقته؛ للشواهد المتعاضدة، لا سيّما على المبنى المختار في حجّية خبر الواحد من الذهاب إلى حجّية الخبر الأعمّ من الموثوق به ووثاقة راويه، بل يمكن إرجاع الثاني إلى الأوّل؛ فإنّ وثاقة الراوي من أبرز ما يحصل به الوثوق، وتحقيق كلا الأمرين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دلالتهما على المطلوب فيتوقّف على صحّة دعوى الانصراف، وإلّا فالروايتان مطلقتان في نفسيهما، ولا خصوصية فيهما للرجل، وسيأتي ما يفيد في ذلك عند الكلام حول الدليل الثالث فنرجئه إلى ما بعد</w:t>
      </w:r>
      <w:r>
        <w:rPr>
          <w:rFonts w:eastAsia="Amiri" w:cs="Amiri" w:ascii="Amiri" w:hAnsi="Amiri"/>
          <w:color w:val="111111"/>
          <w:sz w:val="28"/>
          <w:szCs w:val="28"/>
          <w:rtl w:val="true"/>
          <w:lang w:bidi="ar-SA"/>
        </w:rPr>
        <w:t>.</w:t>
      </w:r>
    </w:p>
    <w:p>
      <w:pPr>
        <w:pStyle w:val="Heading6"/>
        <w:numPr>
          <w:ilvl w:val="5"/>
          <w:numId w:val="1"/>
        </w:numPr>
        <w:rPr/>
      </w:pPr>
      <w:bookmarkStart w:id="66" w:name="__RefHeading___Toc3266086_2870459653"/>
      <w:bookmarkStart w:id="67" w:name="_Toc24"/>
      <w:bookmarkEnd w:id="66"/>
      <w:r>
        <w:rPr>
          <w:rtl w:val="true"/>
        </w:rPr>
        <w:t>الطائفة السادسة</w:t>
      </w:r>
      <w:bookmarkEnd w:id="67"/>
    </w:p>
    <w:p>
      <w:pPr>
        <w:pStyle w:val="Heading6"/>
        <w:numPr>
          <w:ilvl w:val="5"/>
          <w:numId w:val="1"/>
        </w:numPr>
        <w:rPr/>
      </w:pPr>
      <w:bookmarkStart w:id="68" w:name="__RefHeading___Toc3266088_2870459653"/>
      <w:bookmarkStart w:id="69" w:name="_Toc25"/>
      <w:bookmarkEnd w:id="68"/>
      <w:r>
        <w:rPr>
          <w:rtl w:val="true"/>
        </w:rPr>
        <w:t>اشارة</w:t>
      </w:r>
      <w:bookmarkEnd w:id="69"/>
    </w:p>
    <w:p>
      <w:pPr>
        <w:pStyle w:val="BookText"/>
        <w:rPr/>
      </w:pPr>
      <w:r>
        <w:rPr>
          <w:rFonts w:ascii="Amiri" w:hAnsi="Amiri" w:eastAsia="Amiri" w:cs="Amiri"/>
          <w:color w:val="111111"/>
          <w:sz w:val="28"/>
          <w:sz w:val="28"/>
          <w:szCs w:val="28"/>
          <w:rtl w:val="true"/>
          <w:lang w:bidi="ar-SA"/>
        </w:rPr>
        <w:t xml:space="preserve">روايات النصب التي صرّحت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ثلاث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الحسن بإسناده عن الحسين بن سعيد، عن ابن أبي عمير، عن حمّاد،</w:t>
      </w:r>
    </w:p>
    <w:p>
      <w:pPr>
        <w:pStyle w:val="BookText"/>
        <w:rPr/>
      </w:pPr>
      <w:r>
        <w:rPr>
          <w:rFonts w:ascii="IRNazanin" w:hAnsi="IRNazanin" w:eastAsia="IRNazanin"/>
          <w:color w:val="111111"/>
          <w:sz w:val="28"/>
          <w:sz w:val="28"/>
          <w:szCs w:val="28"/>
          <w:rtl w:val="true"/>
          <w:lang w:bidi="fa-IR"/>
        </w:rPr>
        <w:t>عن الحلبيّ،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كان بين الرجلين من أصحابنا المنازعة في الشيء فيتراضيان برجل منّا،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هو ذاك، إنّما هو الذي يجبر الناس على حكمه بالسيف والسوط</w:t>
      </w:r>
      <w:r>
        <w:rPr>
          <w:rFonts w:eastAsia="IRNazanin" w:cs="IRNazanin"/>
          <w:color w:val="111111"/>
          <w:sz w:val="28"/>
          <w:szCs w:val="28"/>
          <w:rtl w:val="true"/>
          <w:lang w:bidi="fa-IR"/>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الحسن بإسناده عن محمّد بن عليّ بن محبوب، عن أحمد بن محمّد، عن الحسين بن سعيد، عن أبي الجهم، عن أبي خديجة،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بعثني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أصحابنا،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إيّاكم إذا وقعت بينكم خصومة أو تَدارى في شيء من الأخذ والعطاء أن تحاكموا إلى أحد من هؤلاء الفسّاق، اجعلوا بينكم رجلاً قد عرف حلالنا وحرامنا، فإنّي قد جعلته عليكم قاضياً، وإيّاكم أن يخاصم بعضكم بعضاً إلى السلطان الجائر</w:t>
      </w:r>
      <w:r>
        <w:rPr>
          <w:rFonts w:eastAsia="IRNazanin" w:cs="IRNazanin"/>
          <w:color w:val="111111"/>
          <w:sz w:val="28"/>
          <w:szCs w:val="28"/>
          <w:rtl w:val="true"/>
          <w:lang w:bidi="fa-IR"/>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عليّ بن الحسين بإسناده عن أحمد بن عائذ، عن أبي خديجة سالم بن مكرم الجمّال،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جعفر بن محمّد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إيّاكم أن يحاكم بعضكم بعضاً إلى أهل الجور، ولكن انظروا إلى رجل منكم يعلم شيئاً من قضايانا فاجعلوه بينكم فإنّي قد جعلته قاضياً، فتحاكموا إليه</w:t>
      </w:r>
      <w:r>
        <w:rPr>
          <w:rFonts w:eastAsia="IRNazanin" w:cs="IRNazanin"/>
          <w:color w:val="111111"/>
          <w:sz w:val="28"/>
          <w:szCs w:val="28"/>
          <w:rtl w:val="true"/>
          <w:lang w:bidi="fa-IR"/>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وجه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الرواية أخذت عنوان الرجل في القاضي، وهو لا يشمل المرأة</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جعل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الجمّال شاهداً على الحكم بعدم تولّي المرأة </w:t>
      </w:r>
      <w:bookmarkStart w:id="70" w:name="pg9142_80562"/>
    </w:p>
    <w:p>
      <w:pPr>
        <w:pStyle w:val="BookText"/>
        <w:rPr/>
      </w:pPr>
      <w:bookmarkEnd w:id="70"/>
      <w:r>
        <w:rPr>
          <w:rFonts w:ascii="Amiri" w:hAnsi="Amiri" w:eastAsia="Amiri" w:cs="Amiri"/>
          <w:color w:val="111111"/>
          <w:sz w:val="28"/>
          <w:sz w:val="28"/>
          <w:szCs w:val="28"/>
          <w:rtl w:val="true"/>
          <w:lang w:bidi="ar-SA"/>
        </w:rPr>
        <w:t>للقضاء، فقال تعليقاً على شرط الذكورة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بلا خلاف ولا إشكال، وتشهد على ذلك صحيحة الجمّال المتقدّمة</w:t>
      </w:r>
      <w:r>
        <w:rPr>
          <w:rFonts w:eastAsia="Amiri" w:cs="Amiri" w:ascii="Amiri" w:hAnsi="Amiri"/>
          <w:color w:val="111111"/>
          <w:sz w:val="28"/>
          <w:szCs w:val="28"/>
          <w:rtl w:val="true"/>
          <w:lang w:bidi="ar-SA"/>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وستأتي مناقشة السيّد نفسه في ذلك عند الكلام على دلالتها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والكلام في هذه الروايات يقع في جهتين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ودلالة</w:t>
      </w:r>
      <w:r>
        <w:rPr>
          <w:rFonts w:eastAsia="Amiri" w:cs="Amiri" w:ascii="Amiri" w:hAnsi="Amiri"/>
          <w:color w:val="111111"/>
          <w:sz w:val="28"/>
          <w:szCs w:val="28"/>
          <w:rtl w:val="true"/>
          <w:lang w:bidi="ar-SA"/>
        </w:rPr>
        <w:t>.</w:t>
      </w:r>
    </w:p>
    <w:p>
      <w:pPr>
        <w:pStyle w:val="Heading6"/>
        <w:numPr>
          <w:ilvl w:val="5"/>
          <w:numId w:val="1"/>
        </w:numPr>
        <w:rPr/>
      </w:pPr>
      <w:bookmarkStart w:id="71" w:name="__RefHeading___Toc3266090_2870459653"/>
      <w:bookmarkStart w:id="72" w:name="_Toc26"/>
      <w:bookmarkEnd w:id="71"/>
      <w:r>
        <w:rPr>
          <w:rtl w:val="true"/>
        </w:rPr>
        <w:t>الجهة الأولى</w:t>
      </w:r>
      <w:r>
        <w:rPr>
          <w:rtl w:val="true"/>
        </w:rPr>
        <w:t xml:space="preserve">: </w:t>
      </w:r>
      <w:r>
        <w:rPr>
          <w:rtl w:val="true"/>
        </w:rPr>
        <w:t>جهة السند</w:t>
      </w:r>
      <w:bookmarkEnd w:id="72"/>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رواية الحلبي فهي صحيحة بلا إشكال، فإنّ طريق الشيخ إلى الحسين بن سعيد صحيح</w:t>
      </w:r>
      <w:r>
        <w:rPr>
          <w:rStyle w:val="FootnoteAnchor"/>
          <w:rtl w:val="true"/>
        </w:rPr>
        <w:footnoteReference w:id="25"/>
      </w:r>
      <w:r>
        <w:rPr>
          <w:rFonts w:ascii="Amiri" w:hAnsi="Amiri" w:eastAsia="Amiri" w:cs="Amiri"/>
          <w:color w:val="111111"/>
          <w:sz w:val="28"/>
          <w:sz w:val="28"/>
          <w:szCs w:val="28"/>
          <w:rtl w:val="true"/>
          <w:lang w:bidi="ar-SA"/>
        </w:rPr>
        <w:t>، وباقي رجال السند من الثقات الأجلّاء</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الرواية الثانية فسند الشيخ إلى محمّد بن عليّ بن محبوب صحيح في الفهرست دون المشيخة</w:t>
      </w:r>
      <w:r>
        <w:rPr>
          <w:rStyle w:val="FootnoteAnchor"/>
          <w:rtl w:val="true"/>
        </w:rPr>
        <w:footnoteReference w:id="26"/>
      </w:r>
      <w:r>
        <w:rPr>
          <w:rFonts w:ascii="IRNazanin" w:hAnsi="IRNazanin" w:eastAsia="IRNazanin"/>
          <w:color w:val="111111"/>
          <w:sz w:val="28"/>
          <w:sz w:val="28"/>
          <w:szCs w:val="28"/>
          <w:rtl w:val="true"/>
          <w:lang w:bidi="fa-IR"/>
        </w:rPr>
        <w:t>، وابن محبوب ثقة جليل، وأحمد بن محمّد لا يخلو من ثلاثة كلّهم ثقات، وهم أحمد بن محمّد بن أبي نصر، وأحمد بن محمّد البرقي، وأحمد بن محمّد ابن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والحسين بن سعيد ثقة جليل، وأبو الجهم في هذه الطبقة مجهول الاسم؛ إذ ليس هو ثوير بن أبي فاختة لكونه من أصحاب الإمام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يمكن أن يروي عمّن يروي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روى عن أصحاب الإمام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بقي إلى زمن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27"/>
      </w:r>
      <w:r>
        <w:rPr>
          <w:rFonts w:ascii="Amiri" w:hAnsi="Amiri" w:eastAsia="Amiri" w:cs="Amiri"/>
          <w:color w:val="111111"/>
          <w:sz w:val="28"/>
          <w:sz w:val="28"/>
          <w:szCs w:val="28"/>
          <w:rtl w:val="true"/>
          <w:lang w:bidi="ar-SA"/>
        </w:rPr>
        <w:t xml:space="preserve">، ولا توثيق له إلّا على مبنى وثاقة جميع رواة كامل الزيارات، أو على مبنى وثاقة جميع مشايخ ابن أبي عمير كما نذهب إليه </w:t>
      </w:r>
    </w:p>
    <w:p>
      <w:pPr>
        <w:pStyle w:val="BookText"/>
        <w:rPr/>
      </w:pPr>
      <w:r>
        <w:rPr>
          <w:rFonts w:ascii="Amiri" w:hAnsi="Amiri" w:eastAsia="Amiri" w:cs="Amiri"/>
          <w:color w:val="111111"/>
          <w:sz w:val="28"/>
          <w:sz w:val="28"/>
          <w:szCs w:val="28"/>
          <w:rtl w:val="true"/>
          <w:lang w:bidi="ar-SA"/>
        </w:rPr>
        <w:t>بشروط ذكرناها في محلّها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وأبو خديجة محلّ بحث سيأتي التعرّض له في الرواية الآتية إن شاء الله تعالى، فهذه الرواية بهذا الطريق معتبرة عندنا إلى ما قبل أبي خديجة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الرواية الثالثة فطريق الصدوق إلى أحمد بن عائذ صحيح،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أبوه، عن سعد بن عبد الله، عن أحمد بن محمّد بن عيسى، عن الحسن بن علي الوشا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وأحمد بن عائذ ثقة، ويبقى الكلام في أبي خديجة سالم بن مكرم الجمّال، ويكنّى أبا سلمة أيضاً، فقد وقع فيه بحث بين الأعلام، فذهب قوم إلى وثاقته، وضعّفه آخرون، وتوقّفت فيه طائفة ثالثة، وسبب الاختلاف تعارض كلامي الشيخ نفسه من جهة</w:t>
      </w:r>
      <w:r>
        <w:rPr>
          <w:rStyle w:val="FootnoteAnchor"/>
          <w:rtl w:val="true"/>
        </w:rPr>
        <w:footnoteReference w:id="28"/>
      </w:r>
      <w:r>
        <w:rPr>
          <w:rFonts w:ascii="Amiri" w:hAnsi="Amiri" w:eastAsia="Amiri" w:cs="Amiri"/>
          <w:color w:val="111111"/>
          <w:sz w:val="28"/>
          <w:sz w:val="28"/>
          <w:szCs w:val="28"/>
          <w:rtl w:val="true"/>
          <w:lang w:bidi="ar-SA"/>
        </w:rPr>
        <w:t>، وتعارضه مع كلام النجاشي من جهة أخرى</w:t>
      </w:r>
      <w:r>
        <w:rPr>
          <w:rStyle w:val="FootnoteAnchor"/>
          <w:rtl w:val="true"/>
        </w:rPr>
        <w:footnoteReference w:id="29"/>
      </w:r>
      <w:r>
        <w:rPr>
          <w:rFonts w:ascii="Amiri" w:hAnsi="Amiri" w:eastAsia="Amiri" w:cs="Amiri"/>
          <w:color w:val="111111"/>
          <w:sz w:val="28"/>
          <w:sz w:val="28"/>
          <w:szCs w:val="28"/>
          <w:rtl w:val="true"/>
          <w:lang w:bidi="ar-SA"/>
        </w:rPr>
        <w:t>، فإنّ الموجود بين أيدينا توثيق النجاشي وتضعيف الشيخ، وقد نقل العلّامة عن الشيخ توثيقه أيضاً ولم يصل إلينا</w:t>
      </w:r>
      <w:r>
        <w:rPr>
          <w:rStyle w:val="FootnoteAnchor"/>
          <w:rtl w:val="true"/>
        </w:rPr>
        <w:footnoteReference w:id="30"/>
      </w:r>
      <w:r>
        <w:rPr>
          <w:rFonts w:ascii="Amiri" w:hAnsi="Amiri" w:eastAsia="Amiri" w:cs="Amiri"/>
          <w:color w:val="111111"/>
          <w:sz w:val="28"/>
          <w:sz w:val="28"/>
          <w:szCs w:val="28"/>
          <w:rtl w:val="true"/>
          <w:lang w:bidi="ar-SA"/>
        </w:rPr>
        <w:t>، وهناك بعض الوجوه المذكورة لتوثيقه أيضاً</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والقول بالتوقّف أسلم</w:t>
      </w:r>
      <w:r>
        <w:rPr>
          <w:rStyle w:val="FootnoteAnchor"/>
          <w:rtl w:val="true"/>
        </w:rPr>
        <w:footnoteReference w:id="31"/>
      </w:r>
      <w:r>
        <w:rPr>
          <w:rFonts w:ascii="Amiri" w:hAnsi="Amiri" w:eastAsia="Amiri" w:cs="Amiri"/>
          <w:color w:val="111111"/>
          <w:sz w:val="28"/>
          <w:sz w:val="28"/>
          <w:szCs w:val="28"/>
          <w:rtl w:val="true"/>
          <w:lang w:bidi="ar-SA"/>
        </w:rPr>
        <w:t xml:space="preserve">لعدم المرجّح لتوثيق النجاشي على تضعيف الشيخ إلّا بما ذهب إليه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اشتباه الشيخ في تضعيفه لسالم بن مكرم أبي سلمة بسالم بن أبي سلمة المضعّف من قبل النجاشي أيضاً</w:t>
      </w:r>
      <w:r>
        <w:rPr>
          <w:rStyle w:val="FootnoteAnchor"/>
          <w:rtl w:val="true"/>
        </w:rPr>
        <w:footnoteReference w:id="32"/>
      </w:r>
      <w:r>
        <w:rPr>
          <w:rFonts w:ascii="IRNazanin" w:hAnsi="IRNazanin" w:eastAsia="IRNazanin"/>
          <w:color w:val="111111"/>
          <w:sz w:val="28"/>
          <w:sz w:val="28"/>
          <w:szCs w:val="28"/>
          <w:rtl w:val="true"/>
          <w:lang w:bidi="fa-IR"/>
        </w:rPr>
        <w:t xml:space="preserve">، أو بالذهاب إلى أنّ </w:t>
      </w:r>
      <w:bookmarkStart w:id="73" w:name="pg9142_80564"/>
    </w:p>
    <w:p>
      <w:pPr>
        <w:pStyle w:val="BookText"/>
        <w:rPr/>
      </w:pPr>
      <w:bookmarkEnd w:id="73"/>
      <w:r>
        <w:rPr>
          <w:rFonts w:ascii="Amiri" w:hAnsi="Amiri" w:eastAsia="Amiri" w:cs="Amiri"/>
          <w:color w:val="111111"/>
          <w:sz w:val="28"/>
          <w:sz w:val="28"/>
          <w:szCs w:val="28"/>
          <w:rtl w:val="true"/>
          <w:lang w:bidi="ar-SA"/>
        </w:rPr>
        <w:t>تضعيف الشيخ له باعتبار أنّه كان من الخطّابية وقد تاب، وفي كلا الوجهين ما لا يخفى، والبحث في ذلك بأوسع ممّا ذكر لا يسعه المجال فليطلب في محلّه، فلم يبق عندنا إلّا صحيحة الحلبيّ</w:t>
      </w:r>
      <w:r>
        <w:rPr>
          <w:rFonts w:eastAsia="Amiri" w:cs="Amiri" w:ascii="Amiri" w:hAnsi="Amiri"/>
          <w:color w:val="111111"/>
          <w:sz w:val="28"/>
          <w:szCs w:val="28"/>
          <w:rtl w:val="true"/>
          <w:lang w:bidi="ar-SA"/>
        </w:rPr>
        <w:t>.</w:t>
      </w:r>
    </w:p>
    <w:p>
      <w:pPr>
        <w:pStyle w:val="Heading6"/>
        <w:numPr>
          <w:ilvl w:val="5"/>
          <w:numId w:val="1"/>
        </w:numPr>
        <w:rPr/>
      </w:pPr>
      <w:bookmarkStart w:id="74" w:name="__RefHeading___Toc3266092_2870459653"/>
      <w:bookmarkStart w:id="75" w:name="_Toc27"/>
      <w:bookmarkEnd w:id="74"/>
      <w:r>
        <w:rPr>
          <w:rtl w:val="true"/>
        </w:rPr>
        <w:t>الجهة الأخرى</w:t>
      </w:r>
      <w:r>
        <w:rPr>
          <w:rtl w:val="true"/>
        </w:rPr>
        <w:t xml:space="preserve">: </w:t>
      </w:r>
      <w:r>
        <w:rPr>
          <w:rtl w:val="true"/>
        </w:rPr>
        <w:t>في الدلالة</w:t>
      </w:r>
      <w:bookmarkEnd w:id="75"/>
    </w:p>
    <w:p>
      <w:pPr>
        <w:pStyle w:val="BookText"/>
        <w:rPr/>
      </w:pPr>
      <w:r>
        <w:rPr>
          <w:rFonts w:ascii="IRNazanin" w:hAnsi="IRNazanin" w:eastAsia="IRNazanin"/>
          <w:color w:val="111111"/>
          <w:sz w:val="28"/>
          <w:sz w:val="28"/>
          <w:szCs w:val="28"/>
          <w:rtl w:val="true"/>
          <w:lang w:bidi="fa-IR"/>
        </w:rPr>
        <w:t xml:space="preserve">وقد ناقش في دلالتها السيّد الخوئي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لفظه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أخذ عنوان الرجل في موضوع الحكم بالرجوع إنّما هو من جهة التقابل بأهل الجور وحكّامهم حيث منع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التحاكم إليهم، والغالب المتعارف في القضاء هو الرجوليّة، ولا نستعهد قضاوة النساء ولو في مورد واحد، فأخذ عنوان الرجوليّة من باب الغلبة لا من جهة التعبّد وحصر القضاوة بالرجال، فلا دلالة للحسنة على أنّ الرجوليّة معتبرة في باب القضاء</w:t>
      </w:r>
      <w:r>
        <w:rPr>
          <w:rFonts w:eastAsia="IRNazanin" w:cs="IRNazanin"/>
          <w:color w:val="111111"/>
          <w:sz w:val="28"/>
          <w:szCs w:val="28"/>
          <w:rtl w:val="true"/>
          <w:lang w:bidi="fa-IR"/>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وأجاب عنه شيخنا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مجلس بحثه بما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الأصل في كلّ عنوان أخذ في الحكم أن تكون له موضوعيّة فيه ما لم يقم الدليل على عدم دخله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وبعبارة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الأصل في العناوين المأخوذة في الموضوعات الاحتراز ما لم يقم دليل على العدم، فالإمام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عبّر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في مقام التشريع فالأصل الأوّلي يقضي بدخله في الحكم، وليس هو مثل باب الطهارة والنجاسة المعلوم فيها عدم الفرق بين الأجسام من جهة الانفعال بالنجاسة</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الإنصاف بقاء ما أفاده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قوّته؛ فإنّا نسلّم القاعدة التي ذكرها الشيخ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الأصل في العناوين المأخوذة في موضوعات </w:t>
      </w:r>
      <w:bookmarkStart w:id="76" w:name="pg9142_80565"/>
    </w:p>
    <w:p>
      <w:pPr>
        <w:pStyle w:val="BookText"/>
        <w:rPr/>
      </w:pPr>
      <w:bookmarkEnd w:id="76"/>
      <w:r>
        <w:rPr>
          <w:rFonts w:ascii="IRNazanin" w:hAnsi="IRNazanin" w:eastAsia="IRNazanin"/>
          <w:color w:val="111111"/>
          <w:sz w:val="28"/>
          <w:sz w:val="28"/>
          <w:szCs w:val="28"/>
          <w:rtl w:val="true"/>
          <w:lang w:bidi="fa-IR"/>
        </w:rPr>
        <w:t xml:space="preserve">الأحكام أن تكون بنحو الموضوعيّة، ولكن القرينة الموجودة في الروايات هي التي ألجأتنا إلى رفع اليد عن هذه القاعدة، والقرينة هي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مقام البيان من جهة المقابلة بين حكام الجور وقضاتهم وبين قضاة الشيعة، فلا يجوز الترافع لأولئك وجوازه لهؤلاء، أي ارجعوا لأهل الحقّ في القضاء عند حصول الاختلاف بينكم، ولا ترجعوا لأهل الباطل وقضاة الجور،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إيّاكم إذا وقعت بينكم خصومة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تحاكموا إلى هؤلاء الفسّاق، اجعلوا بينكم رجلاً قد عرف حلالنا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وكذا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إيّاكم أن يحاكم بعضكم بعضاً إلى أهل الجور ولكن انظروا إلى رجل منكم يعلم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وكذا ما في صحيحة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فيتراضيان برجل منّا،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هو ذاك إنّما هو الذي يجبر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نجعل عدم وجود امرأة قاضياً في ذلك الزمان هو الذي أوجب ذكر الرجل دون المرأة كما أفاده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ذكر الرجل هنا كما يذكر في كثير من الأحكام غير المختصّة بالرجل، وليس ذلك من أجل الاختصاص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فنتيجة البحث إلى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عدم نهوض دليل الروايات على المدّعى؛ إذ هي بين الضعيف الدالّ على المطلوب، والصحيح غير الدالّ عليه</w:t>
      </w:r>
      <w:r>
        <w:rPr>
          <w:rFonts w:eastAsia="Amiri" w:cs="Amiri" w:ascii="Amiri" w:hAnsi="Amiri"/>
          <w:color w:val="111111"/>
          <w:sz w:val="28"/>
          <w:szCs w:val="28"/>
          <w:rtl w:val="true"/>
          <w:lang w:bidi="ar-SA"/>
        </w:rPr>
        <w:t>.</w:t>
      </w:r>
    </w:p>
    <w:p>
      <w:pPr>
        <w:pStyle w:val="Heading5"/>
        <w:numPr>
          <w:ilvl w:val="4"/>
          <w:numId w:val="1"/>
        </w:numPr>
        <w:rPr/>
      </w:pPr>
      <w:bookmarkStart w:id="77" w:name="__RefHeading___Toc3266094_2870459653"/>
      <w:bookmarkStart w:id="78" w:name="_Toc28"/>
      <w:bookmarkEnd w:id="77"/>
      <w:r>
        <w:rPr>
          <w:rtl w:val="true"/>
        </w:rPr>
        <w:t>الدليل الثالث</w:t>
      </w:r>
      <w:bookmarkEnd w:id="78"/>
    </w:p>
    <w:p>
      <w:pPr>
        <w:pStyle w:val="Heading6"/>
        <w:numPr>
          <w:ilvl w:val="5"/>
          <w:numId w:val="1"/>
        </w:numPr>
        <w:rPr/>
      </w:pPr>
      <w:bookmarkStart w:id="79" w:name="__RefHeading___Toc3266096_2870459653"/>
      <w:bookmarkStart w:id="80" w:name="_Toc29"/>
      <w:bookmarkEnd w:id="79"/>
      <w:r>
        <w:rPr>
          <w:rtl w:val="true"/>
        </w:rPr>
        <w:t>اشارة</w:t>
      </w:r>
      <w:bookmarkEnd w:id="80"/>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أنّ المستفاد من مجموعة من الروايات</w:t>
      </w:r>
      <w:r>
        <w:rPr>
          <w:rStyle w:val="FootnoteAnchor"/>
          <w:rtl w:val="true"/>
        </w:rPr>
        <w:footnoteReference w:id="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كالوارد في عدم </w:t>
      </w:r>
      <w:bookmarkStart w:id="81" w:name="pg9142_80566"/>
    </w:p>
    <w:p>
      <w:pPr>
        <w:pStyle w:val="BookText"/>
        <w:rPr/>
      </w:pPr>
      <w:bookmarkEnd w:id="81"/>
      <w:r>
        <w:rPr>
          <w:rFonts w:ascii="Amiri" w:hAnsi="Amiri" w:eastAsia="Amiri" w:cs="Amiri"/>
          <w:color w:val="111111"/>
          <w:sz w:val="28"/>
          <w:sz w:val="28"/>
          <w:szCs w:val="28"/>
          <w:rtl w:val="true"/>
          <w:lang w:bidi="ar-SA"/>
        </w:rPr>
        <w:t>إمامة المرأة للرجال، وليس عليها جمعة ولا جماعة، والنهي عن مشاورة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أمران</w:t>
      </w:r>
      <w:r>
        <w:rPr>
          <w:rFonts w:eastAsia="Amiri" w:cs="Amiri" w:ascii="Amiri" w:hAnsi="Amiri"/>
          <w:color w:val="111111"/>
          <w:sz w:val="28"/>
          <w:szCs w:val="28"/>
          <w:rtl w:val="true"/>
          <w:lang w:bidi="ar-SA"/>
        </w:rPr>
        <w:t>:</w:t>
      </w:r>
    </w:p>
    <w:p>
      <w:pPr>
        <w:pStyle w:val="Heading6"/>
        <w:numPr>
          <w:ilvl w:val="5"/>
          <w:numId w:val="1"/>
        </w:numPr>
        <w:rPr/>
      </w:pPr>
      <w:bookmarkStart w:id="82" w:name="__RefHeading___Toc3266098_2870459653"/>
      <w:bookmarkStart w:id="83" w:name="_Toc30"/>
      <w:bookmarkEnd w:id="82"/>
      <w:r>
        <w:rPr>
          <w:rtl w:val="true"/>
        </w:rPr>
        <w:t>الأمر الأوّل</w:t>
      </w:r>
      <w:bookmarkEnd w:id="83"/>
    </w:p>
    <w:p>
      <w:pPr>
        <w:pStyle w:val="BookText"/>
        <w:rPr/>
      </w:pPr>
      <w:r>
        <w:rPr>
          <w:rFonts w:ascii="Amiri" w:hAnsi="Amiri" w:eastAsia="Amiri" w:cs="Amiri"/>
          <w:color w:val="111111"/>
          <w:sz w:val="28"/>
          <w:sz w:val="28"/>
          <w:szCs w:val="28"/>
          <w:rtl w:val="true"/>
          <w:lang w:bidi="ar-SA"/>
        </w:rPr>
        <w:t>أنّ مذاق الشارع قائم على جعل الوظيفة المرغوبة له من النساء هي التستّر، والتحجّب، والتصدّي للأمور المنزليّة، دون التدخّل في ما ينافي تلك الأمور، ولا شكّ أنّ تصدّي المرأة للقضاء وضع لنفسها في معرض الرجوع لرفع الخصومات بين الرجال، ومواجهة الأجانب ورفع صوتها أمامهم وغير ذلك ممّا يقوم به القاضي لفضّ الخصومات، وهو ينافي مذاقه الشريف</w:t>
      </w:r>
      <w:r>
        <w:rPr>
          <w:rFonts w:eastAsia="Amiri" w:cs="Amiri" w:ascii="Amiri" w:hAnsi="Amiri"/>
          <w:color w:val="111111"/>
          <w:sz w:val="28"/>
          <w:szCs w:val="28"/>
          <w:rtl w:val="true"/>
          <w:lang w:bidi="ar-SA"/>
        </w:rPr>
        <w:t>.</w:t>
      </w:r>
    </w:p>
    <w:p>
      <w:pPr>
        <w:pStyle w:val="Heading6"/>
        <w:numPr>
          <w:ilvl w:val="5"/>
          <w:numId w:val="1"/>
        </w:numPr>
        <w:rPr/>
      </w:pPr>
      <w:bookmarkStart w:id="84" w:name="__RefHeading___Toc3266100_2870459653"/>
      <w:bookmarkStart w:id="85" w:name="_Toc31"/>
      <w:bookmarkEnd w:id="84"/>
      <w:r>
        <w:rPr>
          <w:rtl w:val="true"/>
        </w:rPr>
        <w:t>الأمر الآخر</w:t>
      </w:r>
      <w:bookmarkEnd w:id="85"/>
    </w:p>
    <w:p>
      <w:pPr>
        <w:pStyle w:val="BookText"/>
        <w:rPr/>
      </w:pPr>
      <w:r>
        <w:rPr>
          <w:rFonts w:ascii="Amiri" w:hAnsi="Amiri" w:eastAsia="Amiri" w:cs="Amiri"/>
          <w:color w:val="111111"/>
          <w:sz w:val="28"/>
          <w:sz w:val="28"/>
          <w:szCs w:val="28"/>
          <w:rtl w:val="true"/>
          <w:lang w:bidi="ar-SA"/>
        </w:rPr>
        <w:t>أنّ مذاق الشارع عدم تولّي المرأة للمناصب المهمّة في الشريعة المقدّسة، وأنّ تلك المناصب الخطيرة لا تناسب أنوثتها، فإنّها ليست كالرجل من حيث التصميم والعزم والحزم واتّخاذ القرار الصارم؛ لغلبة العاطفة عليها التي تتناسب مع أمومتها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الوجه يقال بانصراف الطائفة الخامسة إلى الرجل دون المرأة، فلا يتمّ الإطلاق المدّعى فيها، ولا أقلّ من الإجمال من هذه الناحية، فيقتصر على القدر المتيقّن وهو الرجل، ويكون الأمر في الطائفة السادسة أكثر وضوحاً في عدم التعدّي عن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الوجه أيضاً لا يحرز إمضاء الشارع للسيرة العقلائيّة المدّعاة، بل يقال بردعها من قبله فلا حجّيّة فيها</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الوجه هو الأولى بالقبول في نفسه، وفي كونه مضرّاً بالإطلاق المدّعى في الطائفة الخامسة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شيخنا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وإن اعتمد على هذا الوجه في عدم إحراز إمضاء الشارع للسيرة</w:t>
      </w:r>
      <w:r>
        <w:rPr>
          <w:rStyle w:val="FootnoteAnchor"/>
          <w:rtl w:val="true"/>
        </w:rPr>
        <w:footnoteReference w:id="36"/>
      </w:r>
    </w:p>
    <w:p>
      <w:pPr>
        <w:pStyle w:val="BookText"/>
        <w:rPr/>
      </w:pPr>
      <w:r>
        <w:rPr>
          <w:rFonts w:ascii="Amiri" w:hAnsi="Amiri" w:eastAsia="Amiri" w:cs="Amiri"/>
          <w:color w:val="111111"/>
          <w:sz w:val="28"/>
          <w:sz w:val="28"/>
          <w:szCs w:val="28"/>
          <w:rtl w:val="true"/>
          <w:lang w:bidi="ar-SA"/>
        </w:rPr>
        <w:t>والإشكال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عدم فائدتها ما لم تكن ممضاة من قبل الشارع، ومع تتبّع روايات أحكام النساء والروايات الواردة في شأنهنّ نستكشف عدم إمضاء الشارع لها في النساء ومن تلك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ساق مجموعة من الروايات سوف ننقلها في المتن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 نحا منحى آخر في القول بانصراف المقبولة لا يخلو من تأمّل، وهو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فالصحيح أنّها مطلقة في حدّ نفسها شاملة للرجل والمرأة، ولكن لاحتفافها ببعض الأمور فيها نفسها انصرفت إلى الرجل، لا أنّها منصرفة عن المرأة من الأوّل؛ وذلك لأنّ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الرجوع إلى السلطان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رجلان من أصحابنا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ذيلها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حكم بحكمنا فالرادّ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فهذه الأمور أوجبت صرفها إلى الرجل، ولا أقلّ من الشكّ في الإطلاق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والروايات التي وعدنا بذكرها 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صحيحة عبد الله بن سنان،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ذكر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اعصوهن في المعروف قبل أن يأمرنكم بالمنكر، وتعوّذوا بالله من شرارهن، وكونوا من خيارهن على حذر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كلام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اتّقوا شرار النساء، وكونوا من خيارهن على حذر، وإن أمرنكم في المعروف فخالفوهن كي لا يطمعن منكم في المنكر</w:t>
      </w:r>
      <w:r>
        <w:rPr>
          <w:rFonts w:eastAsia="IRNazanin" w:cs="IRNazanin"/>
          <w:color w:val="111111"/>
          <w:sz w:val="28"/>
          <w:szCs w:val="28"/>
          <w:rtl w:val="true"/>
          <w:lang w:bidi="fa-IR"/>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تعوّذوا بالله من طالحات نسائكم، وكونوا من خيارهن على حذر، ولا تطيعوهن في المعروف فيأمرنكم بالمنكر</w:t>
      </w:r>
      <w:r>
        <w:rPr>
          <w:rFonts w:eastAsia="IRNazanin" w:cs="IRNazanin"/>
          <w:color w:val="111111"/>
          <w:sz w:val="28"/>
          <w:szCs w:val="28"/>
          <w:rtl w:val="true"/>
          <w:lang w:bidi="fa-IR"/>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إسحاق بن عمّار رفعه،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أراد الحرب دعا نساءه فاستشارهن ثمّ خالفهن</w:t>
      </w:r>
      <w:r>
        <w:rPr>
          <w:rFonts w:eastAsia="IRNazanin" w:cs="IRNazanin"/>
          <w:color w:val="111111"/>
          <w:sz w:val="28"/>
          <w:szCs w:val="28"/>
          <w:rtl w:val="true"/>
          <w:lang w:bidi="fa-IR"/>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استعيذوا بالله من شرّ نسائكم، وكونوا من خيارهن على حذر، ولا تطيعوهن فيدعونكم الى المنكر</w:t>
      </w:r>
      <w:r>
        <w:rPr>
          <w:rFonts w:eastAsia="IRNazanin" w:cs="IRNazanin"/>
          <w:color w:val="111111"/>
          <w:sz w:val="28"/>
          <w:szCs w:val="28"/>
          <w:rtl w:val="true"/>
          <w:lang w:bidi="fa-IR"/>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وشكا رجل من أصحاب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نساءه فقام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خطيباً،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معاشر الناس لا تُطيعوا النساء على حال، ولا تأمنوهنّ على مال، ولا تذروهنّ يُدبّرن أمر العيال، فإنّهنّ إن تُركن وما أردن أوردن المهالك، وعدون أمر المالك، فإنّا وجدناهنّ لا ورع لهنّ عند حاجتهنّ، ولا صبر لهنّ عند شهوتهنّ، التبرّج لهنّ لازم وإن كبرن، والعجب لهنّ لاحق وإن عجزن، رضاهنّ في فروجهنّ، لا يشكرن الكثير إذا منعن القليل، يَنسين الخير، ويَحفظن الشرّ، يتهافتن بالبهتان، ويتمادين في الطغيان، </w:t>
      </w:r>
      <w:bookmarkStart w:id="86" w:name="pg9142_80569"/>
    </w:p>
    <w:p>
      <w:pPr>
        <w:pStyle w:val="BookText"/>
        <w:rPr/>
      </w:pPr>
      <w:bookmarkEnd w:id="86"/>
      <w:r>
        <w:rPr>
          <w:rFonts w:ascii="Amiri" w:hAnsi="Amiri" w:eastAsia="Amiri" w:cs="Amiri"/>
          <w:color w:val="111111"/>
          <w:sz w:val="28"/>
          <w:sz w:val="28"/>
          <w:szCs w:val="28"/>
          <w:rtl w:val="true"/>
          <w:lang w:bidi="ar-SA"/>
        </w:rPr>
        <w:t>ويتصدّين للشيطان، فداروهنّ على كلّ حال، وأحسنوا لهنّ المقال، لعلّهنّ يُحسنّ الفعال</w:t>
      </w:r>
      <w:r>
        <w:rPr>
          <w:rFonts w:eastAsia="Amiri" w:cs="Amiri" w:ascii="Amiri" w:hAnsi="Amiri"/>
          <w:color w:val="111111"/>
          <w:sz w:val="28"/>
          <w:szCs w:val="28"/>
          <w:rtl w:val="true"/>
          <w:lang w:bidi="ar-SA"/>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أرسله الصدوق في الفقيه</w:t>
      </w:r>
      <w:r>
        <w:rPr>
          <w:rStyle w:val="FootnoteAnchor"/>
          <w:rtl w:val="true"/>
        </w:rPr>
        <w:footnoteReference w:id="42"/>
      </w:r>
      <w:r>
        <w:rPr>
          <w:rFonts w:ascii="Amiri" w:hAnsi="Amiri" w:eastAsia="Amiri" w:cs="Amiri"/>
          <w:color w:val="111111"/>
          <w:sz w:val="28"/>
          <w:sz w:val="28"/>
          <w:szCs w:val="28"/>
          <w:rtl w:val="true"/>
          <w:lang w:bidi="ar-SA"/>
        </w:rPr>
        <w:t>، وأسنده في العلل</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سليمان بن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إيّاكم ومشاورة النساء فإنّ فيهنّ الضعف والوهن والعجز</w:t>
      </w:r>
      <w:r>
        <w:rPr>
          <w:rFonts w:eastAsia="IRNazanin" w:cs="IRNazanin"/>
          <w:color w:val="111111"/>
          <w:sz w:val="28"/>
          <w:szCs w:val="28"/>
          <w:rtl w:val="true"/>
          <w:lang w:bidi="fa-IR"/>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صحيحة محمّد بن شريح،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خروج النساء في العيدين،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إلّا العجوز</w:t>
      </w:r>
      <w:r>
        <w:rPr>
          <w:rFonts w:eastAsia="IRNazanin" w:cs="IRNazanin"/>
          <w:color w:val="111111"/>
          <w:sz w:val="28"/>
          <w:szCs w:val="28"/>
          <w:rtl w:val="true"/>
          <w:lang w:bidi="fa-IR"/>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صحيحة يونس بن يعقوب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خروج النساء في العيدين والجمعة،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إلّا امرأة مسنّة</w:t>
      </w:r>
      <w:r>
        <w:rPr>
          <w:rFonts w:eastAsia="IRNazanin" w:cs="IRNazanin"/>
          <w:color w:val="111111"/>
          <w:sz w:val="28"/>
          <w:szCs w:val="28"/>
          <w:rtl w:val="true"/>
          <w:lang w:bidi="fa-IR"/>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7" w:name="__RefHeading___Toc3266102_2870459653"/>
      <w:bookmarkStart w:id="88" w:name="_Toc32"/>
      <w:bookmarkEnd w:id="87"/>
      <w:r>
        <w:rPr>
          <w:rtl w:val="true"/>
        </w:rPr>
        <w:t>الدليل الرابع</w:t>
      </w:r>
      <w:r>
        <w:rPr>
          <w:rtl w:val="true"/>
        </w:rPr>
        <w:t xml:space="preserve">: </w:t>
      </w:r>
      <w:r>
        <w:rPr>
          <w:rtl w:val="true"/>
        </w:rPr>
        <w:t>الأصل العملي</w:t>
      </w:r>
      <w:bookmarkEnd w:id="88"/>
    </w:p>
    <w:p>
      <w:pPr>
        <w:pStyle w:val="Heading6"/>
        <w:numPr>
          <w:ilvl w:val="5"/>
          <w:numId w:val="1"/>
        </w:numPr>
        <w:rPr/>
      </w:pPr>
      <w:bookmarkStart w:id="89" w:name="__RefHeading___Toc3266104_2870459653"/>
      <w:bookmarkStart w:id="90" w:name="_Toc33"/>
      <w:bookmarkEnd w:id="89"/>
      <w:r>
        <w:rPr>
          <w:rtl w:val="true"/>
        </w:rPr>
        <w:t>اشارة</w:t>
      </w:r>
      <w:bookmarkEnd w:id="90"/>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إنّما يفرض بعد عدم نهوض الأدلّة المتقدّمة على أحد الوجهين، وقد أشار إليه صاحب الجواهر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أقلّ من الشكّ، والأصل عدم الإذن</w:t>
      </w:r>
      <w:r>
        <w:rPr>
          <w:rFonts w:eastAsia="Amiri" w:cs="Amiri" w:ascii="Amiri" w:hAnsi="Amiri"/>
          <w:color w:val="111111"/>
          <w:sz w:val="28"/>
          <w:szCs w:val="28"/>
          <w:rtl w:val="true"/>
          <w:lang w:bidi="ar-SA"/>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 xml:space="preserve">. </w:t>
      </w:r>
      <w:bookmarkStart w:id="91" w:name="pg9142_80570"/>
    </w:p>
    <w:p>
      <w:pPr>
        <w:pStyle w:val="BookText"/>
        <w:rPr/>
      </w:pPr>
      <w:bookmarkEnd w:id="91"/>
      <w:r>
        <w:rPr>
          <w:rFonts w:ascii="Amiri" w:hAnsi="Amiri" w:eastAsia="Amiri" w:cs="Amiri"/>
          <w:color w:val="111111"/>
          <w:sz w:val="28"/>
          <w:sz w:val="28"/>
          <w:szCs w:val="28"/>
          <w:rtl w:val="true"/>
          <w:lang w:bidi="ar-SA"/>
        </w:rPr>
        <w:t>وأشار إليه الشيخ الأعظم أيضاً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فالمرأة لا تولّى القضاء كما في النبويّ المطابق للأصل</w:t>
      </w:r>
      <w:r>
        <w:rPr>
          <w:rFonts w:eastAsia="Amiri" w:cs="Amiri" w:ascii="Amiri" w:hAnsi="Amiri"/>
          <w:color w:val="111111"/>
          <w:sz w:val="28"/>
          <w:szCs w:val="28"/>
          <w:rtl w:val="true"/>
          <w:lang w:bidi="ar-SA"/>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أن يقرّر بأحد وجهين</w:t>
      </w:r>
      <w:r>
        <w:rPr>
          <w:rFonts w:eastAsia="Amiri" w:cs="Amiri" w:ascii="Amiri" w:hAnsi="Amiri"/>
          <w:color w:val="111111"/>
          <w:sz w:val="28"/>
          <w:szCs w:val="28"/>
          <w:rtl w:val="true"/>
          <w:lang w:bidi="ar-SA"/>
        </w:rPr>
        <w:t>:</w:t>
      </w:r>
    </w:p>
    <w:p>
      <w:pPr>
        <w:pStyle w:val="Heading6"/>
        <w:numPr>
          <w:ilvl w:val="5"/>
          <w:numId w:val="1"/>
        </w:numPr>
        <w:rPr/>
      </w:pPr>
      <w:bookmarkStart w:id="92" w:name="__RefHeading___Toc3266106_2870459653"/>
      <w:bookmarkStart w:id="93" w:name="_Toc34"/>
      <w:bookmarkEnd w:id="92"/>
      <w:r>
        <w:rPr>
          <w:rtl w:val="true"/>
        </w:rPr>
        <w:t>الوجه الأوّل</w:t>
      </w:r>
      <w:bookmarkEnd w:id="93"/>
    </w:p>
    <w:p>
      <w:pPr>
        <w:pStyle w:val="BookText"/>
        <w:rPr/>
      </w:pPr>
      <w:r>
        <w:rPr>
          <w:rFonts w:ascii="Amiri" w:hAnsi="Amiri" w:eastAsia="Amiri" w:cs="Amiri"/>
          <w:color w:val="111111"/>
          <w:sz w:val="28"/>
          <w:sz w:val="28"/>
          <w:szCs w:val="28"/>
          <w:rtl w:val="true"/>
          <w:lang w:bidi="ar-SA"/>
        </w:rPr>
        <w:t>أنّ نفوذ القضاء نحو من أنحاء الولاية، والأصل عدم نفوذ ولاية أحد على أحد، فيحتاج في إثبات النفوذ إلى دليل، والقدر المتيقّن من الدليل القائم على النفوذ هو نفوذ قضاء الرجل، فيبقى نفوذ قضاء المرأة تحت الأصل</w:t>
      </w:r>
      <w:r>
        <w:rPr>
          <w:rFonts w:eastAsia="Amiri" w:cs="Amiri" w:ascii="Amiri" w:hAnsi="Amiri"/>
          <w:color w:val="111111"/>
          <w:sz w:val="28"/>
          <w:szCs w:val="28"/>
          <w:rtl w:val="true"/>
          <w:lang w:bidi="ar-SA"/>
        </w:rPr>
        <w:t>.</w:t>
      </w:r>
    </w:p>
    <w:p>
      <w:pPr>
        <w:pStyle w:val="Heading6"/>
        <w:numPr>
          <w:ilvl w:val="5"/>
          <w:numId w:val="1"/>
        </w:numPr>
        <w:rPr/>
      </w:pPr>
      <w:bookmarkStart w:id="94" w:name="__RefHeading___Toc3266108_2870459653"/>
      <w:bookmarkStart w:id="95" w:name="_Toc35"/>
      <w:bookmarkEnd w:id="94"/>
      <w:r>
        <w:rPr>
          <w:rtl w:val="true"/>
        </w:rPr>
        <w:t>الوجه الآخر</w:t>
      </w:r>
      <w:bookmarkEnd w:id="95"/>
    </w:p>
    <w:p>
      <w:pPr>
        <w:pStyle w:val="BookText"/>
        <w:rPr/>
      </w:pPr>
      <w:r>
        <w:rPr>
          <w:rFonts w:ascii="IRNazanin" w:hAnsi="IRNazanin" w:eastAsia="IRNazanin"/>
          <w:color w:val="111111"/>
          <w:sz w:val="28"/>
          <w:sz w:val="28"/>
          <w:szCs w:val="28"/>
          <w:rtl w:val="true"/>
          <w:lang w:bidi="fa-IR"/>
        </w:rPr>
        <w:t xml:space="preserve">أنّ منصب القضاء من مناصب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وأهل بيته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أولو الأمر الذين فرض الله طاعتهم على العباد، كما تدلّ على ذلك صحيحة سليمان ابن خالد،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اتّقوا الحكومة فإنّ الحكومة للإمام العالم بالقضاء العادل في المسلمين لنبيّ أو وصيّ نبيّ</w:t>
      </w:r>
      <w:r>
        <w:rPr>
          <w:rFonts w:eastAsia="IRNazanin" w:cs="IRNazanin"/>
          <w:color w:val="111111"/>
          <w:sz w:val="28"/>
          <w:szCs w:val="28"/>
          <w:rtl w:val="true"/>
          <w:lang w:bidi="fa-IR"/>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رواية إسحاق بن عمّار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لشريح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شريح، قد جلست مجلساً لا يجلسه إلّا نبيّ أو وصي نبيّ أو شقي</w:t>
      </w:r>
      <w:r>
        <w:rPr>
          <w:rFonts w:eastAsia="IRNazanin" w:cs="IRNazanin"/>
          <w:color w:val="111111"/>
          <w:sz w:val="28"/>
          <w:szCs w:val="28"/>
          <w:rtl w:val="true"/>
          <w:lang w:bidi="fa-IR"/>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جاء الإذن من قبلهم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اتّصف بصفات معيّنة، فإذا شكّ في اعتبار وصف ما في القاضي فالأصل عدم الإذن لفاقده، ويقتصر فيه على القدر المتيقّن، وهو الرجل دون المرأة، ولعلّ هذا الأصل بهذا النحو هو مرمى صاحب الجواهر حيث عبّر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والأصل عدم الإذن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وبهذا ينتهي الكلام حول هذه المسألة، ونتيجة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اشتراط الذكورة في القاضي؛ لمذاق الشارع الموجب لانصراف الإطلاقات عن المرأة، وللأصل العمليّ كما عرفت</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وآخر دعوانا أن الحمد لله ربِّ العالمين</w:t>
      </w:r>
      <w:r>
        <w:rPr>
          <w:rFonts w:eastAsia="Amiri" w:cs="Amiri" w:ascii="Amiri" w:hAnsi="Amiri"/>
          <w:color w:val="111111"/>
          <w:sz w:val="28"/>
          <w:szCs w:val="28"/>
          <w:rtl w:val="true"/>
          <w:lang w:bidi="ar-SA"/>
        </w:rPr>
        <w:t>.</w:t>
      </w:r>
      <w:bookmarkStart w:id="96" w:name="pg9142_80572"/>
    </w:p>
    <w:p>
      <w:pPr>
        <w:pStyle w:val="Heading3"/>
        <w:numPr>
          <w:ilvl w:val="2"/>
          <w:numId w:val="1"/>
        </w:numPr>
        <w:rPr/>
      </w:pPr>
      <w:bookmarkStart w:id="97" w:name="__RefHeading___Toc3266110_2870459653"/>
      <w:bookmarkStart w:id="98" w:name="_Toc36"/>
      <w:bookmarkEnd w:id="96"/>
      <w:bookmarkEnd w:id="97"/>
      <w:r>
        <w:rPr>
          <w:rtl w:val="true"/>
        </w:rPr>
        <w:t>المصادر</w:t>
      </w:r>
      <w:bookmarkEnd w:id="9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الأنوار الجامعة لدرر أخبار الأئمّة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العلّامة الشيخ محمّد باقر المجلسيّ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الطبع والنشر،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الطبعة الأولى،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بحث الاجتهاد والتقليد، تقرير أبحاث سماحة الشيخ حسين وحيد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بقلم الشيخ نزار آل سنبل القطيفيّ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التنقيح في شرح العروة الوثقى، السيّد أبو القاسم الموسويّ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أنصاريان للطباعة والنشر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ط</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جامع المدارك في شرح المختصر النافع، السيّد أحمد الخوانساريّ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أكبر الغفاريّ،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جواهر الكلام في شرح شرائع الإسلام، الشيخ محمّد حسن النّجفيّ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1266</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عباس القوچاني والشیخ علي الآخوندي،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إحياء التراث العربي،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الطبعة السابعة،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خلاصة الأقوال، الشيخ أبو منصور الحسن بن يوسف بن المطهّر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جواد القيّومي،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نشر الفقاهة،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الخلاف، شيخ الطائفة أبو جعفر 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من المحقّقين،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التابعة لجماعة المدرسين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سنن الترمذي، أبو عيسى محمّد بن عيسى بن سورة الترمذيّ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الوهاب عبد اللطيف،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للطباعة والنشر والتوزيع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صحيح البخاريّ، أبو عبد الله محمّد بن إسماعيل بن إبراهيم ابن المغيرة البخاريّ الجعفيّ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للطباعة والنشر والتوزيع، </w:t>
      </w:r>
      <w:r>
        <w:rPr>
          <w:rFonts w:eastAsia="Amiri" w:cs="Amiri" w:ascii="Amiri" w:hAnsi="Amiri"/>
          <w:color w:val="111111"/>
          <w:sz w:val="28"/>
          <w:szCs w:val="28"/>
          <w:lang w:bidi="ar-SA"/>
        </w:rPr>
        <w:t>1401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علل الشرائع، الشيخ الصدوق أبو جعفر محمّد بن عليّ بن الحسين بن موسى 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صادق بحر العلوم،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المكتبة الحيدريّة ومطبعتها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 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1385</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الفهرست، شيخ الطائفة أبو جعفر 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جواد القيّوميّ،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نشر الفقاهة،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فهرست أسماء مصنّفي الشيعة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الشيخ أبو العبّاس أحمد بن عليّ ابن أحمد بن العبّاس النجاشيّ الأسديّ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التابعة لجماعة المدرّسين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ط</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القضاء والشهادات، الشيخ الأعظم مرتضى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1281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لجنة تحقيق تراث الشيخ الأعظم،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المؤتمر العالميّ بمناسبة الذكرى المئويّة لميلاد الشيخ الأنصاري،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باقري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مباني تكملة المنهاج، السيّد أبو القاسم الموسويّ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مسالك الأفهام إلى تنقيح شرائع الإسلام، الشيخ زين الدين بن عليّ العامليّ </w:t>
      </w:r>
    </w:p>
    <w:p>
      <w:pPr>
        <w:pStyle w:val="BookText"/>
        <w:rPr/>
      </w:pPr>
      <w:r>
        <w:rPr>
          <w:rFonts w:ascii="Amiri" w:hAnsi="Amiri" w:eastAsia="Amiri" w:cs="Amiri"/>
          <w:color w:val="111111"/>
          <w:sz w:val="28"/>
          <w:sz w:val="28"/>
          <w:szCs w:val="28"/>
          <w:rtl w:val="true"/>
          <w:lang w:bidi="ar-SA"/>
        </w:rPr>
        <w:t>الشهير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965</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المعارف الإسلامية، </w:t>
      </w:r>
      <w:r>
        <w:rPr>
          <w:rFonts w:eastAsia="Amiri" w:cs="Amiri" w:ascii="Amiri" w:hAnsi="Amiri"/>
          <w:color w:val="111111"/>
          <w:sz w:val="28"/>
          <w:szCs w:val="28"/>
          <w:lang w:bidi="ar-SA"/>
        </w:rPr>
        <w:t>1431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ﻫ،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مستدرك الوسائل ومستنبط المسائل، الميرزا حسين النوريّ الطبرسيّ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نشر وتحقيق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لإحياء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المستدرك، أبو عبد الله الحاكم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405</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 عبد الرحمن المرعشلي،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مسند أحمد، أحمد بن حنبل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صادر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معجم رجال الحديث وتفصیل طبقات الرجال، السيّد أبو القاسم الخوئيّ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مفتاح الكرامة في شرح قواعد العلامة، السيّد محمّد جواد الحسينيّ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1226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الطبعة الأولى،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لا يحضره الفقيه، الشيخ الصدوق أبو جعفر محمّد بن عليّ بن الحسين بن موسى ابن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تصحيح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أكبر الغفّاريّ،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موسوعة الإمام الخوئي، السيّد أبو القاسم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إحياء آثار الإمام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وسائل الشيعة إلى تحصيل مسائل الشريعة، الشيخ محمّد بن الحسن الحرّ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1104</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عبد الرحيم الربّانيّ الشيرازيّ،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ط الخامسة،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bookmarkStart w:id="99" w:name="pg9142_80575"/>
    </w:p>
    <w:p>
      <w:pPr>
        <w:pStyle w:val="Heading2"/>
        <w:numPr>
          <w:ilvl w:val="1"/>
          <w:numId w:val="1"/>
        </w:numPr>
        <w:rPr/>
      </w:pPr>
      <w:bookmarkStart w:id="100" w:name="__RefHeading___Toc3266112_2870459653"/>
      <w:bookmarkStart w:id="101" w:name="_Toc37"/>
      <w:bookmarkEnd w:id="99"/>
      <w:bookmarkEnd w:id="100"/>
      <w:r>
        <w:rPr>
          <w:rtl w:val="true"/>
        </w:rPr>
        <w:t xml:space="preserve">حقّ الشفعة عند زيادة الشركاء على الاثنين </w:t>
      </w:r>
      <w:r>
        <w:rPr>
          <w:rtl w:val="true"/>
        </w:rPr>
        <w:t xml:space="preserve">- </w:t>
      </w:r>
      <w:r>
        <w:rPr>
          <w:rtl w:val="true"/>
        </w:rPr>
        <w:t xml:space="preserve">الشيخ رافد الزيداوي </w:t>
      </w:r>
      <w:r>
        <w:rPr>
          <w:rtl w:val="true"/>
        </w:rPr>
        <w:t>(</w:t>
      </w:r>
      <w:r>
        <w:rPr>
          <w:rtl w:val="true"/>
        </w:rPr>
        <w:t>دام عزه</w:t>
      </w:r>
      <w:r>
        <w:rPr>
          <w:rtl w:val="true"/>
        </w:rPr>
        <w:t>)</w:t>
      </w:r>
      <w:bookmarkEnd w:id="101"/>
    </w:p>
    <w:p>
      <w:pPr>
        <w:pStyle w:val="Heading3"/>
        <w:numPr>
          <w:ilvl w:val="2"/>
          <w:numId w:val="1"/>
        </w:numPr>
        <w:rPr/>
      </w:pPr>
      <w:bookmarkStart w:id="102" w:name="__RefHeading___Toc3266114_2870459653"/>
      <w:bookmarkStart w:id="103" w:name="_Toc38"/>
      <w:bookmarkEnd w:id="102"/>
      <w:r>
        <w:rPr>
          <w:rtl w:val="true"/>
        </w:rPr>
        <w:t>اشارة</w:t>
      </w:r>
      <w:bookmarkEnd w:id="103"/>
    </w:p>
    <w:p>
      <w:pPr>
        <w:pStyle w:val="BookText"/>
        <w:rPr/>
      </w:pPr>
      <w:r>
        <w:rPr>
          <w:rFonts w:ascii="Amiri" w:hAnsi="Amiri" w:eastAsia="Amiri" w:cs="Amiri"/>
          <w:color w:val="111111"/>
          <w:sz w:val="28"/>
          <w:sz w:val="28"/>
          <w:szCs w:val="28"/>
          <w:rtl w:val="true"/>
          <w:lang w:bidi="ar-SA"/>
        </w:rPr>
        <w:t>كثيرةٌ هي المسائل المطروحة في البحوث الفقهيّة حول الشفعة لكن ما يحظى بأهمّيّة خاصّة منها هو البحث في أنّ حقّ الشفعة هل يثبت إذا زاد الشركاء على اثنين، أو أنّه مختصّ بصورة عدم الزيادة على ذلك؟</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بين يديك عزيزي القارئ مقالة تسلّط الضوء على هذا المجال وفق النظريّات الفقهيّة والأصوليّة والرجاليّة</w:t>
      </w:r>
      <w:r>
        <w:rPr>
          <w:rFonts w:eastAsia="Amiri" w:cs="Amiri" w:ascii="Amiri" w:hAnsi="Amiri"/>
          <w:color w:val="111111"/>
          <w:sz w:val="28"/>
          <w:szCs w:val="28"/>
          <w:rtl w:val="true"/>
          <w:lang w:bidi="ar-SA"/>
        </w:rPr>
        <w:t xml:space="preserve">.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4" w:name="pg9142_80577"/>
      <w:bookmarkStart w:id="105" w:name="pg9142_80577"/>
      <w:bookmarkEnd w:id="105"/>
    </w:p>
    <w:p>
      <w:pPr>
        <w:pStyle w:val="BookText"/>
        <w:rPr/>
      </w:pPr>
      <w:bookmarkStart w:id="106" w:name="pg9142_80577"/>
      <w:bookmarkEnd w:id="106"/>
      <w:r>
        <w:rPr>
          <w:rFonts w:ascii="IRNazanin" w:hAnsi="IRNazanin" w:eastAsia="IRNazanin"/>
          <w:color w:val="111111"/>
          <w:sz w:val="28"/>
          <w:sz w:val="28"/>
          <w:szCs w:val="28"/>
          <w:rtl w:val="true"/>
          <w:lang w:bidi="fa-IR"/>
        </w:rPr>
        <w:t>بسم الله الرحمن الرحیم</w:t>
      </w:r>
    </w:p>
    <w:p>
      <w:pPr>
        <w:pStyle w:val="Heading3"/>
        <w:numPr>
          <w:ilvl w:val="2"/>
          <w:numId w:val="1"/>
        </w:numPr>
        <w:rPr/>
      </w:pPr>
      <w:bookmarkStart w:id="107" w:name="__RefHeading___Toc3266116_2870459653"/>
      <w:bookmarkStart w:id="108" w:name="_Toc39"/>
      <w:bookmarkEnd w:id="107"/>
      <w:r>
        <w:rPr>
          <w:rtl w:val="true"/>
        </w:rPr>
        <w:t>مقدّمة</w:t>
      </w:r>
      <w:r>
        <w:rPr>
          <w:rtl w:val="true"/>
        </w:rPr>
        <w:t xml:space="preserve">: </w:t>
      </w:r>
      <w:r>
        <w:rPr>
          <w:rtl w:val="true"/>
        </w:rPr>
        <w:t>في تعريف الشفعة</w:t>
      </w:r>
      <w:bookmarkEnd w:id="108"/>
    </w:p>
    <w:p>
      <w:pPr>
        <w:pStyle w:val="BookText"/>
        <w:rPr/>
      </w:pPr>
      <w:r>
        <w:rPr>
          <w:rFonts w:ascii="Amiri" w:hAnsi="Amiri" w:eastAsia="Amiri" w:cs="Amiri"/>
          <w:color w:val="111111"/>
          <w:sz w:val="28"/>
          <w:sz w:val="28"/>
          <w:szCs w:val="28"/>
          <w:rtl w:val="true"/>
          <w:lang w:bidi="ar-SA"/>
        </w:rPr>
        <w:t>نقل في الجواهر تعريفات متعدّدة لها،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المحكيّ عن أبي الصلاح وابني زهرة وإدريس وغيرهم بأنّها استحقاق الشريك المخصوص على المشتري تسليم المبيع بمثل ما بذل فيه أو قيمته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القواعد هي استحقاق الشريك انتزاع حصّة شريكه المنتقلة عنه بالبيع، كقول المصنّف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استحقاق أحد الشريكين حصّة شريكه بسبب انتقالها بالبيع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النافع استحقاق حصّة الشريك لانتقالها بالبيع</w:t>
      </w:r>
      <w:r>
        <w:rPr>
          <w:rFonts w:eastAsia="Amiri" w:cs="Amiri" w:ascii="Amiri" w:hAnsi="Amiri"/>
          <w:color w:val="111111"/>
          <w:sz w:val="28"/>
          <w:szCs w:val="28"/>
          <w:rtl w:val="true"/>
          <w:lang w:bidi="ar-SA"/>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ويبدو أنّ الجميع يشير إلى مضمون واحد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باع الشريك حصّته على شخص كان لشريكه حقّ تملّك المبيع، ويسمّى هذا الحقّ بالشفعة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وإطالة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المسالك</w:t>
      </w:r>
      <w:r>
        <w:rPr>
          <w:rStyle w:val="FootnoteAnchor"/>
          <w:rtl w:val="true"/>
        </w:rPr>
        <w:footnoteReference w:id="52"/>
      </w:r>
    </w:p>
    <w:p>
      <w:pPr>
        <w:pStyle w:val="BookText"/>
        <w:rPr/>
      </w:pPr>
      <w:r>
        <w:rPr>
          <w:rFonts w:ascii="Amiri" w:hAnsi="Amiri" w:eastAsia="Amiri" w:cs="Amiri"/>
          <w:color w:val="111111"/>
          <w:sz w:val="28"/>
          <w:sz w:val="28"/>
          <w:szCs w:val="28"/>
          <w:rtl w:val="true"/>
          <w:lang w:bidi="ar-SA"/>
        </w:rPr>
        <w:t>الإيراد على التعريف الذي ذكره المحقّق في الشرائع نقضاً وإبراماً لا حاجة إليه في ما نحن بصدده؛ لعدم تعلّق غرض به، وإنّما ذكرنا تعريفها توطئة للمقصود الأصلي من البحث، وهو التحقّق من ثبوتها في حال كون الشركاء أكثر من اثنين، هذا من 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جهة أخرى إنّ التعريف المذكور على ما ذكر المحقّق 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تعريف لفظي للضبط والاستحضار؛ ليسهل فهم المسائل، فلا يرد عليه بعض مناقشات شارحه</w:t>
      </w:r>
      <w:r>
        <w:rPr>
          <w:rFonts w:eastAsia="Amiri" w:cs="Amiri" w:ascii="Amiri" w:hAnsi="Amiri"/>
          <w:color w:val="111111"/>
          <w:sz w:val="28"/>
          <w:szCs w:val="28"/>
          <w:rtl w:val="true"/>
          <w:lang w:bidi="ar-SA"/>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لا يخفى أنّ المسائل المطروحة في الكتب الفقهية حول الشفعة كثيرة ذكرها الفقهاء مفصّلة، والمقصود بالبحث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مرّت الإشارة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حقّ الشفعة هل يثبت إذا زاد الشركاء على اثنين، أو أنّه مختصّ بصورة عدم الزيادة على ذلك؟</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ويقع الكلام عن هذه المسألة في مقامات ثلاثة</w:t>
      </w:r>
      <w:r>
        <w:rPr>
          <w:rFonts w:eastAsia="Amiri" w:cs="Amiri" w:ascii="Amiri" w:hAnsi="Amiri"/>
          <w:color w:val="111111"/>
          <w:sz w:val="28"/>
          <w:szCs w:val="28"/>
          <w:rtl w:val="true"/>
          <w:lang w:bidi="ar-SA"/>
        </w:rPr>
        <w:t xml:space="preserve">: </w:t>
      </w:r>
      <w:bookmarkStart w:id="109" w:name="pg9142_80579"/>
    </w:p>
    <w:p>
      <w:pPr>
        <w:pStyle w:val="Heading3"/>
        <w:numPr>
          <w:ilvl w:val="2"/>
          <w:numId w:val="1"/>
        </w:numPr>
        <w:rPr/>
      </w:pPr>
      <w:bookmarkStart w:id="110" w:name="__RefHeading___Toc3266118_2870459653"/>
      <w:bookmarkStart w:id="111" w:name="_Toc40"/>
      <w:bookmarkEnd w:id="109"/>
      <w:bookmarkEnd w:id="110"/>
      <w:r>
        <w:rPr>
          <w:rtl w:val="true"/>
        </w:rPr>
        <w:t>المقام الأوّل</w:t>
      </w:r>
      <w:r>
        <w:rPr>
          <w:rtl w:val="true"/>
        </w:rPr>
        <w:t xml:space="preserve">: </w:t>
      </w:r>
      <w:r>
        <w:rPr>
          <w:rtl w:val="true"/>
        </w:rPr>
        <w:t>الأقوال في المسألة</w:t>
      </w:r>
      <w:bookmarkEnd w:id="111"/>
    </w:p>
    <w:p>
      <w:pPr>
        <w:pStyle w:val="Heading4"/>
        <w:numPr>
          <w:ilvl w:val="3"/>
          <w:numId w:val="1"/>
        </w:numPr>
        <w:rPr/>
      </w:pPr>
      <w:bookmarkStart w:id="112" w:name="__RefHeading___Toc3266120_2870459653"/>
      <w:bookmarkStart w:id="113" w:name="_Toc41"/>
      <w:bookmarkEnd w:id="112"/>
      <w:r>
        <w:rPr>
          <w:rtl w:val="true"/>
        </w:rPr>
        <w:t>اشارة</w:t>
      </w:r>
      <w:bookmarkEnd w:id="113"/>
    </w:p>
    <w:p>
      <w:pPr>
        <w:pStyle w:val="BookText"/>
        <w:rPr/>
      </w:pPr>
      <w:r>
        <w:rPr>
          <w:rFonts w:ascii="Amiri" w:hAnsi="Amiri" w:eastAsia="Amiri" w:cs="Amiri"/>
          <w:color w:val="111111"/>
          <w:sz w:val="28"/>
          <w:sz w:val="28"/>
          <w:szCs w:val="28"/>
          <w:rtl w:val="true"/>
          <w:lang w:bidi="ar-SA"/>
        </w:rPr>
        <w:t>وهي على ما يبدو أربعة</w:t>
      </w:r>
      <w:r>
        <w:rPr>
          <w:rFonts w:eastAsia="Amiri" w:cs="Amiri" w:ascii="Amiri" w:hAnsi="Amiri"/>
          <w:color w:val="111111"/>
          <w:sz w:val="28"/>
          <w:szCs w:val="28"/>
          <w:rtl w:val="true"/>
          <w:lang w:bidi="ar-SA"/>
        </w:rPr>
        <w:t>:</w:t>
      </w:r>
    </w:p>
    <w:p>
      <w:pPr>
        <w:pStyle w:val="Heading4"/>
        <w:numPr>
          <w:ilvl w:val="3"/>
          <w:numId w:val="1"/>
        </w:numPr>
        <w:rPr/>
      </w:pPr>
      <w:bookmarkStart w:id="114" w:name="__RefHeading___Toc3266122_2870459653"/>
      <w:bookmarkStart w:id="115" w:name="_Toc42"/>
      <w:bookmarkEnd w:id="114"/>
      <w:r>
        <w:rPr>
          <w:rtl w:val="true"/>
        </w:rPr>
        <w:t>الأوّل</w:t>
      </w:r>
      <w:bookmarkEnd w:id="115"/>
    </w:p>
    <w:p>
      <w:pPr>
        <w:pStyle w:val="BookText"/>
        <w:rPr/>
      </w:pPr>
      <w:r>
        <w:rPr>
          <w:rFonts w:ascii="Amiri" w:hAnsi="Amiri" w:eastAsia="Amiri" w:cs="Amiri"/>
          <w:color w:val="111111"/>
          <w:sz w:val="28"/>
          <w:sz w:val="28"/>
          <w:szCs w:val="28"/>
          <w:rtl w:val="true"/>
          <w:lang w:bidi="ar-SA"/>
        </w:rPr>
        <w:t xml:space="preserve">أنّ الشفعة لا تثبت مع زيادة الشركاء على اثنين، فيشترط في ثبوتها كون المبيع مشتركاً بين اثنين لا أزيد، فمع الزيادة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شفعة عند أكثر علمائنا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العلّامة</w:t>
      </w:r>
      <w:r>
        <w:rPr>
          <w:rStyle w:val="FootnoteAnchor"/>
          <w:rtl w:val="true"/>
        </w:rPr>
        <w:footnoteReference w:id="54"/>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أشهر الروايتين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المحقّق</w:t>
      </w:r>
      <w:r>
        <w:rPr>
          <w:rStyle w:val="FootnoteAnchor"/>
          <w:rtl w:val="true"/>
        </w:rPr>
        <w:footnoteReference w:id="55"/>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المشهور والأكثر رواية وقائلاً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المحقّق الأردبيلي</w:t>
      </w:r>
      <w:r>
        <w:rPr>
          <w:rStyle w:val="FootnoteAnchor"/>
          <w:rtl w:val="true"/>
        </w:rPr>
        <w:footnoteReference w:id="56"/>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إجماع الطائفة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كما عن السيّد المرتضى</w:t>
      </w:r>
      <w:r>
        <w:rPr>
          <w:rStyle w:val="FootnoteAnchor"/>
          <w:rtl w:val="true"/>
        </w:rPr>
        <w:footnoteReference w:id="57"/>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الحدائق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ادّعى ابن إدريس عليه الإجماع</w:t>
      </w:r>
      <w:r>
        <w:rPr>
          <w:rFonts w:eastAsia="Amiri" w:cs="Amiri" w:ascii="Amiri" w:hAnsi="Amiri"/>
          <w:color w:val="111111"/>
          <w:sz w:val="28"/>
          <w:szCs w:val="28"/>
          <w:rtl w:val="true"/>
          <w:lang w:bidi="ar-SA"/>
        </w:rPr>
        <w:t>)</w:t>
      </w:r>
      <w:r>
        <w:rPr>
          <w:rStyle w:val="FootnoteAnchor"/>
          <w:rtl w:val="true"/>
        </w:rPr>
        <w:footnoteReference w:id="58"/>
      </w:r>
      <w:r>
        <w:rPr>
          <w:rFonts w:ascii="Amiri" w:hAnsi="Amiri" w:eastAsia="Amiri" w:cs="Amiri"/>
          <w:color w:val="111111"/>
          <w:sz w:val="28"/>
          <w:sz w:val="28"/>
          <w:szCs w:val="28"/>
          <w:rtl w:val="true"/>
          <w:lang w:bidi="ar-SA"/>
        </w:rPr>
        <w:t xml:space="preserve">، وفي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المشهور شهرة عظيمة كادت تكون إجماعاً، بل هي كذلك كما ستعرف</w:t>
      </w:r>
      <w:r>
        <w:rPr>
          <w:rFonts w:eastAsia="Amiri" w:cs="Amiri" w:ascii="Amiri" w:hAnsi="Amiri"/>
          <w:color w:val="111111"/>
          <w:sz w:val="28"/>
          <w:szCs w:val="28"/>
          <w:rtl w:val="true"/>
          <w:lang w:bidi="ar-SA"/>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6" w:name="__RefHeading___Toc3266124_2870459653"/>
      <w:bookmarkStart w:id="117" w:name="_Toc43"/>
      <w:bookmarkEnd w:id="116"/>
      <w:r>
        <w:rPr>
          <w:rtl w:val="true"/>
        </w:rPr>
        <w:t>الثاني</w:t>
      </w:r>
      <w:bookmarkEnd w:id="117"/>
    </w:p>
    <w:p>
      <w:pPr>
        <w:pStyle w:val="BookText"/>
        <w:rPr/>
      </w:pPr>
      <w:r>
        <w:rPr>
          <w:rFonts w:ascii="Amiri" w:hAnsi="Amiri" w:eastAsia="Amiri" w:cs="Amiri"/>
          <w:color w:val="111111"/>
          <w:sz w:val="28"/>
          <w:sz w:val="28"/>
          <w:szCs w:val="28"/>
          <w:rtl w:val="true"/>
          <w:lang w:bidi="ar-SA"/>
        </w:rPr>
        <w:t>أنّها تثبت مع الزيادة، اختار هذا القول ابن الجنيد على ما نقله عنه السيّد المرتضى</w:t>
      </w:r>
      <w:r>
        <w:rPr>
          <w:rStyle w:val="FootnoteAnchor"/>
          <w:rtl w:val="true"/>
        </w:rPr>
        <w:footnoteReference w:id="60"/>
      </w:r>
      <w:r>
        <w:rPr>
          <w:rFonts w:ascii="IRNazanin" w:hAnsi="IRNazanin" w:eastAsia="IRNazanin"/>
          <w:color w:val="111111"/>
          <w:sz w:val="28"/>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 يعلم الخدش بما في كلام الجواهر،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 لم نعرف القول </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ثبوت الشفعة على عدد الرؤوس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لأحد منّا؛ إذ المحكي عن ابن الجنيد في الانتصار أنّه يوجب الشفعة في العقار فيما زاد على اثنين، وإنّما يعتبر الاثنين في الحيوان خاصّة</w:t>
      </w:r>
      <w:r>
        <w:rPr>
          <w:rFonts w:eastAsia="Amiri" w:cs="Amiri" w:ascii="Amiri" w:hAnsi="Amiri"/>
          <w:color w:val="111111"/>
          <w:sz w:val="28"/>
          <w:szCs w:val="28"/>
          <w:rtl w:val="true"/>
          <w:lang w:bidi="ar-SA"/>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وجه الخدش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ينقل هذا عن ابن الجنيد، بل نقل عنه الثبوت مطلقاً كما ذكرنا، قال في الانتصار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ادّعيتم إجماع الإمامية وابن الجنيد يخالف في هذه المسألة، ويوجب الشفعة مع زيادة الشركاء على اثنين</w:t>
      </w:r>
      <w:r>
        <w:rPr>
          <w:rFonts w:eastAsia="Amiri" w:cs="Amiri" w:ascii="Amiri" w:hAnsi="Amiri"/>
          <w:color w:val="111111"/>
          <w:sz w:val="28"/>
          <w:szCs w:val="28"/>
          <w:rtl w:val="true"/>
          <w:lang w:bidi="ar-SA"/>
        </w:rPr>
        <w:t>)</w:t>
      </w:r>
      <w:r>
        <w:rPr>
          <w:rStyle w:val="FootnoteAnchor"/>
          <w:rtl w:val="true"/>
        </w:rPr>
        <w:footnoteReference w:id="62"/>
      </w:r>
      <w:r>
        <w:rPr>
          <w:rFonts w:ascii="Amiri" w:hAnsi="Amiri" w:eastAsia="Amiri" w:cs="Amiri"/>
          <w:color w:val="111111"/>
          <w:sz w:val="28"/>
          <w:sz w:val="28"/>
          <w:szCs w:val="28"/>
          <w:rtl w:val="true"/>
          <w:lang w:bidi="ar-SA"/>
        </w:rPr>
        <w:t>، فإذن كيف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يوجد قائل بهذا القول منّا، والملاحظ أنّ ما نسبه في الجواهر الى ابن الجنيد من عبارة الانتصار قد نقله السيّد عن أبي جعفر ابن بابويه، حيث قال بعد نقل كلام ابن الجنيد مباشرة ما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وأبو جعفر ابن بابويه يوجب الشفعة في العقار فيما زاد على الاثنين، وإنّما يعتبر الاثنين في الحيوان خاصّة</w:t>
      </w:r>
      <w:r>
        <w:rPr>
          <w:rFonts w:eastAsia="Amiri" w:cs="Amiri" w:ascii="Amiri" w:hAnsi="Amiri"/>
          <w:color w:val="111111"/>
          <w:sz w:val="28"/>
          <w:szCs w:val="28"/>
          <w:rtl w:val="true"/>
          <w:lang w:bidi="ar-SA"/>
        </w:rPr>
        <w:t>)</w:t>
      </w:r>
      <w:r>
        <w:rPr>
          <w:rStyle w:val="FootnoteAnchor"/>
          <w:rtl w:val="true"/>
        </w:rPr>
        <w:footnoteReference w:id="63"/>
      </w:r>
      <w:r>
        <w:rPr>
          <w:rFonts w:ascii="IRNazanin" w:hAnsi="IRNazanin" w:eastAsia="IRNazanin"/>
          <w:color w:val="111111"/>
          <w:sz w:val="28"/>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وممّن نسب هذا القول إلى ابن الجنيد أيضاً العلّامة في المختلف،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اختار ابن الجنيد ثبوت الشفعة مع الكثرة</w:t>
      </w:r>
      <w:r>
        <w:rPr>
          <w:rFonts w:eastAsia="Amiri" w:cs="Amiri" w:ascii="Amiri" w:hAnsi="Amiri"/>
          <w:color w:val="111111"/>
          <w:sz w:val="28"/>
          <w:szCs w:val="28"/>
          <w:rtl w:val="true"/>
          <w:lang w:bidi="ar-SA"/>
        </w:rPr>
        <w:t>)</w:t>
      </w:r>
      <w:r>
        <w:rPr>
          <w:rStyle w:val="FootnoteAnchor"/>
          <w:rtl w:val="true"/>
        </w:rPr>
        <w:footnoteReference w:id="64"/>
      </w:r>
      <w:r>
        <w:rPr>
          <w:rFonts w:ascii="Amiri" w:hAnsi="Amiri" w:eastAsia="Amiri" w:cs="Amiri"/>
          <w:color w:val="111111"/>
          <w:sz w:val="28"/>
          <w:sz w:val="28"/>
          <w:szCs w:val="28"/>
          <w:rtl w:val="true"/>
          <w:lang w:bidi="ar-SA"/>
        </w:rPr>
        <w:t>، وكذا نسب إليه ذلك جماعة ممّن تأخّر كصاحب الحدائق</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 xml:space="preserve">. </w:t>
      </w:r>
      <w:bookmarkStart w:id="118" w:name="pg9142_80581"/>
    </w:p>
    <w:p>
      <w:pPr>
        <w:pStyle w:val="BookText"/>
        <w:rPr/>
      </w:pPr>
      <w:bookmarkEnd w:id="118"/>
      <w:r>
        <w:rPr>
          <w:rFonts w:ascii="Amiri" w:hAnsi="Amiri" w:eastAsia="Amiri" w:cs="Amiri"/>
          <w:color w:val="111111"/>
          <w:sz w:val="28"/>
          <w:sz w:val="28"/>
          <w:szCs w:val="28"/>
          <w:rtl w:val="true"/>
          <w:lang w:bidi="ar-SA"/>
        </w:rPr>
        <w:t>هذا، وقال في الحدائق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وذهب ابن الجنيد إلى ثبوتها مع الكثرة مطلقاً، وقوّاه العلّامة في المختلف بعد ذهابه إلى المشهور</w:t>
      </w:r>
      <w:r>
        <w:rPr>
          <w:rFonts w:eastAsia="Amiri" w:cs="Amiri" w:ascii="Amiri" w:hAnsi="Amiri"/>
          <w:color w:val="111111"/>
          <w:sz w:val="28"/>
          <w:szCs w:val="28"/>
          <w:rtl w:val="true"/>
          <w:lang w:bidi="ar-SA"/>
        </w:rPr>
        <w:t>)</w:t>
      </w:r>
      <w:r>
        <w:rPr>
          <w:rStyle w:val="FootnoteAnchor"/>
          <w:rtl w:val="true"/>
        </w:rPr>
        <w:footnoteReference w:id="66"/>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فإنّ العلّامة في المختلف استدلّ أوّلاً على الرأي المشهور، وتعرّض بعده لأدلّة القول الثاني القائل بالثبوت مطلقاً وردّها،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وقول هؤلاء لا يخلو من قوّة؛ لصحّة حديث منصور بن حازم</w:t>
      </w:r>
      <w:r>
        <w:rPr>
          <w:rFonts w:eastAsia="Amiri" w:cs="Amiri" w:ascii="Amiri" w:hAnsi="Amiri"/>
          <w:color w:val="111111"/>
          <w:sz w:val="28"/>
          <w:szCs w:val="28"/>
          <w:rtl w:val="true"/>
          <w:lang w:bidi="ar-SA"/>
        </w:rPr>
        <w:t>)</w:t>
      </w:r>
      <w:r>
        <w:rPr>
          <w:rStyle w:val="FootnoteAnchor"/>
          <w:rtl w:val="true"/>
        </w:rPr>
        <w:footnoteReference w:id="67"/>
      </w:r>
      <w:r>
        <w:rPr>
          <w:rFonts w:ascii="Amiri" w:hAnsi="Amiri" w:eastAsia="Amiri" w:cs="Amiri"/>
          <w:color w:val="111111"/>
          <w:sz w:val="28"/>
          <w:sz w:val="28"/>
          <w:szCs w:val="28"/>
          <w:rtl w:val="true"/>
          <w:lang w:bidi="ar-SA"/>
        </w:rPr>
        <w:t>، ويظهر منه في القواعد عدم ارتضائه لقول المشهور، حيث نسبه إلى الرأي،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تثبت لغير الشريك الواحد على رأي</w:t>
      </w:r>
      <w:r>
        <w:rPr>
          <w:rFonts w:eastAsia="Amiri" w:cs="Amiri" w:ascii="Amiri" w:hAnsi="Amiri"/>
          <w:color w:val="111111"/>
          <w:sz w:val="28"/>
          <w:szCs w:val="28"/>
          <w:rtl w:val="true"/>
          <w:lang w:bidi="ar-SA"/>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يظهر اختيار هذا القول من الصدوق في الهداية، حيث اقتصر فيها على نقل حديث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ظاهره ثبوت الشفعة مع التعدّد،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الشفعة على عدد الرجال</w:t>
      </w:r>
      <w:r>
        <w:rPr>
          <w:rFonts w:eastAsia="IRNazanin" w:cs="IRNazanin"/>
          <w:color w:val="111111"/>
          <w:sz w:val="28"/>
          <w:szCs w:val="28"/>
          <w:rtl w:val="true"/>
          <w:lang w:bidi="fa-IR"/>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9" w:name="__RefHeading___Toc3266126_2870459653"/>
      <w:bookmarkStart w:id="120" w:name="_Toc44"/>
      <w:bookmarkEnd w:id="119"/>
      <w:r>
        <w:rPr>
          <w:rtl w:val="true"/>
        </w:rPr>
        <w:t>الثالث</w:t>
      </w:r>
      <w:bookmarkEnd w:id="120"/>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يظهر من الشيخ الصدوق في الفقيه، من تخصيص ثبوت الشفعة مع الكثرة بغير الحيوان، أمّا في الحيوان فأثبتها بين اثنين لا غير، فإنّه روى فيه روايتي السكوني وطلحة بن زيد الدالّتين على ثبوت الشفعة على عدد الرجال، ثمّ ذكر رواية مانعة عن الشفعة في ما زاد على الاثنين، وعلّق عليها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مصنّف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بذلك الشفعة في الحيوان وحده، فأمّا في غير الحيوان فالشفعة واجبة </w:t>
      </w:r>
    </w:p>
    <w:p>
      <w:pPr>
        <w:pStyle w:val="BookText"/>
        <w:rPr/>
      </w:pPr>
      <w:r>
        <w:rPr>
          <w:rFonts w:ascii="Amiri" w:hAnsi="Amiri" w:eastAsia="Amiri" w:cs="Amiri"/>
          <w:color w:val="111111"/>
          <w:sz w:val="28"/>
          <w:sz w:val="28"/>
          <w:szCs w:val="28"/>
          <w:rtl w:val="true"/>
          <w:lang w:bidi="ar-SA"/>
        </w:rPr>
        <w:t>للشركاء وإن كان أكثر من اثنين</w:t>
      </w:r>
      <w:r>
        <w:rPr>
          <w:rFonts w:eastAsia="Amiri" w:cs="Amiri" w:ascii="Amiri" w:hAnsi="Amiri"/>
          <w:color w:val="111111"/>
          <w:sz w:val="28"/>
          <w:szCs w:val="28"/>
          <w:rtl w:val="true"/>
          <w:lang w:bidi="ar-SA"/>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ويظهر منه في المقنع اختيار القول الأوّل المشهور،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 الشركاء أكثر من اثنين فلا شفعة لواحد منهم</w:t>
      </w:r>
      <w:r>
        <w:rPr>
          <w:rFonts w:eastAsia="Amiri" w:cs="Amiri" w:ascii="Amiri" w:hAnsi="Amiri"/>
          <w:color w:val="111111"/>
          <w:sz w:val="28"/>
          <w:szCs w:val="28"/>
          <w:rtl w:val="true"/>
          <w:lang w:bidi="ar-SA"/>
        </w:rPr>
        <w:t>)</w:t>
      </w:r>
      <w:r>
        <w:rPr>
          <w:rStyle w:val="FootnoteAnchor"/>
          <w:rtl w:val="true"/>
        </w:rPr>
        <w:footnoteReference w:id="71"/>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واشتبه الحال على المقداد السيوري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فنسب إلى المقنع ما قاله في الفقيه،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الصدوق في المقنع خصّ الشفعة مع الكثرة بغير الحيوان، أمّا في الحيوان فأثبتها بين اثنين لا غير</w:t>
      </w:r>
      <w:r>
        <w:rPr>
          <w:rFonts w:eastAsia="Amiri" w:cs="Amiri" w:ascii="Amiri" w:hAnsi="Amiri"/>
          <w:color w:val="111111"/>
          <w:sz w:val="28"/>
          <w:szCs w:val="28"/>
          <w:rtl w:val="true"/>
          <w:lang w:bidi="ar-SA"/>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بقي شيء، وهو أنّ المحقّق في الشرائع لم يذكر هذا التفصيل ضمن الأقوال الثلاثة التي ذكرها، وإنّما ذكر تفصيلاً آخر غيره،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تثبت في الأرض مع الكثرة، ولا تثبت في العبد إلّا للواحد</w:t>
      </w:r>
      <w:r>
        <w:rPr>
          <w:rFonts w:eastAsia="Amiri" w:cs="Amiri" w:ascii="Amiri" w:hAnsi="Amiri"/>
          <w:color w:val="111111"/>
          <w:sz w:val="28"/>
          <w:szCs w:val="28"/>
          <w:rtl w:val="true"/>
          <w:lang w:bidi="ar-SA"/>
        </w:rPr>
        <w:t>)</w:t>
      </w:r>
      <w:r>
        <w:rPr>
          <w:rStyle w:val="FootnoteAnchor"/>
          <w:rtl w:val="true"/>
        </w:rPr>
        <w:footnoteReference w:id="73"/>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والظاهر عدم وجود هكذا قول في ما وصل إلينا من كتب من تقدّم على المحقّق، 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الثاني فلا أجد قائلاً به</w:t>
      </w:r>
      <w:r>
        <w:rPr>
          <w:rFonts w:eastAsia="Amiri" w:cs="Amiri" w:ascii="Amiri" w:hAnsi="Amiri"/>
          <w:color w:val="111111"/>
          <w:sz w:val="28"/>
          <w:szCs w:val="28"/>
          <w:rtl w:val="true"/>
          <w:lang w:bidi="ar-SA"/>
        </w:rPr>
        <w:t>)</w:t>
      </w:r>
      <w:r>
        <w:rPr>
          <w:rStyle w:val="FootnoteAnchor"/>
          <w:rtl w:val="true"/>
        </w:rPr>
        <w:footnoteReference w:id="74"/>
      </w:r>
      <w:r>
        <w:rPr>
          <w:rFonts w:ascii="IRNazanin" w:hAnsi="IRNazanin" w:eastAsia="IRNazanin"/>
          <w:color w:val="111111"/>
          <w:sz w:val="28"/>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 المحقّق اطّلع عليه في ما لم يصل إلينا من كلماتهم، وفي الجواهر أيضاً نسب اختيار هذا القول إلى صاحب الكفاية</w:t>
      </w:r>
      <w:r>
        <w:rPr>
          <w:rStyle w:val="FootnoteAnchor"/>
          <w:rtl w:val="true"/>
        </w:rPr>
        <w:footnoteReference w:id="75"/>
      </w:r>
      <w:r>
        <w:rPr>
          <w:rFonts w:ascii="Amiri" w:hAnsi="Amiri" w:eastAsia="Amiri" w:cs="Amiri"/>
          <w:color w:val="111111"/>
          <w:sz w:val="28"/>
          <w:sz w:val="28"/>
          <w:szCs w:val="28"/>
          <w:rtl w:val="true"/>
          <w:lang w:bidi="ar-SA"/>
        </w:rPr>
        <w:t>، ولكن ما في الكفاية لا يساعد عليه، فقد قال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والوجه أنّ الشفعة لا تثبت في العبد إلّا مع وحدة الشريك؛ لصحيحة الحلبي، وحسنته، وصحيحة عبد الله بن سنان وغيرها، وأمّا في </w:t>
      </w:r>
      <w:bookmarkStart w:id="121" w:name="pg9142_80583"/>
    </w:p>
    <w:p>
      <w:pPr>
        <w:pStyle w:val="BookText"/>
        <w:rPr/>
      </w:pPr>
      <w:bookmarkEnd w:id="121"/>
      <w:r>
        <w:rPr>
          <w:rFonts w:ascii="Amiri" w:hAnsi="Amiri" w:eastAsia="Amiri" w:cs="Amiri"/>
          <w:color w:val="111111"/>
          <w:sz w:val="28"/>
          <w:sz w:val="28"/>
          <w:szCs w:val="28"/>
          <w:rtl w:val="true"/>
          <w:lang w:bidi="ar-SA"/>
        </w:rPr>
        <w:t>غير العبد فالحكم لا يخلو من إشكال</w:t>
      </w:r>
      <w:r>
        <w:rPr>
          <w:rFonts w:eastAsia="Amiri" w:cs="Amiri" w:ascii="Amiri" w:hAnsi="Amiri"/>
          <w:color w:val="111111"/>
          <w:sz w:val="28"/>
          <w:szCs w:val="28"/>
          <w:rtl w:val="true"/>
          <w:lang w:bidi="ar-SA"/>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2" w:name="__RefHeading___Toc3266128_2870459653"/>
      <w:bookmarkStart w:id="123" w:name="_Toc45"/>
      <w:bookmarkEnd w:id="122"/>
      <w:r>
        <w:rPr>
          <w:rtl w:val="true"/>
        </w:rPr>
        <w:t>الرابع</w:t>
      </w:r>
      <w:bookmarkEnd w:id="123"/>
    </w:p>
    <w:p>
      <w:pPr>
        <w:pStyle w:val="BookText"/>
        <w:rPr/>
      </w:pPr>
      <w:r>
        <w:rPr>
          <w:rFonts w:ascii="Amiri" w:hAnsi="Amiri" w:eastAsia="Amiri" w:cs="Amiri"/>
          <w:color w:val="111111"/>
          <w:sz w:val="28"/>
          <w:sz w:val="28"/>
          <w:szCs w:val="28"/>
          <w:rtl w:val="true"/>
          <w:lang w:bidi="ar-SA"/>
        </w:rPr>
        <w:t>لا تثبت الشفعة مع الزيادة إلّا في الطريق المشترك بين دور متعدّدة وبيعت الدار مع الطريق، فإنّه تثبت للآخرين الشفعة في الطريق، يظهر هذا القول من الشيخ الصدوق في المقنع</w:t>
      </w:r>
      <w:r>
        <w:rPr>
          <w:rStyle w:val="FootnoteAnchor"/>
          <w:rtl w:val="true"/>
        </w:rPr>
        <w:footnoteReference w:id="77"/>
      </w:r>
      <w:r>
        <w:rPr>
          <w:rFonts w:ascii="IRNazanin" w:hAnsi="IRNazanin" w:eastAsia="IRNazanin"/>
          <w:color w:val="111111"/>
          <w:sz w:val="28"/>
          <w:sz w:val="28"/>
          <w:szCs w:val="28"/>
          <w:rtl w:val="true"/>
          <w:lang w:bidi="fa-IR"/>
        </w:rPr>
        <w:t xml:space="preserve">، ومثله في الفقه المنسوب إلى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78"/>
      </w:r>
      <w:r>
        <w:rPr>
          <w:rFonts w:ascii="Amiri" w:hAnsi="Amiri" w:eastAsia="Amiri" w:cs="Amiri"/>
          <w:color w:val="111111"/>
          <w:sz w:val="28"/>
          <w:sz w:val="28"/>
          <w:szCs w:val="28"/>
          <w:rtl w:val="true"/>
          <w:lang w:bidi="ar-SA"/>
        </w:rPr>
        <w:t xml:space="preserve">، وذهب إليه جماعة من الأعلام أيضاً منهم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Style w:val="FootnoteAnchor"/>
          <w:rtl w:val="true"/>
        </w:rPr>
        <w:footnoteReference w:id="79"/>
      </w:r>
      <w:r>
        <w:rPr>
          <w:rFonts w:ascii="IRNazanin" w:hAnsi="IRNazanin" w:eastAsia="IRNazanin"/>
          <w:color w:val="111111"/>
          <w:sz w:val="28"/>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والسيّد السيستاني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 العالی</w:t>
      </w:r>
      <w:r>
        <w:rPr>
          <w:rFonts w:eastAsia="IRNazanin" w:cs="IRNazanin"/>
          <w:color w:val="111111"/>
          <w:sz w:val="28"/>
          <w:szCs w:val="28"/>
          <w:rtl w:val="true"/>
          <w:lang w:bidi="fa-IR"/>
        </w:rPr>
        <w:t xml:space="preserve">) </w:t>
      </w:r>
      <w:r>
        <w:rPr>
          <w:rStyle w:val="FootnoteAnchor"/>
          <w:rtl w:val="true"/>
        </w:rPr>
        <w:footnoteReference w:id="80"/>
      </w:r>
      <w:r>
        <w:rPr>
          <w:rFonts w:ascii="Amiri" w:hAnsi="Amiri" w:eastAsia="Amiri" w:cs="Amiri"/>
          <w:color w:val="111111"/>
          <w:sz w:val="28"/>
          <w:sz w:val="28"/>
          <w:szCs w:val="28"/>
          <w:rtl w:val="true"/>
          <w:lang w:bidi="ar-SA"/>
        </w:rPr>
        <w:t xml:space="preserve">، والسيّد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 xml:space="preserve">. </w:t>
      </w:r>
      <w:bookmarkStart w:id="124" w:name="pg9142_80584"/>
    </w:p>
    <w:p>
      <w:pPr>
        <w:pStyle w:val="Heading3"/>
        <w:numPr>
          <w:ilvl w:val="2"/>
          <w:numId w:val="1"/>
        </w:numPr>
        <w:rPr/>
      </w:pPr>
      <w:bookmarkStart w:id="125" w:name="__RefHeading___Toc3266130_2870459653"/>
      <w:bookmarkStart w:id="126" w:name="_Toc46"/>
      <w:bookmarkEnd w:id="124"/>
      <w:bookmarkEnd w:id="125"/>
      <w:r>
        <w:rPr>
          <w:rtl w:val="true"/>
        </w:rPr>
        <w:t>المقام الثاني</w:t>
      </w:r>
      <w:r>
        <w:rPr>
          <w:rtl w:val="true"/>
        </w:rPr>
        <w:t xml:space="preserve">: </w:t>
      </w:r>
      <w:r>
        <w:rPr>
          <w:rtl w:val="true"/>
        </w:rPr>
        <w:t>مقتضى القاعدة</w:t>
      </w:r>
      <w:bookmarkEnd w:id="126"/>
    </w:p>
    <w:p>
      <w:pPr>
        <w:pStyle w:val="Heading4"/>
        <w:numPr>
          <w:ilvl w:val="3"/>
          <w:numId w:val="1"/>
        </w:numPr>
        <w:rPr/>
      </w:pPr>
      <w:bookmarkStart w:id="127" w:name="__RefHeading___Toc3266132_2870459653"/>
      <w:bookmarkStart w:id="128" w:name="_Toc47"/>
      <w:bookmarkEnd w:id="127"/>
      <w:r>
        <w:rPr>
          <w:rtl w:val="true"/>
        </w:rPr>
        <w:t>اشارة</w:t>
      </w:r>
      <w:bookmarkEnd w:id="128"/>
    </w:p>
    <w:p>
      <w:pPr>
        <w:pStyle w:val="BookText"/>
        <w:rPr/>
      </w:pPr>
      <w:r>
        <w:rPr>
          <w:rFonts w:ascii="Amiri" w:hAnsi="Amiri" w:eastAsia="Amiri" w:cs="Amiri"/>
          <w:color w:val="111111"/>
          <w:sz w:val="28"/>
          <w:sz w:val="28"/>
          <w:szCs w:val="28"/>
          <w:rtl w:val="true"/>
          <w:lang w:bidi="ar-SA"/>
        </w:rPr>
        <w:t>قبل الدخول في أدلّة الأقوال لا بأس بذكر ما تقتضيه القاعدة في المسألة بحيث إذا فقدنا الدليل فيها نرجع إليها، فهل تقتضي القاعدة ثبوت الشفعة مع كثرة الشركاء أو عدمه؟</w:t>
      </w:r>
    </w:p>
    <w:p>
      <w:pPr>
        <w:pStyle w:val="BookText"/>
        <w:rPr/>
      </w:pPr>
      <w:r>
        <w:rPr>
          <w:rFonts w:ascii="Amiri" w:hAnsi="Amiri" w:eastAsia="Amiri" w:cs="Amiri"/>
          <w:color w:val="111111"/>
          <w:sz w:val="28"/>
          <w:sz w:val="28"/>
          <w:szCs w:val="28"/>
          <w:rtl w:val="true"/>
          <w:lang w:bidi="ar-SA"/>
        </w:rPr>
        <w:t xml:space="preserve">كلُّ من تعرّض لهذه الجهة ذكر أنّ القاعدة تقتضي عدم الثبوت، ولم أعثر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تتبّعتُ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 ذكر خلاف ذلك، فقد تكرّر في كلماتهم أنّ الشفعة على خلاف الأصل، فلا يحكم بها إلّا مع قيام دليل</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صُوّر هذا الأصل في كلماتهم بتصويرين</w:t>
      </w:r>
      <w:r>
        <w:rPr>
          <w:rFonts w:eastAsia="Amiri" w:cs="Amiri" w:ascii="Amiri" w:hAnsi="Amiri"/>
          <w:color w:val="111111"/>
          <w:sz w:val="28"/>
          <w:szCs w:val="28"/>
          <w:rtl w:val="true"/>
          <w:lang w:bidi="ar-SA"/>
        </w:rPr>
        <w:t>:</w:t>
      </w:r>
    </w:p>
    <w:p>
      <w:pPr>
        <w:pStyle w:val="Heading4"/>
        <w:numPr>
          <w:ilvl w:val="3"/>
          <w:numId w:val="1"/>
        </w:numPr>
        <w:rPr/>
      </w:pPr>
      <w:bookmarkStart w:id="129" w:name="__RefHeading___Toc3266134_2870459653"/>
      <w:bookmarkStart w:id="130" w:name="_Toc48"/>
      <w:bookmarkEnd w:id="129"/>
      <w:r>
        <w:rPr>
          <w:rtl w:val="true"/>
        </w:rPr>
        <w:t>التصوير الأوّل</w:t>
      </w:r>
      <w:bookmarkEnd w:id="130"/>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المقصود به ليس الأصل العملي كالاستصحاب ونحوه، بل القاعدة الثابتة بحكم العقل والنقل والإجماع، وهي عدم حلّ مال الغير إلّا بطيب نفسه إلّا ما أخرجه الدليل، أو قاعدة السلطنة، قال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تقريب الاستدلال بالأصل المذكور في المقام ما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ثبوت الشفعة خارج عن حكم الأصل؛ إذ حكم الأصل تسلّط المالك على ملكه، وانتفاء ولاية الغير عنه، والمالك ربّما نقل الملك إلى المشتري، فتسلّط الشفيع عليه خارج عن أحكام الأصول، فيثبت في موضع الإجماع، ويبقى الباقي على حكم المساواة للأصول</w:t>
      </w:r>
      <w:r>
        <w:rPr>
          <w:rFonts w:eastAsia="Amiri" w:cs="Amiri" w:ascii="Amiri" w:hAnsi="Amiri"/>
          <w:color w:val="111111"/>
          <w:sz w:val="28"/>
          <w:szCs w:val="28"/>
          <w:rtl w:val="true"/>
          <w:lang w:bidi="ar-SA"/>
        </w:rPr>
        <w:t>)</w:t>
      </w:r>
      <w:r>
        <w:rPr>
          <w:rStyle w:val="FootnoteAnchor"/>
          <w:rtl w:val="true"/>
        </w:rPr>
        <w:footnoteReference w:id="83"/>
      </w:r>
      <w:r>
        <w:rPr>
          <w:rFonts w:ascii="Amiri" w:hAnsi="Amiri" w:eastAsia="Amiri" w:cs="Amiri"/>
          <w:color w:val="111111"/>
          <w:sz w:val="28"/>
          <w:sz w:val="28"/>
          <w:szCs w:val="28"/>
          <w:rtl w:val="true"/>
          <w:lang w:bidi="ar-SA"/>
        </w:rPr>
        <w:t xml:space="preserve">، وقال المحقّق 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ودليله </w:t>
      </w:r>
      <w:bookmarkStart w:id="131" w:name="pg9142_80585"/>
    </w:p>
    <w:p>
      <w:pPr>
        <w:pStyle w:val="BookText"/>
        <w:rPr/>
      </w:pPr>
      <w:bookmarkEnd w:id="131"/>
      <w:r>
        <w:rPr>
          <w:rFonts w:ascii="Amiri" w:hAnsi="Amiri" w:eastAsia="Amiri" w:cs="Amiri"/>
          <w:color w:val="111111"/>
          <w:sz w:val="28"/>
          <w:sz w:val="28"/>
          <w:szCs w:val="28"/>
          <w:rtl w:val="true"/>
          <w:lang w:bidi="ar-SA"/>
        </w:rPr>
        <w:t>الأصل المقرّر عقلاً ونقلاً من الكتاب والسنّة والإجماع، وهو عدم جواز التصرّف في مال أحدٍ بوجه إلّا بطيب نفسٍ منه ورضاه إلّا ما أخرجه الدليل، وقد ثبت جواز إخراج المشفوع من يد المشتري مع الشريكين فقط بالإجماع، وبقي الباقي تحت المنع</w:t>
      </w:r>
      <w:r>
        <w:rPr>
          <w:rFonts w:eastAsia="Amiri" w:cs="Amiri" w:ascii="Amiri" w:hAnsi="Amiri"/>
          <w:color w:val="111111"/>
          <w:sz w:val="28"/>
          <w:szCs w:val="28"/>
          <w:rtl w:val="true"/>
          <w:lang w:bidi="ar-SA"/>
        </w:rPr>
        <w:t>)</w:t>
      </w:r>
      <w:r>
        <w:rPr>
          <w:rStyle w:val="FootnoteAnchor"/>
          <w:rtl w:val="true"/>
        </w:rPr>
        <w:footnoteReference w:id="84"/>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وقال في الحدائق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الأصل بمقتضى الأدلّة العقلية والنقلية كتاباً وسنّة والإجماع هو عدم جواز الشفعة التي هي عبارة عن التصرّف في مال الغير بغير إذنه، فيتوقّف الخروج عن هذا الأصل الأصيل على دليل واضح صريح صحيح في جواز الشفعة، والذي دلّت عليه الأخبار المعتمدة بصريحها هو التخصيص بصورة ما إذا كانا اثنين خاصّة</w:t>
      </w:r>
      <w:r>
        <w:rPr>
          <w:rFonts w:eastAsia="Amiri" w:cs="Amiri" w:ascii="Amiri" w:hAnsi="Amiri"/>
          <w:color w:val="111111"/>
          <w:sz w:val="28"/>
          <w:szCs w:val="28"/>
          <w:rtl w:val="true"/>
          <w:lang w:bidi="ar-SA"/>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2" w:name="__RefHeading___Toc3266136_2870459653"/>
      <w:bookmarkStart w:id="133" w:name="_Toc49"/>
      <w:bookmarkEnd w:id="132"/>
      <w:r>
        <w:rPr>
          <w:rtl w:val="true"/>
        </w:rPr>
        <w:t>التصوير الآخر</w:t>
      </w:r>
      <w:bookmarkEnd w:id="133"/>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المراد به الأصل العملي، وقد يظهر هذا التصوير من السيّد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حقّ الشفعة حكم شرعي والأصل انتفاؤه، وإنّما أوجبناه بين الشريكين لإجماع الأمّة، فانتقلنا بهذا الإجماع عن حكم الأصل، ولم ينقلنا في ما زاد على الاثنين ناقل، فيجب أن نكون في ذلك على حكم الأصل</w:t>
      </w:r>
      <w:r>
        <w:rPr>
          <w:rFonts w:eastAsia="Amiri" w:cs="Amiri" w:ascii="Amiri" w:hAnsi="Amiri"/>
          <w:color w:val="111111"/>
          <w:sz w:val="28"/>
          <w:szCs w:val="28"/>
          <w:rtl w:val="true"/>
          <w:lang w:bidi="ar-SA"/>
        </w:rPr>
        <w:t>)</w:t>
      </w:r>
      <w:r>
        <w:rPr>
          <w:rStyle w:val="FootnoteAnchor"/>
          <w:rtl w:val="true"/>
        </w:rPr>
        <w:footnoteReference w:id="86"/>
      </w:r>
      <w:r>
        <w:rPr>
          <w:rFonts w:ascii="Amiri" w:hAnsi="Amiri" w:eastAsia="Amiri" w:cs="Amiri"/>
          <w:color w:val="111111"/>
          <w:sz w:val="28"/>
          <w:sz w:val="28"/>
          <w:szCs w:val="28"/>
          <w:rtl w:val="true"/>
          <w:lang w:bidi="ar-SA"/>
        </w:rPr>
        <w:t>، وكلامه ظاهر في إرادة الأصل العملي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العلّامة في التذكرة،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الأصل عدم الشفعة، أثبتناها في الاثنين؛ دفعاً لضرورة الشركة، وهذا المعنى منتفٍ في حقّ الزائد على الاثنين، فيبقى على أصالة العدم</w:t>
      </w:r>
      <w:r>
        <w:rPr>
          <w:rFonts w:eastAsia="Amiri" w:cs="Amiri" w:ascii="Amiri" w:hAnsi="Amiri"/>
          <w:color w:val="111111"/>
          <w:sz w:val="28"/>
          <w:szCs w:val="28"/>
          <w:rtl w:val="true"/>
          <w:lang w:bidi="ar-SA"/>
        </w:rPr>
        <w:t>)</w:t>
      </w:r>
      <w:r>
        <w:rPr>
          <w:rStyle w:val="FootnoteAnchor"/>
          <w:rtl w:val="true"/>
        </w:rPr>
        <w:footnoteReference w:id="87"/>
      </w:r>
      <w:r>
        <w:rPr>
          <w:rFonts w:ascii="Amiri" w:hAnsi="Amiri" w:eastAsia="Amiri" w:cs="Amiri"/>
          <w:color w:val="111111"/>
          <w:sz w:val="28"/>
          <w:sz w:val="28"/>
          <w:szCs w:val="28"/>
          <w:rtl w:val="true"/>
          <w:lang w:bidi="ar-SA"/>
        </w:rPr>
        <w:t xml:space="preserve">، فحقّ الشفعة لمّا كان حكماً شرعياً فإذا شككنا </w:t>
      </w:r>
    </w:p>
    <w:p>
      <w:pPr>
        <w:pStyle w:val="BookText"/>
        <w:rPr/>
      </w:pPr>
      <w:r>
        <w:rPr>
          <w:rFonts w:ascii="Amiri" w:hAnsi="Amiri" w:eastAsia="Amiri" w:cs="Amiri"/>
          <w:color w:val="111111"/>
          <w:sz w:val="28"/>
          <w:sz w:val="28"/>
          <w:szCs w:val="28"/>
          <w:rtl w:val="true"/>
          <w:lang w:bidi="ar-SA"/>
        </w:rPr>
        <w:t>في موردٍ بثبوته يكون الأصل عدمه</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صرّح في مفتاح الكرامة بالأصلين معاً،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الأُصول المقرّرة والضوابط المسلّمة أنّه لا يجوز التسلّط على مال المسلم إلّا برضاه وطيب نفسه، مضافاً إلى أنّ الأصل أيضاً براءة ذمّة المشتري من وجوب دفع ما اشتراه إلى الشريك، والأصل إباحة تصرّفه فيه</w:t>
      </w:r>
      <w:r>
        <w:rPr>
          <w:rFonts w:eastAsia="Amiri" w:cs="Amiri" w:ascii="Amiri" w:hAnsi="Amiri"/>
          <w:color w:val="111111"/>
          <w:sz w:val="28"/>
          <w:szCs w:val="28"/>
          <w:rtl w:val="true"/>
          <w:lang w:bidi="ar-SA"/>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 xml:space="preserve">. </w:t>
      </w:r>
      <w:bookmarkStart w:id="134" w:name="pg9142_80587"/>
    </w:p>
    <w:p>
      <w:pPr>
        <w:pStyle w:val="Heading3"/>
        <w:numPr>
          <w:ilvl w:val="2"/>
          <w:numId w:val="1"/>
        </w:numPr>
        <w:rPr/>
      </w:pPr>
      <w:bookmarkStart w:id="135" w:name="__RefHeading___Toc3266138_2870459653"/>
      <w:bookmarkStart w:id="136" w:name="_Toc50"/>
      <w:bookmarkEnd w:id="134"/>
      <w:bookmarkEnd w:id="135"/>
      <w:r>
        <w:rPr>
          <w:rtl w:val="true"/>
        </w:rPr>
        <w:t>المقام الثالث</w:t>
      </w:r>
      <w:r>
        <w:rPr>
          <w:rtl w:val="true"/>
        </w:rPr>
        <w:t xml:space="preserve">: </w:t>
      </w:r>
      <w:r>
        <w:rPr>
          <w:rtl w:val="true"/>
        </w:rPr>
        <w:t>أدلّة الأقوال</w:t>
      </w:r>
      <w:bookmarkEnd w:id="136"/>
    </w:p>
    <w:p>
      <w:pPr>
        <w:pStyle w:val="Heading4"/>
        <w:numPr>
          <w:ilvl w:val="3"/>
          <w:numId w:val="1"/>
        </w:numPr>
        <w:rPr/>
      </w:pPr>
      <w:bookmarkStart w:id="137" w:name="__RefHeading___Toc3266140_2870459653"/>
      <w:bookmarkStart w:id="138" w:name="_Toc51"/>
      <w:bookmarkEnd w:id="137"/>
      <w:r>
        <w:rPr/>
        <w:t>1</w:t>
      </w:r>
      <w:r>
        <w:rPr>
          <w:rtl w:val="true"/>
        </w:rPr>
        <w:t xml:space="preserve">- </w:t>
      </w:r>
      <w:r>
        <w:rPr>
          <w:rtl w:val="true"/>
        </w:rPr>
        <w:t>ما يستدلّ به للقول الأوّل المشهور المانع من الشفعة فيما زاد على الاثنين</w:t>
      </w:r>
      <w:bookmarkEnd w:id="138"/>
    </w:p>
    <w:p>
      <w:pPr>
        <w:pStyle w:val="Heading5"/>
        <w:numPr>
          <w:ilvl w:val="4"/>
          <w:numId w:val="1"/>
        </w:numPr>
        <w:rPr/>
      </w:pPr>
      <w:bookmarkStart w:id="139" w:name="__RefHeading___Toc3266142_2870459653"/>
      <w:bookmarkStart w:id="140" w:name="_Toc52"/>
      <w:bookmarkEnd w:id="139"/>
      <w:r>
        <w:rPr>
          <w:rtl w:val="true"/>
        </w:rPr>
        <w:t>اشارة</w:t>
      </w:r>
      <w:bookmarkEnd w:id="140"/>
    </w:p>
    <w:p>
      <w:pPr>
        <w:pStyle w:val="BookText"/>
        <w:rPr/>
      </w:pPr>
      <w:r>
        <w:rPr>
          <w:rFonts w:ascii="Amiri" w:hAnsi="Amiri" w:eastAsia="Amiri" w:cs="Amiri"/>
          <w:color w:val="111111"/>
          <w:sz w:val="28"/>
          <w:sz w:val="28"/>
          <w:szCs w:val="28"/>
          <w:rtl w:val="true"/>
          <w:lang w:bidi="ar-SA"/>
        </w:rPr>
        <w:t>والمذكور في كلماتهم دليلان</w:t>
      </w:r>
      <w:r>
        <w:rPr>
          <w:rFonts w:eastAsia="Amiri" w:cs="Amiri" w:ascii="Amiri" w:hAnsi="Amiri"/>
          <w:color w:val="111111"/>
          <w:sz w:val="28"/>
          <w:szCs w:val="28"/>
          <w:rtl w:val="true"/>
          <w:lang w:bidi="ar-SA"/>
        </w:rPr>
        <w:t>:</w:t>
      </w:r>
    </w:p>
    <w:p>
      <w:pPr>
        <w:pStyle w:val="Heading5"/>
        <w:numPr>
          <w:ilvl w:val="4"/>
          <w:numId w:val="1"/>
        </w:numPr>
        <w:rPr/>
      </w:pPr>
      <w:bookmarkStart w:id="141" w:name="__RefHeading___Toc3266144_2870459653"/>
      <w:bookmarkStart w:id="142" w:name="_Toc53"/>
      <w:bookmarkEnd w:id="141"/>
      <w:r>
        <w:rPr>
          <w:rtl w:val="true"/>
        </w:rPr>
        <w:t>الدليل الأوّل</w:t>
      </w:r>
      <w:bookmarkEnd w:id="142"/>
    </w:p>
    <w:p>
      <w:pPr>
        <w:pStyle w:val="BookText"/>
        <w:rPr/>
      </w:pPr>
      <w:r>
        <w:rPr>
          <w:rFonts w:ascii="Amiri" w:hAnsi="Amiri" w:eastAsia="Amiri" w:cs="Amiri"/>
          <w:color w:val="111111"/>
          <w:sz w:val="28"/>
          <w:sz w:val="28"/>
          <w:szCs w:val="28"/>
          <w:rtl w:val="true"/>
          <w:lang w:bidi="ar-SA"/>
        </w:rPr>
        <w:t>ما استدلّ به في الجواهر</w:t>
      </w:r>
      <w:r>
        <w:rPr>
          <w:rStyle w:val="FootnoteAnchor"/>
          <w:rtl w:val="true"/>
        </w:rPr>
        <w:footnoteReference w:id="89"/>
      </w:r>
    </w:p>
    <w:p>
      <w:pPr>
        <w:pStyle w:val="BookText"/>
        <w:rPr/>
      </w:pPr>
      <w:r>
        <w:rPr>
          <w:rFonts w:ascii="Amiri" w:hAnsi="Amiri" w:eastAsia="Amiri" w:cs="Amiri"/>
          <w:color w:val="111111"/>
          <w:sz w:val="28"/>
          <w:sz w:val="28"/>
          <w:szCs w:val="28"/>
          <w:rtl w:val="true"/>
          <w:lang w:bidi="ar-SA"/>
        </w:rPr>
        <w:t>من الإجماع المدّعى من قبل السيّد المرتضى، كما مرّ النقل عنه، وكذا ابن إدريس</w:t>
      </w:r>
      <w:r>
        <w:rPr>
          <w:rStyle w:val="FootnoteAnchor"/>
          <w:rtl w:val="true"/>
        </w:rPr>
        <w:footnoteReference w:id="90"/>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وابن زهرة</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قد يقال من أنّ الإجماع في المقام غير متحقّق؛ لما مرّ من مخالفة ابن الجنيد والصدوق على ما يظهر منه في الهداية وما صرّح به في الفقيه، ويظهر من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الخلاف أنّ المسألة مختلف فيها،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الشريك واحداً فلا خلاف في ثبوت الشفعة، وإذا كانوا أكثر من ذلك فلا دليل على ثبوت الشفعة لهم، وأخبار أصحابنا التي يعتمدونها ذكرناها في الكتاب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ونصرة القول الآخر أخبار رويت في هذا المعنى، والأقوى عندي الأوّل</w:t>
      </w:r>
      <w:r>
        <w:rPr>
          <w:rFonts w:eastAsia="Amiri" w:cs="Amiri" w:ascii="Amiri" w:hAnsi="Amiri"/>
          <w:color w:val="111111"/>
          <w:sz w:val="28"/>
          <w:szCs w:val="28"/>
          <w:rtl w:val="true"/>
          <w:lang w:bidi="ar-SA"/>
        </w:rPr>
        <w:t>)</w:t>
      </w:r>
      <w:r>
        <w:rPr>
          <w:rStyle w:val="FootnoteAnchor"/>
          <w:rtl w:val="true"/>
        </w:rPr>
        <w:footnoteReference w:id="92"/>
      </w:r>
      <w:r>
        <w:rPr>
          <w:rFonts w:ascii="Amiri" w:hAnsi="Amiri" w:eastAsia="Amiri" w:cs="Amiri"/>
          <w:color w:val="111111"/>
          <w:sz w:val="28"/>
          <w:sz w:val="28"/>
          <w:szCs w:val="28"/>
          <w:rtl w:val="true"/>
          <w:lang w:bidi="ar-SA"/>
        </w:rPr>
        <w:t xml:space="preserve">، ولعلّه لذلك خطّأ </w:t>
      </w:r>
      <w:bookmarkStart w:id="143" w:name="pg9142_80588"/>
    </w:p>
    <w:p>
      <w:pPr>
        <w:pStyle w:val="BookText"/>
        <w:rPr/>
      </w:pPr>
      <w:bookmarkEnd w:id="143"/>
      <w:r>
        <w:rPr>
          <w:rFonts w:ascii="Amiri" w:hAnsi="Amiri" w:eastAsia="Amiri" w:cs="Amiri"/>
          <w:color w:val="111111"/>
          <w:sz w:val="28"/>
          <w:sz w:val="28"/>
          <w:szCs w:val="28"/>
          <w:rtl w:val="true"/>
          <w:lang w:bidi="ar-SA"/>
        </w:rPr>
        <w:t>العلّامة في المختلف ابن إدريس في دعواه الإجماع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وادّعاء ابن إدريس الإجماع على سقوطها مع الكثرة خطأ</w:t>
      </w:r>
      <w:r>
        <w:rPr>
          <w:rFonts w:eastAsia="Amiri" w:cs="Amiri" w:ascii="Amiri" w:hAnsi="Amiri"/>
          <w:color w:val="111111"/>
          <w:sz w:val="28"/>
          <w:szCs w:val="28"/>
          <w:rtl w:val="true"/>
          <w:lang w:bidi="ar-SA"/>
        </w:rPr>
        <w:t>)</w:t>
      </w:r>
      <w:r>
        <w:rPr>
          <w:rStyle w:val="FootnoteAnchor"/>
          <w:rtl w:val="true"/>
        </w:rPr>
        <w:footnoteReference w:id="93"/>
      </w:r>
      <w:r>
        <w:rPr>
          <w:rFonts w:ascii="Amiri" w:hAnsi="Amiri" w:eastAsia="Amiri" w:cs="Amiri"/>
          <w:color w:val="111111"/>
          <w:sz w:val="28"/>
          <w:sz w:val="28"/>
          <w:szCs w:val="28"/>
          <w:rtl w:val="true"/>
          <w:lang w:bidi="ar-SA"/>
        </w:rPr>
        <w:t>، وتبعه في هذه التخطئة ولده في الإيضاح،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وأخطأ ابن إدريس هنا حيث ادّعى الإجماع على انتفاء الشفعة مع الكثرة</w:t>
      </w:r>
      <w:r>
        <w:rPr>
          <w:rFonts w:eastAsia="Amiri" w:cs="Amiri" w:ascii="Amiri" w:hAnsi="Amiri"/>
          <w:color w:val="111111"/>
          <w:sz w:val="28"/>
          <w:szCs w:val="28"/>
          <w:rtl w:val="true"/>
          <w:lang w:bidi="ar-SA"/>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الظاهر أنّه المشهور بين المتقدّمين، كما مرّ النقل عن غير واحد عند ذكر هذا القول، وكذا ذهب إليه أكثر المتأخّرين، كالفاضلين والشهيد والكركي والأردبيلي وغيرهم</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تسليم تحقّق الإجماع هنا صغروياً لكنّه لا يكون تعبّدياً؛ لاستناد المجمعين في المنع إلى الروايات الآتية الدالّة على المنع، فهو إجماع مدركي أو محتمل المدركية، فيسقط عن الاعتبار</w:t>
      </w:r>
      <w:r>
        <w:rPr>
          <w:rFonts w:eastAsia="Amiri" w:cs="Amiri" w:ascii="Amiri" w:hAnsi="Amiri"/>
          <w:color w:val="111111"/>
          <w:sz w:val="28"/>
          <w:szCs w:val="28"/>
          <w:rtl w:val="true"/>
          <w:lang w:bidi="ar-SA"/>
        </w:rPr>
        <w:t>.</w:t>
      </w:r>
    </w:p>
    <w:p>
      <w:pPr>
        <w:pStyle w:val="Heading5"/>
        <w:numPr>
          <w:ilvl w:val="4"/>
          <w:numId w:val="1"/>
        </w:numPr>
        <w:rPr/>
      </w:pPr>
      <w:bookmarkStart w:id="144" w:name="__RefHeading___Toc3266146_2870459653"/>
      <w:bookmarkStart w:id="145" w:name="_Toc54"/>
      <w:bookmarkEnd w:id="144"/>
      <w:r>
        <w:rPr>
          <w:rtl w:val="true"/>
        </w:rPr>
        <w:t>الدليل الآخر</w:t>
      </w:r>
      <w:bookmarkEnd w:id="14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وهو العمدة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 عديدة وصفها في الرياض بالمستفيضة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بعضها تامّ سنداً ودلالةً</w:t>
      </w:r>
      <w:r>
        <w:rPr>
          <w:rFonts w:eastAsia="Amiri" w:cs="Amiri" w:ascii="Amiri" w:hAnsi="Amiri"/>
          <w:color w:val="111111"/>
          <w:sz w:val="28"/>
          <w:szCs w:val="28"/>
          <w:rtl w:val="true"/>
          <w:lang w:bidi="ar-SA"/>
        </w:rPr>
        <w:t>.</w:t>
      </w:r>
    </w:p>
    <w:p>
      <w:pPr>
        <w:pStyle w:val="Heading5"/>
        <w:numPr>
          <w:ilvl w:val="4"/>
          <w:numId w:val="1"/>
        </w:numPr>
        <w:rPr/>
      </w:pPr>
      <w:bookmarkStart w:id="146" w:name="__RefHeading___Toc3266148_2870459653"/>
      <w:bookmarkStart w:id="147" w:name="_Toc55"/>
      <w:bookmarkEnd w:id="146"/>
      <w:r>
        <w:rPr>
          <w:rtl w:val="true"/>
        </w:rPr>
        <w:t>الرواية الأولى</w:t>
      </w:r>
      <w:bookmarkEnd w:id="147"/>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صحيحة عبد الله بن سنان،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تكون الشفعة إلّا لشريكين ما لم يتقاسما فإذا صاروا ثلاثة فليس لواحد منهم شفعة</w:t>
      </w:r>
      <w:r>
        <w:rPr>
          <w:rFonts w:eastAsia="IRNazanin" w:cs="IRNazanin"/>
          <w:color w:val="111111"/>
          <w:sz w:val="28"/>
          <w:szCs w:val="28"/>
          <w:rtl w:val="true"/>
          <w:lang w:bidi="fa-IR"/>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وسندها كالتالي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إبراهيم، عن محمّد بن عيسى بن عبيد، عن يونس بن عبد الرحمن، عن عبد الله بن سنان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بعض نسخ الكافي وقعت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علي بن إبراهيم ومحمّد بن عيسى</w:t>
      </w:r>
      <w:r>
        <w:rPr>
          <w:rStyle w:val="FootnoteAnchor"/>
          <w:rtl w:val="true"/>
        </w:rPr>
        <w:footnoteReference w:id="97"/>
      </w:r>
      <w:r>
        <w:rPr>
          <w:rFonts w:ascii="Amiri" w:hAnsi="Amiri" w:eastAsia="Amiri" w:cs="Amiri"/>
          <w:color w:val="111111"/>
          <w:sz w:val="28"/>
          <w:sz w:val="28"/>
          <w:szCs w:val="28"/>
          <w:rtl w:val="true"/>
          <w:lang w:bidi="ar-SA"/>
        </w:rPr>
        <w:t xml:space="preserve">، وهذا لا يضرّ بالسند على كلّ تقدير وإن بنى بعضٌ على وجود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أبيه</w:t>
      </w:r>
      <w:r>
        <w:rPr>
          <w:rFonts w:eastAsia="Amiri" w:cs="Amiri" w:ascii="Amiri" w:hAnsi="Amiri"/>
          <w:color w:val="111111"/>
          <w:sz w:val="28"/>
          <w:szCs w:val="28"/>
          <w:rtl w:val="true"/>
          <w:lang w:bidi="ar-SA"/>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وربّما ناقش البعضُ في سندها؛ من جهة ضعف محمّد بن عيسى بن عبيد</w:t>
      </w:r>
      <w:r>
        <w:rPr>
          <w:rStyle w:val="FootnoteAnchor"/>
          <w:rtl w:val="true"/>
        </w:rPr>
        <w:footnoteReference w:id="99"/>
      </w:r>
      <w:r>
        <w:rPr>
          <w:rFonts w:ascii="Amiri" w:hAnsi="Amiri" w:eastAsia="Amiri" w:cs="Amiri"/>
          <w:color w:val="111111"/>
          <w:sz w:val="28"/>
          <w:sz w:val="28"/>
          <w:szCs w:val="28"/>
          <w:rtl w:val="true"/>
          <w:lang w:bidi="ar-SA"/>
        </w:rPr>
        <w:t>، أو من جهة عدم إمكان روايته عن يونس كما بنى على ذلك جملة من الأعلام، منهم الشهيد الثاني، حيث صرّح به في المسالك في عدّة موارد</w:t>
      </w:r>
      <w:r>
        <w:rPr>
          <w:rStyle w:val="FootnoteAnchor"/>
          <w:rtl w:val="true"/>
        </w:rPr>
        <w:footnoteReference w:id="100"/>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ولكنّه في محلّ الكلام عبّر عن الرواية بالصحيحة</w:t>
      </w:r>
      <w:r>
        <w:rPr>
          <w:rStyle w:val="FootnoteAnchor"/>
          <w:rtl w:val="true"/>
        </w:rPr>
        <w:footnoteReference w:id="101"/>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لذا قال المحقّق 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ينبغي أن يقول ذلك في شرح الشرائع؛ لأنّه يضعّف هذا السند كثيراً</w:t>
      </w:r>
      <w:r>
        <w:rPr>
          <w:rFonts w:eastAsia="Amiri" w:cs="Amiri" w:ascii="Amiri" w:hAnsi="Amiri"/>
          <w:color w:val="111111"/>
          <w:sz w:val="28"/>
          <w:szCs w:val="28"/>
          <w:rtl w:val="true"/>
          <w:lang w:bidi="ar-SA"/>
        </w:rPr>
        <w:t>)</w:t>
      </w:r>
      <w:r>
        <w:rPr>
          <w:rStyle w:val="FootnoteAnchor"/>
          <w:rtl w:val="true"/>
        </w:rPr>
        <w:footnoteReference w:id="102"/>
      </w:r>
      <w:r>
        <w:rPr>
          <w:rFonts w:ascii="Amiri" w:hAnsi="Amiri" w:eastAsia="Amiri" w:cs="Amiri"/>
          <w:color w:val="111111"/>
          <w:sz w:val="28"/>
          <w:sz w:val="28"/>
          <w:szCs w:val="28"/>
          <w:rtl w:val="true"/>
          <w:lang w:bidi="ar-SA"/>
        </w:rPr>
        <w:t>، وقال في الحدائق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وصفه هنا بالصحّة غفلة منه قدّس سرّه</w:t>
      </w:r>
      <w:r>
        <w:rPr>
          <w:rFonts w:eastAsia="Amiri" w:cs="Amiri" w:ascii="Amiri" w:hAnsi="Amiri"/>
          <w:color w:val="111111"/>
          <w:sz w:val="28"/>
          <w:szCs w:val="28"/>
          <w:rtl w:val="true"/>
          <w:lang w:bidi="ar-SA"/>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المناقشة السندية في الرواية غير صحيحة عند جملة من الأعلام؛ حيث </w:t>
      </w:r>
      <w:bookmarkStart w:id="148" w:name="pg9142_80590"/>
    </w:p>
    <w:p>
      <w:pPr>
        <w:pStyle w:val="BookText"/>
        <w:rPr/>
      </w:pPr>
      <w:bookmarkEnd w:id="148"/>
      <w:r>
        <w:rPr>
          <w:rFonts w:ascii="Amiri" w:hAnsi="Amiri" w:eastAsia="Amiri" w:cs="Amiri"/>
          <w:color w:val="111111"/>
          <w:sz w:val="28"/>
          <w:sz w:val="28"/>
          <w:szCs w:val="28"/>
          <w:rtl w:val="true"/>
          <w:lang w:bidi="ar-SA"/>
        </w:rPr>
        <w:t>حكموا بوثاقة العبيدي، وبعدم المانع من روايته عن يونس بن عبد الرحمن</w:t>
      </w:r>
      <w:r>
        <w:rPr>
          <w:rStyle w:val="FootnoteAnchor"/>
          <w:rtl w:val="true"/>
        </w:rPr>
        <w:footnoteReference w:id="104"/>
      </w:r>
      <w:r>
        <w:rPr>
          <w:rFonts w:ascii="Amiri" w:hAnsi="Amiri" w:eastAsia="Amiri" w:cs="Amiri"/>
          <w:color w:val="111111"/>
          <w:sz w:val="28"/>
          <w:sz w:val="28"/>
          <w:szCs w:val="28"/>
          <w:rtl w:val="true"/>
          <w:lang w:bidi="ar-SA"/>
        </w:rPr>
        <w:t>، فتبقى الرواية تامّة سنداً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من حيث الدلالة فهي واضحة في المنع من الشفعة في صورة الزيادة؛ إذ هي تدلّ على ذلك بمفهوم الجملة الاستثنائية الواردة في صدرها، وبمنطوق الجملة الشرطية الواردة في ذيلها</w:t>
      </w:r>
      <w:r>
        <w:rPr>
          <w:rFonts w:eastAsia="Amiri" w:cs="Amiri" w:ascii="Amiri" w:hAnsi="Amiri"/>
          <w:color w:val="111111"/>
          <w:sz w:val="28"/>
          <w:szCs w:val="28"/>
          <w:rtl w:val="true"/>
          <w:lang w:bidi="ar-SA"/>
        </w:rPr>
        <w:t>.</w:t>
      </w:r>
    </w:p>
    <w:p>
      <w:pPr>
        <w:pStyle w:val="Heading5"/>
        <w:numPr>
          <w:ilvl w:val="4"/>
          <w:numId w:val="1"/>
        </w:numPr>
        <w:rPr/>
      </w:pPr>
      <w:bookmarkStart w:id="149" w:name="__RefHeading___Toc3266150_2870459653"/>
      <w:bookmarkStart w:id="150" w:name="_Toc56"/>
      <w:bookmarkEnd w:id="149"/>
      <w:r>
        <w:rPr>
          <w:rtl w:val="true"/>
        </w:rPr>
        <w:t>الرواية الثانية</w:t>
      </w:r>
      <w:bookmarkEnd w:id="150"/>
    </w:p>
    <w:p>
      <w:pPr>
        <w:pStyle w:val="BookText"/>
        <w:rPr/>
      </w:pPr>
      <w:r>
        <w:rPr>
          <w:rFonts w:ascii="IRNazanin" w:hAnsi="IRNazanin" w:eastAsia="IRNazanin"/>
          <w:color w:val="111111"/>
          <w:sz w:val="28"/>
          <w:sz w:val="28"/>
          <w:szCs w:val="28"/>
          <w:rtl w:val="true"/>
          <w:lang w:bidi="fa-IR"/>
        </w:rPr>
        <w:t xml:space="preserve">صحيحة الحلبي،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أنّه قال في المملوك يكون بين شركاء، فيبيع أحدهم نصيبه، فيقول 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أحقّ به، أله ذلك؟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إذا كان واحداً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الحيوان شفعة؟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ومقتضى مفهوم الشرط فيها عدم ثبوت الشفعة فيما زاد الشركاء على الاثنين، أو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الرواية بمقتضى مفهوم الشرط على عدم كون الشريك حينئذٍ أحقّ مع التعدّد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ذيلها دالّ على عدم الشفعة في الحيوان أصلاً، وهذا معارض في مورده بروايات أُخر دالّة على الثبوت فيه، ولكنّه أمر آخر مرتبط بالأمور التي تثبت فيها الشفعة، فهل تثبت بشكل مطلق أو هناك أمور معيّنة لا تثبت فيها؟ 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أجنبي عن محلّ الكلام</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مورد الرواية خصوص العبد، فهي دالّة على عدم ثبوت الشفعة فيه </w:t>
      </w:r>
    </w:p>
    <w:p>
      <w:pPr>
        <w:pStyle w:val="BookText"/>
        <w:rPr/>
      </w:pPr>
      <w:r>
        <w:rPr>
          <w:rFonts w:ascii="Amiri" w:hAnsi="Amiri" w:eastAsia="Amiri" w:cs="Amiri"/>
          <w:color w:val="111111"/>
          <w:sz w:val="28"/>
          <w:sz w:val="28"/>
          <w:szCs w:val="28"/>
          <w:rtl w:val="true"/>
          <w:lang w:bidi="ar-SA"/>
        </w:rPr>
        <w:t>إذا زاد الشركاء على الاثنين، ولا إطلاق لها فيما عداه، فهي تنفع مذهب المشهور في الجملة، ومن هنا قال المحقّق السبزواري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والوجه أنّ الشفعة لا تثبت في العبد إلّا مع وحدة الشريك؛ لصحيحة الحلبي، وحسنته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في غير العبد فالحكم لا يخلو من إشكال</w:t>
      </w:r>
      <w:r>
        <w:rPr>
          <w:rFonts w:eastAsia="Amiri" w:cs="Amiri" w:ascii="Amiri" w:hAnsi="Amiri"/>
          <w:color w:val="111111"/>
          <w:sz w:val="28"/>
          <w:szCs w:val="28"/>
          <w:rtl w:val="true"/>
          <w:lang w:bidi="ar-SA"/>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يقال بإلغاء الخصوصية،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دلالة في الرواية على أنّ موردها خصوص العبد؛ فإنّها عبّرت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عامّ، يشمل كل ما يُملك، وقد أشار إلى هذا المحقّق الأردبيلي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ويمكن أن يقال المملوك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المملوك ليس بصريح في العبد والأمة</w:t>
      </w:r>
      <w:r>
        <w:rPr>
          <w:rFonts w:eastAsia="Amiri" w:cs="Amiri" w:ascii="Amiri" w:hAnsi="Amiri"/>
          <w:color w:val="111111"/>
          <w:sz w:val="28"/>
          <w:szCs w:val="28"/>
          <w:rtl w:val="true"/>
          <w:lang w:bidi="ar-SA"/>
        </w:rPr>
        <w:t>)</w:t>
      </w:r>
      <w:r>
        <w:rPr>
          <w:rStyle w:val="FootnoteAnchor"/>
          <w:rtl w:val="true"/>
        </w:rPr>
        <w:footnoteReference w:id="107"/>
      </w:r>
      <w:r>
        <w:rPr>
          <w:rFonts w:ascii="Amiri" w:hAnsi="Amiri" w:eastAsia="Amiri" w:cs="Amiri"/>
          <w:color w:val="111111"/>
          <w:sz w:val="28"/>
          <w:sz w:val="28"/>
          <w:szCs w:val="28"/>
          <w:rtl w:val="true"/>
          <w:lang w:bidi="ar-SA"/>
        </w:rPr>
        <w:t>، ومثله في مفتاح الكرامة</w:t>
      </w:r>
      <w:r>
        <w:rPr>
          <w:rStyle w:val="FootnoteAnchor"/>
          <w:rtl w:val="true"/>
        </w:rPr>
        <w:footnoteReference w:id="108"/>
      </w:r>
      <w:r>
        <w:rPr>
          <w:rFonts w:ascii="Amiri" w:hAnsi="Amiri" w:eastAsia="Amiri" w:cs="Amiri"/>
          <w:color w:val="111111"/>
          <w:sz w:val="28"/>
          <w:sz w:val="28"/>
          <w:szCs w:val="28"/>
          <w:rtl w:val="true"/>
          <w:lang w:bidi="ar-SA"/>
        </w:rPr>
        <w:t>، وقال المحقّق العراقي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إنّه قد يتوهم في ما يشتمل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نصوص الباب أنّ المراد منه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ما فيه من منع اختصاص المملوك في النصوص السابقة في العبد، بل هو أعمّ منه ومن غيره، ولذا جعلناه دليلاً لمختار المصنّف، فتأمّل</w:t>
      </w:r>
      <w:r>
        <w:rPr>
          <w:rFonts w:eastAsia="Amiri" w:cs="Amiri" w:ascii="Amiri" w:hAnsi="Amiri"/>
          <w:color w:val="111111"/>
          <w:sz w:val="28"/>
          <w:szCs w:val="28"/>
          <w:rtl w:val="true"/>
          <w:lang w:bidi="ar-SA"/>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وجه تأمّله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ذيل الرواية يضعّف أن يكون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يملك؛ إذ لو كان هذا هو مقصود السائل في سؤاله لما بقي وجه لسؤاله عن </w:t>
      </w:r>
      <w:bookmarkStart w:id="151" w:name="pg9142_80592"/>
    </w:p>
    <w:p>
      <w:pPr>
        <w:pStyle w:val="BookText"/>
        <w:rPr/>
      </w:pPr>
      <w:bookmarkEnd w:id="151"/>
      <w:r>
        <w:rPr>
          <w:rFonts w:ascii="IRNazanin" w:hAnsi="IRNazanin" w:eastAsia="IRNazanin"/>
          <w:color w:val="111111"/>
          <w:sz w:val="28"/>
          <w:sz w:val="28"/>
          <w:szCs w:val="28"/>
          <w:rtl w:val="true"/>
          <w:lang w:bidi="fa-IR"/>
        </w:rPr>
        <w:t xml:space="preserve">الشفعة في الحيوان؛ لأنّه داخل في سؤاله الذي أجابه عنه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إلّا أن يقال بوجود شبهة آنذاك في خصوص الحيوان جعلته يفرده بالسؤال، ولعلّ ما يشير إلى ذلك وجود بعض الروايات المانعة عن أصل الشفعة في الحيوان،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عند تتبّع موارد استعمال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الروايات وجدتُ مئات الروايات في أبواب مختلفة يستعمل فيها بدون قيد ويراد به العبد</w:t>
      </w:r>
      <w:r>
        <w:rPr>
          <w:rStyle w:val="FootnoteAnchor"/>
          <w:rtl w:val="true"/>
        </w:rPr>
        <w:footnoteReference w:id="110"/>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ولم أجد مورداً واحداً قد استعمل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يُملك كالدار والطريق ونحوهما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يطلق على غير العبد في الروايات ولكن مع التقييد،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مملوك أو دار مملوكة</w:t>
      </w:r>
      <w:r>
        <w:rPr>
          <w:rFonts w:eastAsia="Amiri" w:cs="Amiri" w:ascii="Amiri" w:hAnsi="Amiri"/>
          <w:color w:val="111111"/>
          <w:sz w:val="28"/>
          <w:szCs w:val="28"/>
          <w:rtl w:val="true"/>
          <w:lang w:bidi="ar-SA"/>
        </w:rPr>
        <w:t>.</w:t>
      </w:r>
    </w:p>
    <w:p>
      <w:pPr>
        <w:pStyle w:val="Heading5"/>
        <w:numPr>
          <w:ilvl w:val="4"/>
          <w:numId w:val="1"/>
        </w:numPr>
        <w:rPr/>
      </w:pPr>
      <w:bookmarkStart w:id="152" w:name="__RefHeading___Toc3266152_2870459653"/>
      <w:bookmarkStart w:id="153" w:name="_Toc57"/>
      <w:bookmarkEnd w:id="152"/>
      <w:r>
        <w:rPr>
          <w:rtl w:val="true"/>
        </w:rPr>
        <w:t>الرواية الثالثة</w:t>
      </w:r>
      <w:bookmarkEnd w:id="153"/>
    </w:p>
    <w:p>
      <w:pPr>
        <w:pStyle w:val="BookText"/>
        <w:rPr/>
      </w:pPr>
      <w:r>
        <w:rPr>
          <w:rFonts w:ascii="IRNazanin" w:hAnsi="IRNazanin" w:eastAsia="IRNazanin"/>
          <w:color w:val="111111"/>
          <w:sz w:val="28"/>
          <w:sz w:val="28"/>
          <w:szCs w:val="28"/>
          <w:rtl w:val="true"/>
          <w:lang w:bidi="fa-IR"/>
        </w:rPr>
        <w:t>موثّقة عبد 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المملوك يكون بين شركاء، فباع أحدهم نصيبه، فقال أحدهم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أحقّ به، أله ذلك؟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إذا كان واحداً</w:t>
      </w:r>
      <w:r>
        <w:rPr>
          <w:rFonts w:eastAsia="IRNazanin" w:cs="IRNazanin"/>
          <w:color w:val="111111"/>
          <w:sz w:val="28"/>
          <w:szCs w:val="28"/>
          <w:rtl w:val="true"/>
          <w:lang w:bidi="fa-IR"/>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والسند تامّ، أقصى ما فيه أنّ الحسن بن محمّد بن سماعة واقفيٌّ، بل من شيوخهم إلّا أنّه ثقة، كما نصّ عليه النجاشي</w:t>
      </w:r>
      <w:r>
        <w:rPr>
          <w:rStyle w:val="FootnoteAnchor"/>
          <w:rtl w:val="true"/>
        </w:rPr>
        <w:footnoteReference w:id="112"/>
      </w:r>
      <w:r>
        <w:rPr>
          <w:rFonts w:ascii="IRNazanin" w:hAnsi="IRNazanin" w:eastAsia="IRNazanin"/>
          <w:color w:val="111111"/>
          <w:sz w:val="28"/>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فتكون الرواية موثّقة، وللشيخ إليه في المشيخة </w:t>
      </w:r>
      <w:bookmarkStart w:id="154" w:name="pg9142_80593"/>
    </w:p>
    <w:p>
      <w:pPr>
        <w:pStyle w:val="BookText"/>
        <w:rPr/>
      </w:pPr>
      <w:bookmarkEnd w:id="154"/>
      <w:r>
        <w:rPr>
          <w:rFonts w:ascii="Amiri" w:hAnsi="Amiri" w:eastAsia="Amiri" w:cs="Amiri"/>
          <w:color w:val="111111"/>
          <w:sz w:val="28"/>
          <w:sz w:val="28"/>
          <w:szCs w:val="28"/>
          <w:rtl w:val="true"/>
          <w:lang w:bidi="ar-SA"/>
        </w:rPr>
        <w:t>طريقان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لا يخلو من كلام، ولكن الآخر تامّ</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رواها الشيخ في موضع آخر عن عبد الله بن سنان بإسناده عن الحسين بن سعيد، عن صفوان، عن عبد الله بن سنان، ومعه تكون الرواية صحيحة</w:t>
      </w:r>
      <w:r>
        <w:rPr>
          <w:rStyle w:val="FootnoteAnchor"/>
          <w:rtl w:val="true"/>
        </w:rPr>
        <w:footnoteReference w:id="114"/>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هذا كلّه من حيث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دلالتها على قول المشهور فالكلام فيها قريب من الكلام في الرواية الثانية، فلا نعيد</w:t>
      </w:r>
      <w:r>
        <w:rPr>
          <w:rFonts w:eastAsia="Amiri" w:cs="Amiri" w:ascii="Amiri" w:hAnsi="Amiri"/>
          <w:color w:val="111111"/>
          <w:sz w:val="28"/>
          <w:szCs w:val="28"/>
          <w:rtl w:val="true"/>
          <w:lang w:bidi="ar-SA"/>
        </w:rPr>
        <w:t>.</w:t>
      </w:r>
    </w:p>
    <w:p>
      <w:pPr>
        <w:pStyle w:val="Heading5"/>
        <w:numPr>
          <w:ilvl w:val="4"/>
          <w:numId w:val="1"/>
        </w:numPr>
        <w:rPr/>
      </w:pPr>
      <w:bookmarkStart w:id="155" w:name="__RefHeading___Toc3266154_2870459653"/>
      <w:bookmarkStart w:id="156" w:name="_Toc58"/>
      <w:bookmarkEnd w:id="155"/>
      <w:r>
        <w:rPr>
          <w:rtl w:val="true"/>
        </w:rPr>
        <w:t>الرواية الرابعة</w:t>
      </w:r>
      <w:bookmarkEnd w:id="156"/>
    </w:p>
    <w:p>
      <w:pPr>
        <w:pStyle w:val="BookText"/>
        <w:rPr/>
      </w:pPr>
      <w:r>
        <w:rPr>
          <w:rFonts w:ascii="IRNazanin" w:hAnsi="IRNazanin" w:eastAsia="IRNazanin"/>
          <w:color w:val="111111"/>
          <w:sz w:val="28"/>
          <w:sz w:val="28"/>
          <w:szCs w:val="28"/>
          <w:rtl w:val="true"/>
          <w:lang w:bidi="fa-IR"/>
        </w:rPr>
        <w:t xml:space="preserve">مرسلة يونس، عن بعض رجاله،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الشفعة لمن هي؟ وفي أيّ شيء هي؟ ولمن تصلح؟ وهل تكون في الحيوان شفعة؟ وكيف هي؟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الشفعة جائزة في كلّ شيء من حيوان أو أرض أو متاع، إذا كان الشيء بين شريكين لا غيرهما فباع أحدهما نصيبه فشريكه أحقّ به من غيره، وإن زاد على الاثنين فلا شفعة لأحدٍ منهم</w:t>
      </w:r>
      <w:r>
        <w:rPr>
          <w:rFonts w:eastAsia="IRNazanin" w:cs="IRNazanin"/>
          <w:color w:val="111111"/>
          <w:sz w:val="28"/>
          <w:szCs w:val="28"/>
          <w:rtl w:val="true"/>
          <w:lang w:bidi="fa-IR"/>
        </w:rPr>
        <w:t>)</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ورواها الصدوق أيضاً، ولكن ليس عن يونس، وإنّما أرسلها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مباشرة</w:t>
      </w:r>
      <w:r>
        <w:rPr>
          <w:rStyle w:val="FootnoteAnchor"/>
          <w:rtl w:val="true"/>
        </w:rPr>
        <w:footnoteReference w:id="116"/>
      </w:r>
      <w:r>
        <w:rPr>
          <w:rFonts w:ascii="Amiri" w:hAnsi="Amiri" w:eastAsia="Amiri" w:cs="Amiri"/>
          <w:color w:val="111111"/>
          <w:sz w:val="28"/>
          <w:sz w:val="28"/>
          <w:szCs w:val="28"/>
          <w:rtl w:val="true"/>
          <w:lang w:bidi="ar-SA"/>
        </w:rPr>
        <w:t>، والظاهر أنّها مرسلة يونس نفسها</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وهي واضحة الدلالة على قول المشهور من المنع عن الشفعة فيما إذا زاد الشريكان عن اثنين؛ فإنّ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زاد على الاثنين فلا شفعة لأحدٍ منهم</w:t>
      </w:r>
      <w:r>
        <w:rPr>
          <w:rFonts w:eastAsia="IRNazanin" w:cs="IRNazanin"/>
          <w:color w:val="111111"/>
          <w:sz w:val="28"/>
          <w:szCs w:val="28"/>
          <w:rtl w:val="true"/>
          <w:lang w:bidi="fa-IR"/>
        </w:rPr>
        <w:t xml:space="preserve">) </w:t>
      </w:r>
      <w:bookmarkStart w:id="157" w:name="pg9142_80594"/>
    </w:p>
    <w:p>
      <w:pPr>
        <w:pStyle w:val="BookText"/>
        <w:rPr/>
      </w:pPr>
      <w:bookmarkEnd w:id="157"/>
      <w:r>
        <w:rPr>
          <w:rFonts w:ascii="Amiri" w:hAnsi="Amiri" w:eastAsia="Amiri" w:cs="Amiri"/>
          <w:color w:val="111111"/>
          <w:sz w:val="28"/>
          <w:sz w:val="28"/>
          <w:szCs w:val="28"/>
          <w:rtl w:val="true"/>
          <w:lang w:bidi="ar-SA"/>
        </w:rPr>
        <w:t>صريح في ذلك، والشيخ الصدوق حمل المنع على خصوص الحيوان</w:t>
      </w:r>
      <w:r>
        <w:rPr>
          <w:rStyle w:val="FootnoteAnchor"/>
          <w:rtl w:val="true"/>
        </w:rPr>
        <w:footnoteReference w:id="117"/>
      </w:r>
      <w:r>
        <w:rPr>
          <w:rFonts w:ascii="Amiri" w:hAnsi="Amiri" w:eastAsia="Amiri" w:cs="Amiri"/>
          <w:color w:val="111111"/>
          <w:sz w:val="28"/>
          <w:sz w:val="28"/>
          <w:szCs w:val="28"/>
          <w:rtl w:val="true"/>
          <w:lang w:bidi="ar-SA"/>
        </w:rPr>
        <w:t xml:space="preserve">جمعاً بينها وبين ما دلّ على المنع في خصوص الحيوان، وما فعله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من شيء، كما سيأتي الحديث عنه مفصّلاً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الرواية لضعفها السندي بكلِّ طرقها لمكان الإرسال لا حاجة لإطالة الكلام فيها؛ إذ لا تصلح دليلاً، وإنّما تكون مؤيّدة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الروايات التي يستدلّ بها لقول المشهور</w:t>
      </w:r>
      <w:r>
        <w:rPr>
          <w:rFonts w:eastAsia="Amiri" w:cs="Amiri" w:ascii="Amiri" w:hAnsi="Amiri"/>
          <w:color w:val="111111"/>
          <w:sz w:val="28"/>
          <w:szCs w:val="28"/>
          <w:rtl w:val="true"/>
          <w:lang w:bidi="ar-SA"/>
        </w:rPr>
        <w:t>.</w:t>
      </w:r>
    </w:p>
    <w:p>
      <w:pPr>
        <w:pStyle w:val="Heading4"/>
        <w:numPr>
          <w:ilvl w:val="3"/>
          <w:numId w:val="1"/>
        </w:numPr>
        <w:rPr/>
      </w:pPr>
      <w:bookmarkStart w:id="158" w:name="__RefHeading___Toc3266156_2870459653"/>
      <w:bookmarkStart w:id="159" w:name="_Toc59"/>
      <w:bookmarkEnd w:id="158"/>
      <w:r>
        <w:rPr/>
        <w:t>2</w:t>
      </w:r>
      <w:r>
        <w:rPr>
          <w:rtl w:val="true"/>
        </w:rPr>
        <w:t xml:space="preserve">- </w:t>
      </w:r>
      <w:r>
        <w:rPr>
          <w:rtl w:val="true"/>
        </w:rPr>
        <w:t xml:space="preserve">ما يستدلّ به للقول الثاني </w:t>
      </w:r>
      <w:r>
        <w:rPr>
          <w:rtl w:val="true"/>
        </w:rPr>
        <w:t xml:space="preserve">- </w:t>
      </w:r>
      <w:r>
        <w:rPr>
          <w:rtl w:val="true"/>
        </w:rPr>
        <w:t>الذي ذهب إليه ابن الجنيد</w:t>
      </w:r>
      <w:bookmarkEnd w:id="159"/>
    </w:p>
    <w:p>
      <w:pPr>
        <w:pStyle w:val="Heading5"/>
        <w:numPr>
          <w:ilvl w:val="4"/>
          <w:numId w:val="1"/>
        </w:numPr>
        <w:rPr/>
      </w:pPr>
      <w:bookmarkStart w:id="160" w:name="__RefHeading___Toc3266158_2870459653"/>
      <w:bookmarkStart w:id="161" w:name="_Toc60"/>
      <w:bookmarkEnd w:id="160"/>
      <w:r>
        <w:rPr>
          <w:rtl w:val="true"/>
        </w:rPr>
        <w:t>اشارة</w:t>
      </w:r>
      <w:bookmarkEnd w:id="161"/>
    </w:p>
    <w:p>
      <w:pPr>
        <w:pStyle w:val="BookText"/>
        <w:rPr/>
      </w:pPr>
      <w:r>
        <w:rPr>
          <w:rFonts w:ascii="Amiri" w:hAnsi="Amiri" w:eastAsia="Amiri" w:cs="Amiri"/>
          <w:color w:val="111111"/>
          <w:sz w:val="28"/>
          <w:sz w:val="28"/>
          <w:szCs w:val="28"/>
          <w:rtl w:val="true"/>
          <w:lang w:bidi="ar-SA"/>
        </w:rPr>
        <w:t xml:space="preserve">وقوّاه العلّامة في المختلف، وهو ثبوت الشفعة مع الزيادة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مجموعة من الروايات وصفها صاحب الرياض أيضاً بالمستفيضة</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2" w:name="__RefHeading___Toc3266160_2870459653"/>
      <w:bookmarkStart w:id="163" w:name="_Toc61"/>
      <w:bookmarkEnd w:id="162"/>
      <w:r>
        <w:rPr>
          <w:rtl w:val="true"/>
        </w:rPr>
        <w:t>الرواية الأولى</w:t>
      </w:r>
      <w:bookmarkEnd w:id="163"/>
    </w:p>
    <w:p>
      <w:pPr>
        <w:pStyle w:val="BookText"/>
        <w:rPr/>
      </w:pPr>
      <w:r>
        <w:rPr>
          <w:rFonts w:ascii="IRNazanin" w:hAnsi="IRNazanin" w:eastAsia="IRNazanin"/>
          <w:color w:val="111111"/>
          <w:sz w:val="28"/>
          <w:sz w:val="28"/>
          <w:szCs w:val="28"/>
          <w:rtl w:val="true"/>
          <w:lang w:bidi="fa-IR"/>
        </w:rPr>
        <w:t>صحيحة منصور بن حازم،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دار فيها دور، وطريقهم واحد في عرصة الدار، فباع بعضهم منزله من رجل، هل لشركائه في الطريق أن يأخذوا بالشفعة؟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كان باع الدار وحوّل بابها إلى طريق غير ذلك فلا شفعة لهم، وإن باع الطريق مع الدار فلهم الشفعة</w:t>
      </w:r>
      <w:r>
        <w:rPr>
          <w:rFonts w:eastAsia="IRNazanin" w:cs="IRNazanin"/>
          <w:color w:val="111111"/>
          <w:sz w:val="28"/>
          <w:szCs w:val="28"/>
          <w:rtl w:val="true"/>
          <w:lang w:bidi="fa-IR"/>
        </w:rPr>
        <w:t>)</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حوّل الباب إلى طريق غير ذلك الطريق المشترك الذي في العرصة، بأن لم يكن البائع قد باع حقّه من الطريق المشترك مع داره، بل باع الدار فقط وفتح لها باباً </w:t>
      </w:r>
      <w:bookmarkStart w:id="164" w:name="pg9142_80595"/>
    </w:p>
    <w:p>
      <w:pPr>
        <w:pStyle w:val="BookText"/>
        <w:rPr/>
      </w:pPr>
      <w:bookmarkEnd w:id="164"/>
      <w:r>
        <w:rPr>
          <w:rFonts w:ascii="Amiri" w:hAnsi="Amiri" w:eastAsia="Amiri" w:cs="Amiri"/>
          <w:color w:val="111111"/>
          <w:sz w:val="28"/>
          <w:sz w:val="28"/>
          <w:szCs w:val="28"/>
          <w:rtl w:val="true"/>
          <w:lang w:bidi="ar-SA"/>
        </w:rPr>
        <w:t>إلى الطريق السالك، فلا شفعة حينئذٍ؛ لأنّ المبيع وهو الدار غير مشترك، وإن كان باع الدار مع الطريق المشتركة ثبتت الشفعة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الصحيحة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بعض الأعلام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صريحة في كون موردها تعدّد الدور، وتعدّد مالكيها المشتركين في الطريق، وزيادتهم على الاثنين</w:t>
      </w:r>
      <w:r>
        <w:rPr>
          <w:rStyle w:val="FootnoteAnchor"/>
          <w:rtl w:val="true"/>
        </w:rPr>
        <w:footnoteReference w:id="120"/>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وتدلّ على ثبوت الشفعة حينئذٍ، وسيأتي ما له دخل في دلالتها</w:t>
      </w:r>
      <w:r>
        <w:rPr>
          <w:rFonts w:eastAsia="Amiri" w:cs="Amiri" w:ascii="Amiri" w:hAnsi="Amiri"/>
          <w:color w:val="111111"/>
          <w:sz w:val="28"/>
          <w:szCs w:val="28"/>
          <w:rtl w:val="true"/>
          <w:lang w:bidi="ar-SA"/>
        </w:rPr>
        <w:t>.</w:t>
      </w:r>
    </w:p>
    <w:p>
      <w:pPr>
        <w:pStyle w:val="Heading5"/>
        <w:numPr>
          <w:ilvl w:val="4"/>
          <w:numId w:val="1"/>
        </w:numPr>
        <w:rPr/>
      </w:pPr>
      <w:bookmarkStart w:id="165" w:name="__RefHeading___Toc3266162_2870459653"/>
      <w:bookmarkStart w:id="166" w:name="_Toc62"/>
      <w:bookmarkEnd w:id="165"/>
      <w:r>
        <w:rPr>
          <w:rtl w:val="true"/>
        </w:rPr>
        <w:t>الرواية الثانية</w:t>
      </w:r>
      <w:bookmarkEnd w:id="166"/>
    </w:p>
    <w:p>
      <w:pPr>
        <w:pStyle w:val="Heading6"/>
        <w:numPr>
          <w:ilvl w:val="5"/>
          <w:numId w:val="1"/>
        </w:numPr>
        <w:rPr/>
      </w:pPr>
      <w:bookmarkStart w:id="167" w:name="__RefHeading___Toc3266164_2870459653"/>
      <w:bookmarkStart w:id="168" w:name="_Toc63"/>
      <w:bookmarkEnd w:id="167"/>
      <w:r>
        <w:rPr>
          <w:rtl w:val="true"/>
        </w:rPr>
        <w:t>اشارة</w:t>
      </w:r>
      <w:bookmarkEnd w:id="168"/>
    </w:p>
    <w:p>
      <w:pPr>
        <w:pStyle w:val="BookText"/>
        <w:rPr/>
      </w:pPr>
      <w:r>
        <w:rPr>
          <w:rFonts w:ascii="IRNazanin" w:hAnsi="IRNazanin" w:eastAsia="IRNazanin"/>
          <w:color w:val="111111"/>
          <w:sz w:val="28"/>
          <w:sz w:val="28"/>
          <w:szCs w:val="28"/>
          <w:rtl w:val="true"/>
          <w:lang w:bidi="fa-IR"/>
        </w:rPr>
        <w:t>رواية منصور بن حازم،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بين قوم اقتسموها، فأخذ كلُّ واحدٍ منهم قطعة، وبناها وتركوا بينهم ساحة فيها ممرّهم، فجاء رجل فاشترى نصيب بعضهم، أله ذلك؟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ولكن يسدّ بابه ويفتح باباً إلى الطريق، أو ينزل من فوق البيت ويسد بابه، فإن أراد صاحب الطريق بيعه فإنّهم أحقّ به، وإلّا فهو طريقه يجيئ حتّى يجلس على ذلك الباب</w:t>
      </w:r>
      <w:r>
        <w:rPr>
          <w:rFonts w:eastAsia="IRNazanin" w:cs="IRNazanin"/>
          <w:color w:val="111111"/>
          <w:sz w:val="28"/>
          <w:szCs w:val="28"/>
          <w:rtl w:val="true"/>
          <w:lang w:bidi="fa-IR"/>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طريقها الكاهلي</w:t>
      </w:r>
      <w:r>
        <w:rPr>
          <w:rStyle w:val="FootnoteAnchor"/>
          <w:rtl w:val="true"/>
        </w:rPr>
        <w:footnoteReference w:id="122"/>
      </w:r>
      <w:r>
        <w:rPr>
          <w:rFonts w:ascii="IRNazanin" w:hAnsi="IRNazanin" w:eastAsia="IRNazanin"/>
          <w:color w:val="111111"/>
          <w:sz w:val="28"/>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عبد الله بن يحيى الكاهلي؛ لرواية علي بن الحكم عنه بعنوان عبد الله بن يحيى الكاهلي في عدّة موارد</w:t>
      </w:r>
      <w:r>
        <w:rPr>
          <w:rStyle w:val="FootnoteAnchor"/>
          <w:rtl w:val="true"/>
        </w:rPr>
        <w:footnoteReference w:id="123"/>
      </w:r>
      <w:r>
        <w:rPr>
          <w:rFonts w:ascii="Amiri" w:hAnsi="Amiri" w:eastAsia="Amiri" w:cs="Amiri"/>
          <w:color w:val="111111"/>
          <w:sz w:val="28"/>
          <w:sz w:val="28"/>
          <w:szCs w:val="28"/>
          <w:rtl w:val="true"/>
          <w:lang w:bidi="ar-SA"/>
        </w:rPr>
        <w:t xml:space="preserve">، بل نفس هذا السند ذكره </w:t>
      </w:r>
    </w:p>
    <w:p>
      <w:pPr>
        <w:pStyle w:val="BookText"/>
        <w:rPr/>
      </w:pPr>
      <w:r>
        <w:rPr>
          <w:rFonts w:ascii="Amiri" w:hAnsi="Amiri" w:eastAsia="Amiri" w:cs="Amiri"/>
          <w:color w:val="111111"/>
          <w:sz w:val="28"/>
          <w:sz w:val="28"/>
          <w:szCs w:val="28"/>
          <w:rtl w:val="true"/>
          <w:lang w:bidi="ar-SA"/>
        </w:rPr>
        <w:t>الكليني مصرّحاً باسمه مع اللقب في مورد آخر</w:t>
      </w:r>
      <w:r>
        <w:rPr>
          <w:rStyle w:val="FootnoteAnchor"/>
          <w:rtl w:val="true"/>
        </w:rPr>
        <w:footnoteReference w:id="124"/>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مضافاً إلى أنّ المتعارف إطلاق هذا اللقب على خصوص عبد الله بن يحيى، كما يظهر من طريق الشيخ الصدوق إليه في المشيخة، حيث قال أوّلاً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فيه عن الكاهلي فقد رويته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يحيى الكاهلي</w:t>
      </w:r>
      <w:r>
        <w:rPr>
          <w:rFonts w:eastAsia="Amiri" w:cs="Amiri" w:ascii="Amiri" w:hAnsi="Amiri"/>
          <w:color w:val="111111"/>
          <w:sz w:val="28"/>
          <w:szCs w:val="28"/>
          <w:rtl w:val="true"/>
          <w:lang w:bidi="ar-SA"/>
        </w:rPr>
        <w:t>)</w:t>
      </w:r>
      <w:r>
        <w:rPr>
          <w:rStyle w:val="FootnoteAnchor"/>
          <w:rtl w:val="true"/>
        </w:rPr>
        <w:footnoteReference w:id="125"/>
      </w:r>
      <w:r>
        <w:rPr>
          <w:rFonts w:ascii="Amiri" w:hAnsi="Amiri" w:eastAsia="Amiri" w:cs="Amiri"/>
          <w:color w:val="111111"/>
          <w:sz w:val="28"/>
          <w:sz w:val="28"/>
          <w:szCs w:val="28"/>
          <w:rtl w:val="true"/>
          <w:lang w:bidi="ar-SA"/>
        </w:rPr>
        <w:t xml:space="preserve">، فيظهر منه أنّ إطلاق الكاهلي ينصرف إلى عبد الله بن يحيى، ولذا حمل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اللقب في كتاب الخلاصة على عبد الله بن يحيى لا غير،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الكاهلي، هو عبد الله بن يحيى</w:t>
      </w:r>
      <w:r>
        <w:rPr>
          <w:rFonts w:eastAsia="Amiri" w:cs="Amiri" w:ascii="Amiri" w:hAnsi="Amiri"/>
          <w:color w:val="111111"/>
          <w:sz w:val="28"/>
          <w:szCs w:val="28"/>
          <w:rtl w:val="true"/>
          <w:lang w:bidi="ar-SA"/>
        </w:rPr>
        <w:t>)</w:t>
      </w:r>
      <w:r>
        <w:rPr>
          <w:rStyle w:val="FootnoteAnchor"/>
          <w:rtl w:val="true"/>
        </w:rPr>
        <w:footnoteReference w:id="126"/>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ويظهر ذلك أيضاً من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يتّضح ضعف ما ذكره السيّد التفريشي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احتمال أن يراد بالكاهلي ممّا وقع باللقب خاصّة غيره،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 عبد الله بن يحيى، ويحتمل أن يطلق على أخيه إسحاق بن يحيى، وأحمد بن مزيد، وإسحاق بن بشر، وجعفر بن عبد الرحمن، وجعفر بن مازن، ومزيد بن زياد، ووهب بن عمرو أيضاً</w:t>
      </w:r>
      <w:r>
        <w:rPr>
          <w:rFonts w:eastAsia="Amiri" w:cs="Amiri" w:ascii="Amiri" w:hAnsi="Amiri"/>
          <w:color w:val="111111"/>
          <w:sz w:val="28"/>
          <w:szCs w:val="28"/>
          <w:rtl w:val="true"/>
          <w:lang w:bidi="ar-SA"/>
        </w:rPr>
        <w:t>)</w:t>
      </w:r>
      <w:r>
        <w:rPr>
          <w:rStyle w:val="FootnoteAnchor"/>
          <w:rtl w:val="true"/>
        </w:rPr>
        <w:footnoteReference w:id="128"/>
      </w:r>
      <w:r>
        <w:rPr>
          <w:rFonts w:ascii="IRNazanin" w:hAnsi="IRNazanin" w:eastAsia="IRNazanin"/>
          <w:color w:val="111111"/>
          <w:sz w:val="28"/>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ومثله ما عن الأردبيلي في جامع الرواة</w:t>
      </w:r>
      <w:r>
        <w:rPr>
          <w:rStyle w:val="FootnoteAnchor"/>
          <w:rtl w:val="true"/>
        </w:rPr>
        <w:footnoteReference w:id="129"/>
      </w:r>
      <w:r>
        <w:rPr>
          <w:rFonts w:ascii="Amiri" w:hAnsi="Amiri" w:eastAsia="Amiri" w:cs="Amiri"/>
          <w:color w:val="111111"/>
          <w:sz w:val="28"/>
          <w:sz w:val="28"/>
          <w:szCs w:val="28"/>
          <w:rtl w:val="true"/>
          <w:lang w:bidi="ar-SA"/>
        </w:rPr>
        <w:t>، ومن هنا قال أبو علي الحائري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عبد الله ابن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ويوصف به جماعة جمّة ذكرهم في النقد والمجمع، كلّهم غير معروفين، لا </w:t>
      </w:r>
      <w:bookmarkStart w:id="169" w:name="pg9142_80597"/>
    </w:p>
    <w:p>
      <w:pPr>
        <w:pStyle w:val="BookText"/>
        <w:rPr/>
      </w:pPr>
      <w:bookmarkEnd w:id="169"/>
      <w:r>
        <w:rPr>
          <w:rFonts w:ascii="Amiri" w:hAnsi="Amiri" w:eastAsia="Amiri" w:cs="Amiri"/>
          <w:color w:val="111111"/>
          <w:sz w:val="28"/>
          <w:sz w:val="28"/>
          <w:szCs w:val="28"/>
          <w:rtl w:val="true"/>
          <w:lang w:bidi="ar-SA"/>
        </w:rPr>
        <w:t>ينصرف إليهم الإطلاق، ولذا لم يذكر في الحاوي والوجيزة سوى عبد الله</w:t>
      </w:r>
      <w:r>
        <w:rPr>
          <w:rFonts w:eastAsia="Amiri" w:cs="Amiri" w:ascii="Amiri" w:hAnsi="Amiri"/>
          <w:color w:val="111111"/>
          <w:sz w:val="28"/>
          <w:szCs w:val="28"/>
          <w:rtl w:val="true"/>
          <w:lang w:bidi="ar-SA"/>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عبد الله بن يحيى الكاهلي لم ينصّ على وثاقته، ولكن يمكن إثباتها بوجهين</w:t>
      </w:r>
      <w:r>
        <w:rPr>
          <w:rFonts w:eastAsia="Amiri" w:cs="Amiri" w:ascii="Amiri" w:hAnsi="Amiri"/>
          <w:color w:val="111111"/>
          <w:sz w:val="28"/>
          <w:szCs w:val="28"/>
          <w:rtl w:val="true"/>
          <w:lang w:bidi="ar-SA"/>
        </w:rPr>
        <w:t>:</w:t>
      </w:r>
    </w:p>
    <w:p>
      <w:pPr>
        <w:pStyle w:val="Heading6"/>
        <w:numPr>
          <w:ilvl w:val="5"/>
          <w:numId w:val="1"/>
        </w:numPr>
        <w:rPr/>
      </w:pPr>
      <w:bookmarkStart w:id="170" w:name="__RefHeading___Toc3266166_2870459653"/>
      <w:bookmarkStart w:id="171" w:name="_Toc64"/>
      <w:bookmarkEnd w:id="170"/>
      <w:r>
        <w:rPr>
          <w:rtl w:val="true"/>
        </w:rPr>
        <w:t>الوجه الأوّل</w:t>
      </w:r>
      <w:bookmarkEnd w:id="171"/>
    </w:p>
    <w:p>
      <w:pPr>
        <w:pStyle w:val="BookText"/>
        <w:rPr/>
      </w:pPr>
      <w:r>
        <w:rPr>
          <w:rFonts w:ascii="IRNazanin" w:hAnsi="IRNazanin" w:eastAsia="IRNazanin"/>
          <w:color w:val="111111"/>
          <w:sz w:val="28"/>
          <w:sz w:val="28"/>
          <w:szCs w:val="28"/>
          <w:rtl w:val="true"/>
          <w:lang w:bidi="fa-IR"/>
        </w:rPr>
        <w:t>ما في رجال النجاشي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وكان عبد الله وجهاً عند 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ووصّى به علي بن يقطين،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اضمن لي الكاهلي وعياله أضمن لك الجنّة</w:t>
      </w:r>
      <w:r>
        <w:rPr>
          <w:rFonts w:eastAsia="IRNazanin" w:cs="IRNazanin"/>
          <w:color w:val="111111"/>
          <w:sz w:val="28"/>
          <w:szCs w:val="28"/>
          <w:rtl w:val="true"/>
          <w:lang w:bidi="fa-IR"/>
        </w:rPr>
        <w:t>)</w:t>
      </w:r>
      <w:r>
        <w:rPr>
          <w:rStyle w:val="FootnoteAnchor"/>
          <w:rtl w:val="true"/>
        </w:rPr>
        <w:footnoteReference w:id="131"/>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فإنّه إن أمكن التشكيك في قول النجاشي عن بعض الرواة بأنّه كان وجهاً في أصحابنا بقرب إرادة الوجاهة الاجتماعية، لا الوجاهة من حيث رواية الحديث</w:t>
      </w:r>
      <w:r>
        <w:rPr>
          <w:rStyle w:val="FootnoteAnchor"/>
          <w:rtl w:val="true"/>
        </w:rPr>
        <w:footnoteReference w:id="132"/>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فلا يدلّ على الوثاقة، إلّا أنّ الظاهر أنّه من البعيد إرادة هذا المعنى من التعبير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وجهاً عند المعصوم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ظاهره الوجاهة في الدين، ممّا يستلزم عادةً الوثاقة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قول النجاشي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ووصّى به علي بن يقطين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إن ثبت فإنّه أيضاً يدلّ على اهتمام 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بالكاهلي، ولكنّها رواية عن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ينقلها النجاشي مرسلة، فلا تنفع في إثبات جلالته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ولعلّه أخذها من الكشّي؛ فإنّه نقلها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محمّد بن عيسى،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زعم ابن أخي الكاهلي أنّ أبا الحسن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اضمن لي الكاهلي وعياله أضمن لك الجنّة</w:t>
      </w:r>
      <w:r>
        <w:rPr>
          <w:rFonts w:eastAsia="IRNazanin" w:cs="IRNazanin"/>
          <w:color w:val="111111"/>
          <w:sz w:val="28"/>
          <w:szCs w:val="28"/>
          <w:rtl w:val="true"/>
          <w:lang w:bidi="fa-IR"/>
        </w:rPr>
        <w:t>)</w:t>
      </w:r>
      <w:r>
        <w:rPr>
          <w:rStyle w:val="FootnoteAnchor"/>
          <w:rtl w:val="true"/>
        </w:rPr>
        <w:footnoteReference w:id="133"/>
      </w:r>
      <w:r>
        <w:rPr>
          <w:rFonts w:ascii="IRNazanin" w:hAnsi="IRNazanin" w:eastAsia="IRNazanin"/>
          <w:color w:val="111111"/>
          <w:sz w:val="28"/>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راويها ابن أخي الكاهلي، وهو مجهول، </w:t>
      </w:r>
    </w:p>
    <w:p>
      <w:pPr>
        <w:pStyle w:val="BookText"/>
        <w:rPr/>
      </w:pPr>
      <w:r>
        <w:rPr>
          <w:rFonts w:ascii="IRNazanin" w:hAnsi="IRNazanin" w:eastAsia="IRNazanin"/>
          <w:color w:val="111111"/>
          <w:sz w:val="28"/>
          <w:sz w:val="28"/>
          <w:szCs w:val="28"/>
          <w:rtl w:val="true"/>
          <w:lang w:bidi="fa-IR"/>
        </w:rPr>
        <w:t>ونقلها مرّة أخرى هكذا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وزعم ابن أخي الكاهلي أنّ أبا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لعليّ ابن يقطين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اضمن لي الكاهلي وعياله</w:t>
      </w:r>
      <w:r>
        <w:rPr>
          <w:rFonts w:eastAsia="IRNazanin" w:cs="IRNazanin"/>
          <w:color w:val="111111"/>
          <w:sz w:val="28"/>
          <w:szCs w:val="28"/>
          <w:rtl w:val="true"/>
          <w:lang w:bidi="fa-IR"/>
        </w:rPr>
        <w:t>)</w:t>
      </w:r>
      <w:r>
        <w:rPr>
          <w:rStyle w:val="FootnoteAnchor"/>
          <w:rtl w:val="true"/>
        </w:rPr>
        <w:footnoteReference w:id="134"/>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وثالثة هكذا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حدّثني حمدويه بن نصير،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محمّد بن عيسى،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زعم الكاهلي أنّ أبا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لعلي بن يقطين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اضمن لي الكاهلي وعياله أضمن لك الجنّة</w:t>
      </w:r>
      <w:r>
        <w:rPr>
          <w:rFonts w:eastAsia="IRNazanin" w:cs="IRNazanin"/>
          <w:color w:val="111111"/>
          <w:sz w:val="28"/>
          <w:szCs w:val="28"/>
          <w:rtl w:val="true"/>
          <w:lang w:bidi="fa-IR"/>
        </w:rPr>
        <w:t>)</w:t>
      </w:r>
      <w:r>
        <w:rPr>
          <w:rStyle w:val="FootnoteAnchor"/>
          <w:rtl w:val="true"/>
        </w:rPr>
        <w:footnoteReference w:id="135"/>
      </w:r>
      <w:r>
        <w:rPr>
          <w:rFonts w:ascii="Amiri" w:hAnsi="Amiri" w:eastAsia="Amiri" w:cs="Amiri"/>
          <w:color w:val="111111"/>
          <w:sz w:val="28"/>
          <w:sz w:val="28"/>
          <w:szCs w:val="28"/>
          <w:rtl w:val="true"/>
          <w:lang w:bidi="ar-SA"/>
        </w:rPr>
        <w:t xml:space="preserve">، والظاهر أنّ في هذا الأخير سقطاً، وأصله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أخي الكاهلي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بقرينة الموضعين الآخرين؛ إذ إنّ إطلاق لقب الكاهلي بدون تقييد ينصرف إلى عبد الله نفسه كما مرّ بيانه، اللهم إلّا أن يلتزم بما ذكره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قصّة الضمان ذكرها الكاهلي بنفسه لمحمّد بن عيسى، وذكرها ابن أخيه أيضاً مع زيادة</w:t>
      </w:r>
      <w:r>
        <w:rPr>
          <w:rFonts w:eastAsia="Amiri" w:cs="Amiri" w:ascii="Amiri" w:hAnsi="Amiri"/>
          <w:color w:val="111111"/>
          <w:sz w:val="28"/>
          <w:szCs w:val="28"/>
          <w:rtl w:val="true"/>
          <w:lang w:bidi="ar-SA"/>
        </w:rPr>
        <w:t>)</w:t>
      </w:r>
      <w:r>
        <w:rPr>
          <w:rStyle w:val="FootnoteAnchor"/>
          <w:rtl w:val="true"/>
        </w:rPr>
        <w:footnoteReference w:id="136"/>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ولكن حتّى لو سلّم إبقاء المورد الثالث على حاله فلا تنفع في إثبات شيء للكاهلي؛ لأنّ راويها حينئذٍ نفسه</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وكيفما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الرواية غير معتبرة؛ إمّا للإرسال كما في النجاشي، أو لجهالة ناقلها كما في موضع من الكشّي، أو لأنّ راويها نفس الكاهلي في موضع آخر منه على تقدير تسليمه، فلا تصلح إلّا للتأييد</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 xml:space="preserve">. </w:t>
      </w:r>
      <w:bookmarkStart w:id="172" w:name="pg9142_80599"/>
    </w:p>
    <w:p>
      <w:pPr>
        <w:pStyle w:val="Heading6"/>
        <w:numPr>
          <w:ilvl w:val="5"/>
          <w:numId w:val="1"/>
        </w:numPr>
        <w:rPr/>
      </w:pPr>
      <w:bookmarkStart w:id="173" w:name="__RefHeading___Toc3266168_2870459653"/>
      <w:bookmarkStart w:id="174" w:name="_Toc65"/>
      <w:bookmarkEnd w:id="172"/>
      <w:bookmarkEnd w:id="173"/>
      <w:r>
        <w:rPr>
          <w:rtl w:val="true"/>
        </w:rPr>
        <w:t>الوجه الآخر</w:t>
      </w:r>
      <w:bookmarkEnd w:id="174"/>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رواية المشايخ الثلاثة عن الكاهلي بأسانيد صحيحة</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هذا كلّه من حيث سند الرواية، وقد اتّضح أنّها معتبرة</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دلالتها على ثبوت الشفعة مع التعدّد فتتّضح من خلال بيان فقهها، قال المحقّق الكركي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ومعنى هذه أنّ الدار في الأصل كانت مشتركة بين قوم فاقتسموها، وتركوا ساحة منها، هي ممرّهم على الشركة، ثمّ باع بعضهم نصيبه المقسوم فقط، دون نصيبه في الساحة، فإنّ له ذلك، لكن يسدّ بابه إلى الساحة؛ إذ لا حقّ له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للمشتري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فيفتح له باباً إلى الطريق العامّ، أو يجعل له درجاً ينزل به من فوق البيت، وإن أراد صاحب 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الشريك فيه، والمراد به الممرّ الذي في العرصة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بيعه فإنّهم أحقّ به فيأخذونه بالشفعة، وإن لم يرد بيعه فهو طريقه، يجيئ يجلس على ذلك الباب المسدود كما يكون حال الشريك مع شركائه</w:t>
      </w:r>
      <w:r>
        <w:rPr>
          <w:rFonts w:eastAsia="Amiri" w:cs="Amiri" w:ascii="Amiri" w:hAnsi="Amiri"/>
          <w:color w:val="111111"/>
          <w:sz w:val="28"/>
          <w:szCs w:val="28"/>
          <w:rtl w:val="true"/>
          <w:lang w:bidi="ar-SA"/>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اتّضح هذا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السائل قد فرض أنّ الطريق كان شركة بين قوم، وهو جمع، وأقلّه ثلاثة، وقد بقي الطريق على الشركة، ولم يقتسم، والإمام أجابه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أراد صاحب الطريق بيعه فإنّهم أحقّ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فأثبت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الشفعة، مع أنّ فرض </w:t>
      </w:r>
      <w:bookmarkStart w:id="175" w:name="pg9142_80601"/>
    </w:p>
    <w:p>
      <w:pPr>
        <w:pStyle w:val="BookText"/>
        <w:rPr/>
      </w:pPr>
      <w:bookmarkEnd w:id="175"/>
      <w:r>
        <w:rPr>
          <w:rFonts w:ascii="Amiri" w:hAnsi="Amiri" w:eastAsia="Amiri" w:cs="Amiri"/>
          <w:color w:val="111111"/>
          <w:sz w:val="28"/>
          <w:sz w:val="28"/>
          <w:szCs w:val="28"/>
          <w:rtl w:val="true"/>
          <w:lang w:bidi="ar-SA"/>
        </w:rPr>
        <w:t>السؤال أنّ الشريك متعدّد؛ لمكان التعبير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عندما أجابه الإمام عن بيع حصّته من الدار بأنّ له ذلك لم يتعرّض لثبوت الشفعة لا نفياً ولا إثباتاً، وهذا لا يضرّ بالاستدلال</w:t>
      </w:r>
      <w:r>
        <w:rPr>
          <w:rFonts w:eastAsia="Amiri" w:cs="Amiri" w:ascii="Amiri" w:hAnsi="Amiri"/>
          <w:color w:val="111111"/>
          <w:sz w:val="28"/>
          <w:szCs w:val="28"/>
          <w:rtl w:val="true"/>
          <w:lang w:bidi="ar-SA"/>
        </w:rPr>
        <w:t>.</w:t>
      </w:r>
    </w:p>
    <w:p>
      <w:pPr>
        <w:pStyle w:val="Heading5"/>
        <w:numPr>
          <w:ilvl w:val="4"/>
          <w:numId w:val="1"/>
        </w:numPr>
        <w:rPr/>
      </w:pPr>
      <w:bookmarkStart w:id="176" w:name="__RefHeading___Toc3266170_2870459653"/>
      <w:bookmarkStart w:id="177" w:name="_Toc66"/>
      <w:bookmarkEnd w:id="176"/>
      <w:r>
        <w:rPr>
          <w:rtl w:val="true"/>
        </w:rPr>
        <w:t>الرواية الثالثة</w:t>
      </w:r>
      <w:bookmarkEnd w:id="177"/>
    </w:p>
    <w:p>
      <w:pPr>
        <w:pStyle w:val="BookText"/>
        <w:rPr/>
      </w:pPr>
      <w:r>
        <w:rPr>
          <w:rFonts w:ascii="IRNazanin" w:hAnsi="IRNazanin" w:eastAsia="IRNazanin"/>
          <w:color w:val="111111"/>
          <w:sz w:val="28"/>
          <w:sz w:val="28"/>
          <w:szCs w:val="28"/>
          <w:rtl w:val="true"/>
          <w:lang w:bidi="fa-IR"/>
        </w:rPr>
        <w:t xml:space="preserve">موثّقة منصور بن حازم،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بين قوم اقتسموها وتركوا بينهم ساحة فيها ممرّهم، فجاء رجل فاشترى نصيب بعضهم، أله ذلك؟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ولكن يسدّ بابه ويفتح باباً إلى الطريق، أو ينزل من فوق البيت، فإن أراد شريكهم أن يبيع منقل قدميه فإنّهم أحقّ به، وإن أراد يجيئ حتّى يقعد على الباب المسدود الذي باعه لم يكن لهم أن يمنعوه</w:t>
      </w:r>
      <w:r>
        <w:rPr>
          <w:rFonts w:eastAsia="IRNazanin" w:cs="IRNazanin"/>
          <w:color w:val="111111"/>
          <w:sz w:val="28"/>
          <w:szCs w:val="28"/>
          <w:rtl w:val="true"/>
          <w:lang w:bidi="fa-IR"/>
        </w:rPr>
        <w:t>)</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والكلام فيها عين الكلام في سابقتها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روايات ثلاث لمنصور بن حازم، ولكن يمكن القول بأنّ الثانية والثالثة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ما نقله الكاهلي عن منصور بن حازم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واحدة، لا روايتان، كما يظهر ذلك من صاحب الحدائق</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ويشهد للاتّحاد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الإمام المرويّ عنه فيهما واحد، وهو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الراوي لها أيضاً واحد، وهو منصور بن حازم، والراوي عنه فيهما أيضاً الكاهلي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المضمون والمتن واحد فيهما، ولعلّ الاختلاف الموجود في الألفاظ بينهما ناتج من النقل بالمعنى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الرواية الأولى التي نقلها جميل بن درّاج، عن منصور تختلف، فلم يفرض في صدرها أنّ الدار كانت مشتركة واقتسموها، بل مطلقة من هذه الجهة، ولكن مع ذلك هي مشتملة على نفس الحكم في الروايتين الأخيرتين، وهو أنّ صاحب الطريق إن أراد بيعه تثبت لشركائه الشفعة، فيمكن أن يقال باتّحاد الرواية الأولى مع الأخيرتين، كما يظهر ذلك من المحقّق 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إنّه ذكر الرواية التي نقلها جميل بن درّاج عن منصور، وواحدة ممّا نقله الكاهلي، وقال بعد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فهما في الحقيقة واحدة؛ للانتهاء إلى منصور</w:t>
      </w:r>
      <w:r>
        <w:rPr>
          <w:rFonts w:eastAsia="Amiri" w:cs="Amiri" w:ascii="Amiri" w:hAnsi="Amiri"/>
          <w:color w:val="111111"/>
          <w:sz w:val="28"/>
          <w:szCs w:val="28"/>
          <w:rtl w:val="true"/>
          <w:lang w:bidi="ar-SA"/>
        </w:rPr>
        <w:t>)</w:t>
      </w:r>
      <w:r>
        <w:rPr>
          <w:rStyle w:val="FootnoteAnchor"/>
          <w:rtl w:val="true"/>
        </w:rPr>
        <w:footnoteReference w:id="143"/>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ولعلّ ما ذكره يتمثّل في عبارة الشيخ في الاستبصار،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فالوجه في هذين الخبرين وإن كان الأصل فيهما منصور بن حازم وهو واحد</w:t>
      </w:r>
      <w:r>
        <w:rPr>
          <w:rFonts w:eastAsia="Amiri" w:cs="Amiri" w:ascii="Amiri" w:hAnsi="Amiri"/>
          <w:color w:val="111111"/>
          <w:sz w:val="28"/>
          <w:szCs w:val="28"/>
          <w:rtl w:val="true"/>
          <w:lang w:bidi="ar-SA"/>
        </w:rPr>
        <w:t>)</w:t>
      </w:r>
      <w:r>
        <w:rPr>
          <w:rStyle w:val="FootnoteAnchor"/>
          <w:rtl w:val="true"/>
        </w:rPr>
        <w:footnoteReference w:id="144"/>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ومنه يتّضح إمكان الخدش بما يظهر من الشهيد الثاني</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وصاحب الحدائق</w:t>
      </w:r>
      <w:r>
        <w:rPr>
          <w:rStyle w:val="FootnoteAnchor"/>
          <w:rtl w:val="true"/>
        </w:rPr>
        <w:footnoteReference w:id="14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التعدّد، هذا من جهة</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جهة أخرى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لا تدلّ على ثبوت الشفعة مع التعدّد على الإطلاق، كما هو مدّعى القول الثاني، بل تدلّ عليه في خصوص الطريق؛ لأنّه موردها، </w:t>
      </w:r>
      <w:bookmarkStart w:id="178" w:name="pg9142_80603"/>
    </w:p>
    <w:p>
      <w:pPr>
        <w:pStyle w:val="BookText"/>
        <w:rPr/>
      </w:pPr>
      <w:bookmarkEnd w:id="178"/>
      <w:r>
        <w:rPr>
          <w:rFonts w:ascii="Amiri" w:hAnsi="Amiri" w:eastAsia="Amiri" w:cs="Amiri"/>
          <w:color w:val="111111"/>
          <w:sz w:val="28"/>
          <w:sz w:val="28"/>
          <w:szCs w:val="28"/>
          <w:rtl w:val="true"/>
          <w:lang w:bidi="ar-SA"/>
        </w:rPr>
        <w:t>وكلام الإمام لا إطلاق فيه يثبت التعميم، فحينئذٍ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النسبة بينها وبين روايات الطائفة الأولى العموم المطلق، والصناعة تقتضي التقييد، وسيأتي ما له مزيد بيان لهذه الجهة</w:t>
      </w:r>
      <w:r>
        <w:rPr>
          <w:rFonts w:eastAsia="Amiri" w:cs="Amiri" w:ascii="Amiri" w:hAnsi="Amiri"/>
          <w:color w:val="111111"/>
          <w:sz w:val="28"/>
          <w:szCs w:val="28"/>
          <w:rtl w:val="true"/>
          <w:lang w:bidi="ar-SA"/>
        </w:rPr>
        <w:t>.</w:t>
      </w:r>
    </w:p>
    <w:p>
      <w:pPr>
        <w:pStyle w:val="Heading5"/>
        <w:numPr>
          <w:ilvl w:val="4"/>
          <w:numId w:val="1"/>
        </w:numPr>
        <w:rPr/>
      </w:pPr>
      <w:bookmarkStart w:id="179" w:name="__RefHeading___Toc3266172_2870459653"/>
      <w:bookmarkStart w:id="180" w:name="_Toc67"/>
      <w:bookmarkEnd w:id="179"/>
      <w:r>
        <w:rPr>
          <w:rtl w:val="true"/>
        </w:rPr>
        <w:t>الرواية الرابعة</w:t>
      </w:r>
      <w:bookmarkEnd w:id="180"/>
    </w:p>
    <w:p>
      <w:pPr>
        <w:pStyle w:val="BookText"/>
        <w:rPr/>
      </w:pPr>
      <w:r>
        <w:rPr>
          <w:rFonts w:ascii="IRNazanin" w:hAnsi="IRNazanin" w:eastAsia="IRNazanin"/>
          <w:color w:val="111111"/>
          <w:sz w:val="28"/>
          <w:sz w:val="28"/>
          <w:szCs w:val="28"/>
          <w:rtl w:val="true"/>
          <w:lang w:bidi="fa-IR"/>
        </w:rPr>
        <w:t xml:space="preserve">خبر إسماعيل بن مسلم، عن جعفر بن محمّد، عن أبيه،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الشفعة على عدد الرجال</w:t>
      </w:r>
      <w:r>
        <w:rPr>
          <w:rFonts w:eastAsia="IRNazanin" w:cs="IRNazanin"/>
          <w:color w:val="111111"/>
          <w:sz w:val="28"/>
          <w:szCs w:val="28"/>
          <w:rtl w:val="true"/>
          <w:lang w:bidi="fa-IR"/>
        </w:rPr>
        <w:t>)</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وإسماعيل بن مسلم، هو السكوني، وطريق الصدوق إليه في المشيخة صحيح</w:t>
      </w:r>
      <w:r>
        <w:rPr>
          <w:rStyle w:val="FootnoteAnchor"/>
          <w:rtl w:val="true"/>
        </w:rPr>
        <w:footnoteReference w:id="148"/>
      </w:r>
      <w:r>
        <w:rPr>
          <w:rFonts w:ascii="Amiri" w:hAnsi="Amiri" w:eastAsia="Amiri" w:cs="Amiri"/>
          <w:color w:val="111111"/>
          <w:sz w:val="28"/>
          <w:sz w:val="28"/>
          <w:szCs w:val="28"/>
          <w:rtl w:val="true"/>
          <w:lang w:bidi="ar-SA"/>
        </w:rPr>
        <w:t>، بناءً على وثاقة النوفلي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ظاهرة في ثبوت الشفعة مع التعدّد؛ لأنّها استعملت لفظ الجمع،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الشفعة على عدد الرجال</w:t>
      </w:r>
      <w:r>
        <w:rPr>
          <w:rFonts w:eastAsia="Amiri" w:cs="Amiri" w:ascii="Amiri" w:hAnsi="Amiri"/>
          <w:color w:val="111111"/>
          <w:sz w:val="28"/>
          <w:szCs w:val="28"/>
          <w:rtl w:val="true"/>
          <w:lang w:bidi="ar-SA"/>
        </w:rPr>
        <w:t>).</w:t>
      </w:r>
    </w:p>
    <w:p>
      <w:pPr>
        <w:pStyle w:val="Heading5"/>
        <w:numPr>
          <w:ilvl w:val="4"/>
          <w:numId w:val="1"/>
        </w:numPr>
        <w:rPr/>
      </w:pPr>
      <w:bookmarkStart w:id="181" w:name="__RefHeading___Toc3266174_2870459653"/>
      <w:bookmarkStart w:id="182" w:name="_Toc68"/>
      <w:bookmarkEnd w:id="181"/>
      <w:r>
        <w:rPr>
          <w:rtl w:val="true"/>
        </w:rPr>
        <w:t>الرواية الخامسة</w:t>
      </w:r>
      <w:bookmarkEnd w:id="182"/>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رواية طلحة بن زيد، عن جعفر بن محمّد،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الشفعة على عدد الرجال</w:t>
      </w:r>
      <w:r>
        <w:rPr>
          <w:rFonts w:eastAsia="IRNazanin" w:cs="IRNazanin"/>
          <w:color w:val="111111"/>
          <w:sz w:val="28"/>
          <w:szCs w:val="28"/>
          <w:rtl w:val="true"/>
          <w:lang w:bidi="fa-IR"/>
        </w:rPr>
        <w:t>)</w:t>
      </w:r>
      <w:r>
        <w:rPr>
          <w:rStyle w:val="FootnoteAnchor"/>
          <w:rtl w:val="true"/>
        </w:rPr>
        <w:footnoteReference w:id="1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وطريق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طلحة بن زيد في المشيخة صحيح</w:t>
      </w:r>
      <w:r>
        <w:rPr>
          <w:rStyle w:val="FootnoteAnchor"/>
          <w:rtl w:val="true"/>
        </w:rPr>
        <w:footnoteReference w:id="150"/>
      </w:r>
      <w:r>
        <w:rPr>
          <w:rFonts w:ascii="Amiri" w:hAnsi="Amiri" w:eastAsia="Amiri" w:cs="Amiri"/>
          <w:color w:val="111111"/>
          <w:sz w:val="28"/>
          <w:sz w:val="28"/>
          <w:szCs w:val="28"/>
          <w:rtl w:val="true"/>
          <w:lang w:bidi="ar-SA"/>
        </w:rPr>
        <w:t>، لكن طلحة نفسه لم يوثّق في كتب الرجال، ولذا بنى بعض الأعلام على ضعف الرواية</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لكن يمكن أن يذكر لإثبات وثاقته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المحدّث النوري</w:t>
      </w:r>
      <w:r>
        <w:rPr>
          <w:rStyle w:val="FootnoteAnchor"/>
          <w:rtl w:val="true"/>
        </w:rPr>
        <w:footnoteReference w:id="152"/>
      </w:r>
    </w:p>
    <w:p>
      <w:pPr>
        <w:pStyle w:val="BookText"/>
        <w:rPr/>
      </w:pPr>
      <w:r>
        <w:rPr>
          <w:rFonts w:ascii="Amiri" w:hAnsi="Amiri" w:eastAsia="Amiri" w:cs="Amiri"/>
          <w:color w:val="111111"/>
          <w:sz w:val="28"/>
          <w:sz w:val="28"/>
          <w:szCs w:val="28"/>
          <w:rtl w:val="true"/>
          <w:lang w:bidi="ar-SA"/>
        </w:rPr>
        <w:t>من أنّ الشيخ الطوسي وصف كتابه بأنّه معتمد</w:t>
      </w:r>
      <w:r>
        <w:rPr>
          <w:rStyle w:val="FootnoteAnchor"/>
          <w:rtl w:val="true"/>
        </w:rPr>
        <w:footnoteReference w:id="153"/>
      </w:r>
      <w:r>
        <w:rPr>
          <w:rFonts w:ascii="Amiri" w:hAnsi="Amiri" w:eastAsia="Amiri" w:cs="Amiri"/>
          <w:color w:val="111111"/>
          <w:sz w:val="28"/>
          <w:sz w:val="28"/>
          <w:szCs w:val="28"/>
          <w:rtl w:val="true"/>
          <w:lang w:bidi="ar-SA"/>
        </w:rPr>
        <w:t>، وكذلك ابن شهرآشوب</w:t>
      </w:r>
      <w:r>
        <w:rPr>
          <w:rStyle w:val="FootnoteAnchor"/>
          <w:rtl w:val="true"/>
        </w:rPr>
        <w:footnoteReference w:id="154"/>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وهذا لا يكون عادة إلّا مع كون صاحب الكتاب ثقة</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يمكن استظهار ذلك من النجاشي</w:t>
      </w:r>
      <w:r>
        <w:rPr>
          <w:rStyle w:val="FootnoteAnchor"/>
          <w:rtl w:val="true"/>
        </w:rPr>
        <w:footnoteReference w:id="156"/>
      </w:r>
    </w:p>
    <w:p>
      <w:pPr>
        <w:pStyle w:val="BookText"/>
        <w:rPr/>
      </w:pPr>
      <w:r>
        <w:rPr>
          <w:rFonts w:ascii="Amiri" w:hAnsi="Amiri" w:eastAsia="Amiri" w:cs="Amiri"/>
          <w:color w:val="111111"/>
          <w:sz w:val="28"/>
          <w:sz w:val="28"/>
          <w:szCs w:val="28"/>
          <w:rtl w:val="true"/>
          <w:lang w:bidi="ar-SA"/>
        </w:rPr>
        <w:t>فإنّه ذكر كتابه،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ترويه جماعة تختلف برواياتهم، فإنّ رواية الجماعة تكشف عن الاعتناء به</w:t>
      </w:r>
      <w:r>
        <w:rPr>
          <w:rFonts w:eastAsia="Amiri" w:cs="Amiri" w:ascii="Amiri" w:hAnsi="Amiri"/>
          <w:color w:val="111111"/>
          <w:sz w:val="28"/>
          <w:szCs w:val="28"/>
          <w:rtl w:val="true"/>
          <w:lang w:bidi="ar-SA"/>
        </w:rPr>
        <w:t>)</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المحدّث النوري</w:t>
      </w:r>
      <w:r>
        <w:rPr>
          <w:rStyle w:val="FootnoteAnchor"/>
          <w:rtl w:val="true"/>
        </w:rPr>
        <w:footnoteReference w:id="158"/>
      </w:r>
    </w:p>
    <w:p>
      <w:pPr>
        <w:pStyle w:val="BookText"/>
        <w:rPr/>
      </w:pPr>
      <w:r>
        <w:rPr>
          <w:rFonts w:ascii="Amiri" w:hAnsi="Amiri" w:eastAsia="Amiri" w:cs="Amiri"/>
          <w:color w:val="111111"/>
          <w:sz w:val="28"/>
          <w:sz w:val="28"/>
          <w:szCs w:val="28"/>
          <w:rtl w:val="true"/>
          <w:lang w:bidi="ar-SA"/>
        </w:rPr>
        <w:t>أيضاً من رواية صفوان عنه بسند صحيح في الكافي في باب حدّ المحارب</w:t>
      </w:r>
      <w:r>
        <w:rPr>
          <w:rStyle w:val="FootnoteAnchor"/>
          <w:rtl w:val="true"/>
        </w:rPr>
        <w:footnoteReference w:id="159"/>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بعنوان طلحة النهدي، وهو نفسه طلحة بن زيد، </w:t>
      </w:r>
      <w:bookmarkStart w:id="183" w:name="pg9142_80605"/>
    </w:p>
    <w:p>
      <w:pPr>
        <w:pStyle w:val="BookText"/>
        <w:rPr/>
      </w:pPr>
      <w:bookmarkEnd w:id="183"/>
      <w:r>
        <w:rPr>
          <w:rFonts w:ascii="Amiri" w:hAnsi="Amiri" w:eastAsia="Amiri" w:cs="Amiri"/>
          <w:color w:val="111111"/>
          <w:sz w:val="28"/>
          <w:sz w:val="28"/>
          <w:szCs w:val="28"/>
          <w:rtl w:val="true"/>
          <w:lang w:bidi="ar-SA"/>
        </w:rPr>
        <w:t>كما ذكر في ترجمته، وكذا في الفقيه</w:t>
      </w:r>
      <w:r>
        <w:rPr>
          <w:rStyle w:val="FootnoteAnchor"/>
          <w:rtl w:val="true"/>
        </w:rPr>
        <w:footnoteReference w:id="160"/>
      </w:r>
      <w:r>
        <w:rPr>
          <w:rFonts w:ascii="Amiri" w:hAnsi="Amiri" w:eastAsia="Amiri" w:cs="Amiri"/>
          <w:color w:val="111111"/>
          <w:sz w:val="28"/>
          <w:sz w:val="28"/>
          <w:szCs w:val="28"/>
          <w:rtl w:val="true"/>
          <w:lang w:bidi="ar-SA"/>
        </w:rPr>
        <w:t>، وفي التهذيب</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 يتّضح أنّ الرواية معتبرة السند</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ودلالتها ظاهرة في جواز الشفعة مع الكثرة؛ لأنّها عبّرت عن الشركاء بلفظ الجمع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الرجال</w:t>
      </w:r>
      <w:r>
        <w:rPr>
          <w:rFonts w:eastAsia="Amiri" w:cs="Amiri" w:ascii="Amiri" w:hAnsi="Amiri"/>
          <w:color w:val="111111"/>
          <w:sz w:val="28"/>
          <w:szCs w:val="28"/>
          <w:rtl w:val="true"/>
          <w:lang w:bidi="ar-SA"/>
        </w:rPr>
        <w:t>).</w:t>
      </w:r>
    </w:p>
    <w:p>
      <w:pPr>
        <w:pStyle w:val="Heading5"/>
        <w:numPr>
          <w:ilvl w:val="4"/>
          <w:numId w:val="1"/>
        </w:numPr>
        <w:rPr/>
      </w:pPr>
      <w:bookmarkStart w:id="184" w:name="__RefHeading___Toc3266176_2870459653"/>
      <w:bookmarkStart w:id="185" w:name="_Toc69"/>
      <w:bookmarkEnd w:id="184"/>
      <w:r>
        <w:rPr>
          <w:rtl w:val="true"/>
        </w:rPr>
        <w:t>الرواية السادسة</w:t>
      </w:r>
      <w:bookmarkEnd w:id="185"/>
    </w:p>
    <w:p>
      <w:pPr>
        <w:pStyle w:val="Heading6"/>
        <w:numPr>
          <w:ilvl w:val="5"/>
          <w:numId w:val="1"/>
        </w:numPr>
        <w:rPr/>
      </w:pPr>
      <w:bookmarkStart w:id="186" w:name="__RefHeading___Toc3266178_2870459653"/>
      <w:bookmarkStart w:id="187" w:name="_Toc70"/>
      <w:bookmarkEnd w:id="186"/>
      <w:r>
        <w:rPr>
          <w:rtl w:val="true"/>
        </w:rPr>
        <w:t>اشارة</w:t>
      </w:r>
      <w:bookmarkEnd w:id="187"/>
    </w:p>
    <w:p>
      <w:pPr>
        <w:pStyle w:val="BookText"/>
        <w:rPr/>
      </w:pPr>
      <w:r>
        <w:rPr>
          <w:rFonts w:ascii="IRNazanin" w:hAnsi="IRNazanin" w:eastAsia="IRNazanin"/>
          <w:color w:val="111111"/>
          <w:sz w:val="28"/>
          <w:sz w:val="28"/>
          <w:szCs w:val="28"/>
          <w:rtl w:val="true"/>
          <w:lang w:bidi="fa-IR"/>
        </w:rPr>
        <w:t xml:space="preserve">رواية عقبة بن خالد،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قضى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بالشفعة بين الشركاء في الأرضين والمساكن،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ضرر ولا ضرار،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رفّت الأرف</w:t>
      </w:r>
      <w:r>
        <w:rPr>
          <w:rStyle w:val="FootnoteAnchor"/>
          <w:rtl w:val="true"/>
        </w:rPr>
        <w:footnoteReference w:id="163"/>
      </w:r>
      <w:r>
        <w:rPr>
          <w:rFonts w:ascii="Amiri" w:hAnsi="Amiri" w:eastAsia="Amiri" w:cs="Amiri"/>
          <w:color w:val="111111"/>
          <w:sz w:val="28"/>
          <w:sz w:val="28"/>
          <w:szCs w:val="28"/>
          <w:rtl w:val="true"/>
          <w:lang w:bidi="ar-SA"/>
        </w:rPr>
        <w:t>وحدّت الحدود فلا شفعة</w:t>
      </w:r>
      <w:r>
        <w:rPr>
          <w:rFonts w:eastAsia="Amiri" w:cs="Amiri" w:ascii="Amiri" w:hAnsi="Amiri"/>
          <w:color w:val="111111"/>
          <w:sz w:val="28"/>
          <w:szCs w:val="28"/>
          <w:rtl w:val="true"/>
          <w:lang w:bidi="ar-SA"/>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فالرواية وردت بصيغة الجمع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الصادق على الزائد على الاثنين، وقد حكمت بثبوت الشفعة بينهم، فتدلّ على المطلوب</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السند فمحمّد بن يحيى هو العطّار الثقة، ومحمّد بن الحسين هو ابن أبي الخطّاب </w:t>
      </w:r>
    </w:p>
    <w:p>
      <w:pPr>
        <w:pStyle w:val="BookText"/>
        <w:rPr/>
      </w:pPr>
      <w:r>
        <w:rPr>
          <w:rFonts w:ascii="Amiri" w:hAnsi="Amiri" w:eastAsia="Amiri" w:cs="Amiri"/>
          <w:color w:val="111111"/>
          <w:sz w:val="28"/>
          <w:sz w:val="28"/>
          <w:szCs w:val="28"/>
          <w:rtl w:val="true"/>
          <w:lang w:bidi="ar-SA"/>
        </w:rPr>
        <w:t xml:space="preserve">الثقة أيضاً، لا ابن سعيد الصائغ الذي في طبقته من السابعة؛ وذلك لأنّ محمّد بن يحيى العطّار لا يروي عن الثاني في ما هو موجود من الروايات، مضافاً إلى روايته عن ابن هلال، فإنّ محمّد بن الحسين بن أبي الخطّاب يروي عنه كثيراً، كما نصّ عليه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Style w:val="FootnoteAnchor"/>
          <w:rtl w:val="true"/>
        </w:rPr>
        <w:footnoteReference w:id="165"/>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ومحمّد بن عبد الله بن هلال مجهول، وكذا عقبة بن خالد، فالخبر ضعيف بجهالتهم، كما نبّه على ذلك في مصباح الفقاهة</w:t>
      </w:r>
      <w:r>
        <w:rPr>
          <w:rStyle w:val="FootnoteAnchor"/>
          <w:rtl w:val="true"/>
        </w:rPr>
        <w:footnoteReference w:id="166"/>
      </w:r>
      <w:r>
        <w:rPr>
          <w:rFonts w:ascii="Amiri" w:hAnsi="Amiri" w:eastAsia="Amiri" w:cs="Amiri"/>
          <w:color w:val="111111"/>
          <w:sz w:val="28"/>
          <w:sz w:val="28"/>
          <w:szCs w:val="28"/>
          <w:rtl w:val="true"/>
          <w:lang w:bidi="ar-SA"/>
        </w:rPr>
        <w:t>، وقد تذكر وجوه لتوثيقهما، إلّا أنّها غير تامّة</w:t>
      </w:r>
      <w:r>
        <w:rPr>
          <w:rStyle w:val="FootnoteAnchor"/>
          <w:rtl w:val="true"/>
        </w:rPr>
        <w:footnoteReference w:id="167"/>
      </w:r>
    </w:p>
    <w:p>
      <w:pPr>
        <w:pStyle w:val="BookText"/>
        <w:rPr/>
      </w:pPr>
      <w:r>
        <w:rPr>
          <w:rFonts w:ascii="Amiri" w:hAnsi="Amiri" w:eastAsia="Amiri" w:cs="Amiri"/>
          <w:color w:val="111111"/>
          <w:sz w:val="28"/>
          <w:sz w:val="28"/>
          <w:szCs w:val="28"/>
          <w:rtl w:val="true"/>
          <w:lang w:bidi="ar-SA"/>
        </w:rPr>
        <w:t>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سندها، وهو ضعيف؛ لأنّ رواية الكليني والشيخ مخدوشة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عبد الله بن هلال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عقبة بن خالد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الأوّل لم يوثّق، بل لم يذكره القدماء من أعلام الرجاليين، وربّما يوثّق؛ لوقوعه في أسانيد كامل الزيارات، أو لأنّه من شيوخ محمّد بن الحسين بن أبي الخطاب الذي هو من أجلّاء الطبقة السابعة، ولرواية جماعة أخرى من الأجلّاء عنه، ولكن قد تقدّم ضعف هذه الوجوه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الثاني فهو وإن ذكره النجاشي والشيخ إلّا أنّهما لم يوثّقاه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وثّقه صاحب الوسائل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لرواية الكشّي مدحه، ودعاء الصادق له، ورواية الكليني في الجنائز مدحاً له، ولأنّ له كتاباً ذكره الشيخ والنجاشي، وربّما يوثّق لكونه من رجال الكامل، وجميع ذلك ضعيف أيضاً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هي روايات الطائفة الثانية</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ويتّضح من هذا الطرح تعارض روايات أدلّة القولين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والثاني، وقد ذكرت وجوه لحلّ التعارض بينها</w:t>
      </w:r>
      <w:r>
        <w:rPr>
          <w:rFonts w:eastAsia="Amiri" w:cs="Amiri" w:ascii="Amiri" w:hAnsi="Amiri"/>
          <w:color w:val="111111"/>
          <w:sz w:val="28"/>
          <w:szCs w:val="28"/>
          <w:rtl w:val="true"/>
          <w:lang w:bidi="ar-SA"/>
        </w:rPr>
        <w:t xml:space="preserve">: </w:t>
      </w:r>
      <w:bookmarkStart w:id="188" w:name="pg9142_80607"/>
    </w:p>
    <w:p>
      <w:pPr>
        <w:pStyle w:val="Heading6"/>
        <w:numPr>
          <w:ilvl w:val="5"/>
          <w:numId w:val="1"/>
        </w:numPr>
        <w:rPr/>
      </w:pPr>
      <w:bookmarkStart w:id="189" w:name="__RefHeading___Toc3266180_2870459653"/>
      <w:bookmarkStart w:id="190" w:name="_Toc71"/>
      <w:bookmarkEnd w:id="188"/>
      <w:bookmarkEnd w:id="189"/>
      <w:r>
        <w:rPr>
          <w:rtl w:val="true"/>
        </w:rPr>
        <w:t>الوجه الأوّل</w:t>
      </w:r>
      <w:bookmarkEnd w:id="190"/>
    </w:p>
    <w:p>
      <w:pPr>
        <w:pStyle w:val="BookText"/>
        <w:rPr/>
      </w:pPr>
      <w:r>
        <w:rPr>
          <w:rFonts w:ascii="Amiri" w:hAnsi="Amiri" w:eastAsia="Amiri" w:cs="Amiri"/>
          <w:color w:val="111111"/>
          <w:sz w:val="28"/>
          <w:sz w:val="28"/>
          <w:szCs w:val="28"/>
          <w:rtl w:val="true"/>
          <w:lang w:bidi="ar-SA"/>
        </w:rPr>
        <w:t xml:space="preserve">ما عن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وكثير ممّن تأخّر عنه تبعاً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حمل روايات القول الثاني على التقيّة؛ لموافقتها للعامّة، إذ يظهر من السيّد المرتضى</w:t>
      </w:r>
      <w:r>
        <w:rPr>
          <w:rStyle w:val="FootnoteAnchor"/>
          <w:rtl w:val="true"/>
        </w:rPr>
        <w:footnoteReference w:id="168"/>
      </w:r>
    </w:p>
    <w:p>
      <w:pPr>
        <w:pStyle w:val="BookText"/>
        <w:rPr/>
      </w:pPr>
      <w:r>
        <w:rPr>
          <w:rFonts w:ascii="Amiri" w:hAnsi="Amiri" w:eastAsia="Amiri" w:cs="Amiri"/>
          <w:color w:val="111111"/>
          <w:sz w:val="28"/>
          <w:sz w:val="28"/>
          <w:szCs w:val="28"/>
          <w:rtl w:val="true"/>
          <w:lang w:bidi="ar-SA"/>
        </w:rPr>
        <w:t>أنّ ثبوتها مع التعدّد مجمع عليه عندهم، وصرّح به في التذكرة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قول الجمهور كافّة</w:t>
      </w:r>
      <w:r>
        <w:rPr>
          <w:rFonts w:eastAsia="Amiri" w:cs="Amiri" w:ascii="Amiri" w:hAnsi="Amiri"/>
          <w:color w:val="111111"/>
          <w:sz w:val="28"/>
          <w:szCs w:val="28"/>
          <w:rtl w:val="true"/>
          <w:lang w:bidi="ar-SA"/>
        </w:rPr>
        <w:t>)</w:t>
      </w:r>
      <w:r>
        <w:rPr>
          <w:rStyle w:val="FootnoteAnchor"/>
          <w:rtl w:val="true"/>
        </w:rPr>
        <w:footnoteReference w:id="169"/>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وكذا في الجواهر عندما تعرّض لروايتين من روايات القول الثاني،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وموافقتهما لإطباق العامّة</w:t>
      </w:r>
      <w:r>
        <w:rPr>
          <w:rFonts w:eastAsia="Amiri" w:cs="Amiri" w:ascii="Amiri" w:hAnsi="Amiri"/>
          <w:color w:val="111111"/>
          <w:sz w:val="28"/>
          <w:szCs w:val="28"/>
          <w:rtl w:val="true"/>
          <w:lang w:bidi="ar-SA"/>
        </w:rPr>
        <w:t>)</w:t>
      </w:r>
      <w:r>
        <w:rPr>
          <w:rStyle w:val="FootnoteAnchor"/>
          <w:rtl w:val="true"/>
        </w:rPr>
        <w:footnoteReference w:id="170"/>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ومثله في جامع المدارك</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ولم أجد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تتبّعت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طرحاً للمسألة بشكل مستقلّ في كتب العامّة، ولكن توجد عبائر عندهم يظهر منها أنّ ثبوت الشفعة مع التعدّد مفروغ عنه عندهم، ففي فتح الباري في كلامه عن عتق العبد المشترك بين ثلاثة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فلو كان مشتركاً بين الثلاثة فأعتق أحدهم حصّته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الثلث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حصّته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السدس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يقوّم عليهما نصيب صاحب النصف بالسوية، أو على قدر الحصص؟ الجمهور على الثاني، وعند المالكية والحنابلة خلاف، كالخلاف في الشفعة إذا كانت لاثنين هل يأخذان بالسوية أو على قدر الملك؟</w:t>
      </w:r>
      <w:r>
        <w:rPr>
          <w:rFonts w:eastAsia="Amiri" w:cs="Amiri" w:ascii="Amiri" w:hAnsi="Amiri"/>
          <w:color w:val="111111"/>
          <w:sz w:val="28"/>
          <w:szCs w:val="28"/>
          <w:rtl w:val="true"/>
          <w:lang w:bidi="ar-SA"/>
        </w:rPr>
        <w:t>)</w:t>
      </w:r>
      <w:r>
        <w:rPr>
          <w:rStyle w:val="FootnoteAnchor"/>
          <w:rtl w:val="true"/>
        </w:rPr>
        <w:footnoteReference w:id="172"/>
      </w:r>
      <w:r>
        <w:rPr>
          <w:rFonts w:ascii="Amiri" w:hAnsi="Amiri" w:eastAsia="Amiri" w:cs="Amiri"/>
          <w:color w:val="111111"/>
          <w:sz w:val="28"/>
          <w:sz w:val="28"/>
          <w:szCs w:val="28"/>
          <w:rtl w:val="true"/>
          <w:lang w:bidi="ar-SA"/>
        </w:rPr>
        <w:t xml:space="preserve">، وعقد الصنعاني باباً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الشفعة بالحصص أو على الرؤوس</w:t>
      </w:r>
      <w:r>
        <w:rPr>
          <w:rFonts w:eastAsia="Amiri" w:cs="Amiri" w:ascii="Amiri" w:hAnsi="Amiri"/>
          <w:color w:val="111111"/>
          <w:sz w:val="28"/>
          <w:szCs w:val="28"/>
          <w:rtl w:val="true"/>
          <w:lang w:bidi="ar-SA"/>
        </w:rPr>
        <w:t>)</w:t>
      </w:r>
      <w:r>
        <w:rPr>
          <w:rStyle w:val="FootnoteAnchor"/>
          <w:rtl w:val="true"/>
        </w:rPr>
        <w:footnoteReference w:id="173"/>
      </w:r>
      <w:r>
        <w:rPr>
          <w:rFonts w:ascii="IRNazanin" w:hAnsi="IRNazanin" w:eastAsia="IRNazanin"/>
          <w:color w:val="111111"/>
          <w:sz w:val="28"/>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فعل ابن أبي شيبة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الشفعة على رؤوس </w:t>
      </w:r>
    </w:p>
    <w:p>
      <w:pPr>
        <w:pStyle w:val="BookText"/>
        <w:rPr/>
      </w:pPr>
      <w:r>
        <w:rPr>
          <w:rFonts w:ascii="IRNazanin" w:hAnsi="IRNazanin" w:eastAsia="IRNazanin"/>
          <w:color w:val="111111"/>
          <w:sz w:val="28"/>
          <w:sz w:val="28"/>
          <w:szCs w:val="28"/>
          <w:rtl w:val="true"/>
          <w:lang w:bidi="fa-IR"/>
        </w:rPr>
        <w:t>الرجال</w:t>
      </w:r>
      <w:r>
        <w:rPr>
          <w:rFonts w:eastAsia="IRNazanin" w:cs="IRNazanin"/>
          <w:color w:val="111111"/>
          <w:sz w:val="28"/>
          <w:szCs w:val="28"/>
          <w:rtl w:val="true"/>
          <w:lang w:bidi="fa-IR"/>
        </w:rPr>
        <w:t>)</w:t>
      </w:r>
      <w:r>
        <w:rPr>
          <w:rStyle w:val="FootnoteAnchor"/>
          <w:rtl w:val="true"/>
        </w:rPr>
        <w:footnoteReference w:id="174"/>
      </w:r>
      <w:r>
        <w:rPr>
          <w:rFonts w:ascii="Amiri" w:hAnsi="Amiri" w:eastAsia="Amiri" w:cs="Amiri"/>
          <w:color w:val="111111"/>
          <w:sz w:val="28"/>
          <w:sz w:val="28"/>
          <w:szCs w:val="28"/>
          <w:rtl w:val="true"/>
          <w:lang w:bidi="ar-SA"/>
        </w:rPr>
        <w:t>، وذكر كلماتهم في ذلك، فيظهر منهم الفراغ عن ثبوتها مع الكثرة كما لا يخفى، وكذا ما في المجموع</w:t>
      </w:r>
      <w:r>
        <w:rPr>
          <w:rStyle w:val="FootnoteAnchor"/>
          <w:rtl w:val="true"/>
        </w:rPr>
        <w:footnoteReference w:id="175"/>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والمغني لابن قدامة</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 أقف على من قال بالمنع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الاستبصار علّل طرح روايات القول الثاني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 مذهب بعض العامّة</w:t>
      </w:r>
      <w:r>
        <w:rPr>
          <w:rFonts w:eastAsia="Amiri" w:cs="Amiri" w:ascii="Amiri" w:hAnsi="Amiri"/>
          <w:color w:val="111111"/>
          <w:sz w:val="28"/>
          <w:szCs w:val="28"/>
          <w:rtl w:val="true"/>
          <w:lang w:bidi="ar-SA"/>
        </w:rPr>
        <w:t>)</w:t>
      </w:r>
      <w:r>
        <w:rPr>
          <w:rStyle w:val="FootnoteAnchor"/>
          <w:rtl w:val="true"/>
        </w:rPr>
        <w:footnoteReference w:id="177"/>
      </w:r>
      <w:r>
        <w:rPr>
          <w:rFonts w:ascii="Amiri" w:hAnsi="Amiri" w:eastAsia="Amiri" w:cs="Amiri"/>
          <w:color w:val="111111"/>
          <w:sz w:val="28"/>
          <w:sz w:val="28"/>
          <w:szCs w:val="28"/>
          <w:rtl w:val="true"/>
          <w:lang w:bidi="ar-SA"/>
        </w:rPr>
        <w:t>، وكذا في التهذيب</w:t>
      </w:r>
      <w:r>
        <w:rPr>
          <w:rStyle w:val="FootnoteAnchor"/>
          <w:rtl w:val="true"/>
        </w:rPr>
        <w:footnoteReference w:id="178"/>
      </w:r>
      <w:r>
        <w:rPr>
          <w:rFonts w:ascii="Amiri" w:hAnsi="Amiri" w:eastAsia="Amiri" w:cs="Amiri"/>
          <w:color w:val="111111"/>
          <w:sz w:val="28"/>
          <w:sz w:val="28"/>
          <w:szCs w:val="28"/>
          <w:rtl w:val="true"/>
          <w:lang w:bidi="ar-SA"/>
        </w:rPr>
        <w:t>، فقد يفهم من كلامه وجود قائل بالمنع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خلاف ما يظهر من السيّد المرتضى؛ إذ ظاهر عبارته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اتّفاقهم على القول بالثبوت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يوجد في كتبهم ما يشير إلى وجود قول بالمنع عندهم كما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وكيفما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الوجه لحلّ التعارض بين الطائفتين يبدو أنّه في محلّه؛ إذ بعد استقرار التعارض بين الطائفتين تصل النوبة إلى المرجّحات، والطائفة الأولى مخالفة للعامّة، فتقدّم على الثانية</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لا يخفى أنّه متوقّف على عدم إمكان الجمع العرفي بين الطائفتين الذي سيأتي عرض وجوهه</w:t>
      </w:r>
      <w:r>
        <w:rPr>
          <w:rFonts w:eastAsia="Amiri" w:cs="Amiri" w:ascii="Amiri" w:hAnsi="Amiri"/>
          <w:color w:val="111111"/>
          <w:sz w:val="28"/>
          <w:szCs w:val="28"/>
          <w:rtl w:val="true"/>
          <w:lang w:bidi="ar-SA"/>
        </w:rPr>
        <w:t xml:space="preserve">. </w:t>
      </w:r>
      <w:bookmarkStart w:id="191" w:name="pg9142_80609"/>
    </w:p>
    <w:p>
      <w:pPr>
        <w:pStyle w:val="Heading6"/>
        <w:numPr>
          <w:ilvl w:val="5"/>
          <w:numId w:val="1"/>
        </w:numPr>
        <w:rPr/>
      </w:pPr>
      <w:bookmarkStart w:id="192" w:name="__RefHeading___Toc3266182_2870459653"/>
      <w:bookmarkStart w:id="193" w:name="_Toc72"/>
      <w:bookmarkEnd w:id="191"/>
      <w:bookmarkEnd w:id="192"/>
      <w:r>
        <w:rPr>
          <w:rtl w:val="true"/>
        </w:rPr>
        <w:t>الوجه الثاني</w:t>
      </w:r>
      <w:bookmarkEnd w:id="193"/>
    </w:p>
    <w:p>
      <w:pPr>
        <w:pStyle w:val="BookText"/>
        <w:rPr/>
      </w:pPr>
      <w:r>
        <w:rPr>
          <w:rFonts w:ascii="Amiri" w:hAnsi="Amiri" w:eastAsia="Amiri" w:cs="Amiri"/>
          <w:color w:val="111111"/>
          <w:sz w:val="28"/>
          <w:sz w:val="28"/>
          <w:szCs w:val="28"/>
          <w:rtl w:val="true"/>
          <w:lang w:bidi="ar-SA"/>
        </w:rPr>
        <w:t xml:space="preserve">حمل الروايات الدالّة على ثبوت الشفعة على أنّ الجمع الوارد فيها كلفظ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يراد منه الاثنان، لا أكثر، فيرتفع التعارض بين الطائفتين، وقد ذكر هذا الجمع جماعة من الأعلام كالسيّد المرتضى،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 حمل هذه اللفظة على الشريكين في ملك واحد على أحد 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على قول من يجعل أقلّ الجمع الاثنين</w:t>
      </w:r>
      <w:r>
        <w:rPr>
          <w:rStyle w:val="FootnoteAnchor"/>
          <w:rtl w:val="true"/>
        </w:rPr>
        <w:footnoteReference w:id="179"/>
      </w:r>
    </w:p>
    <w:p>
      <w:pPr>
        <w:pStyle w:val="BookText"/>
        <w:rPr/>
      </w:pPr>
      <w:r>
        <w:rPr>
          <w:rFonts w:ascii="Amiri" w:hAnsi="Amiri" w:eastAsia="Amiri" w:cs="Amiri"/>
          <w:color w:val="111111"/>
          <w:sz w:val="28"/>
          <w:sz w:val="28"/>
          <w:szCs w:val="28"/>
          <w:rtl w:val="true"/>
          <w:lang w:bidi="ar-SA"/>
        </w:rPr>
        <w:t>أو على سبيل المجاز،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لَهُ إِخْوَةٌ</w:t>
      </w:r>
      <w:r>
        <w:rPr>
          <w:rFonts w:eastAsia="Amiri" w:cs="Amiri" w:ascii="Amiri" w:hAnsi="Amiri"/>
          <w:color w:val="111111"/>
          <w:sz w:val="28"/>
          <w:szCs w:val="28"/>
          <w:rtl w:val="true"/>
          <w:lang w:bidi="ar-SA"/>
        </w:rPr>
        <w:t>(</w:t>
      </w:r>
      <w:r>
        <w:rPr>
          <w:rStyle w:val="FootnoteAnchor"/>
          <w:rtl w:val="true"/>
        </w:rPr>
        <w:footnoteReference w:id="180"/>
      </w:r>
      <w:r>
        <w:rPr>
          <w:rFonts w:ascii="Amiri" w:hAnsi="Amiri" w:eastAsia="Amiri" w:cs="Amiri"/>
          <w:color w:val="111111"/>
          <w:sz w:val="28"/>
          <w:sz w:val="28"/>
          <w:szCs w:val="28"/>
          <w:rtl w:val="true"/>
          <w:lang w:bidi="ar-SA"/>
        </w:rPr>
        <w:t>، والعلّامة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 أن يراد الاثنان من لفظ الجمع</w:t>
      </w:r>
      <w:r>
        <w:rPr>
          <w:rFonts w:eastAsia="Amiri" w:cs="Amiri" w:ascii="Amiri" w:hAnsi="Amiri"/>
          <w:color w:val="111111"/>
          <w:sz w:val="28"/>
          <w:szCs w:val="28"/>
          <w:rtl w:val="true"/>
          <w:lang w:bidi="ar-SA"/>
        </w:rPr>
        <w:t>)</w:t>
      </w:r>
      <w:r>
        <w:rPr>
          <w:rStyle w:val="FootnoteAnchor"/>
          <w:rtl w:val="true"/>
        </w:rPr>
        <w:footnoteReference w:id="181"/>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وقال في الحدائق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ويمكن الجواب أيضاً بحمل الجمع على الاثنين، فإنّه وإن كان مجازاً على المشهور بين الأصوليين، إلّا أنّه لا بأس به في مقام الجمع بين الأخبار، وإليه يميل كلام المحقّق الأردبيلي في شرح الإرشاد</w:t>
      </w:r>
      <w:r>
        <w:rPr>
          <w:rStyle w:val="FootnoteAnchor"/>
          <w:rtl w:val="true"/>
        </w:rPr>
        <w:footnoteReference w:id="182"/>
      </w:r>
      <w:r>
        <w:rPr>
          <w:rFonts w:ascii="IRNazanin" w:hAnsi="IRNazanin" w:eastAsia="IRNazanin"/>
          <w:color w:val="111111"/>
          <w:sz w:val="28"/>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ونقله أيضاً عن 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أنّ ما قدّمناه في سابق هذا الشرط من التحقيق وأنّ الأصل بمقتضى الأدلّة العقلية والنقلية كتاباً وسنّةً والإجماع هو عدم جواز الشفعة التي هي عبارة عن التصرّف في مال الغير بغير إذنه، فيتوقّف الخروج عن هذا الأصل الأصيل على دليل واضح صريح صحيح في جواز الشفعة، والذي دلّت عليه الأخبار المعتمدة بصريحها هو التخصيص بصورة ما إذا كانا اثنين خاصّة، وما دلّ على 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لتطرّق الاحتمال إليه بالحمل على التقية التي هي في اختلاف الأحكام الشرعية أصل كلّ بلية، </w:t>
      </w:r>
    </w:p>
    <w:p>
      <w:pPr>
        <w:pStyle w:val="BookText"/>
        <w:rPr/>
      </w:pPr>
      <w:r>
        <w:rPr>
          <w:rFonts w:ascii="Amiri" w:hAnsi="Amiri" w:eastAsia="Amiri" w:cs="Amiri"/>
          <w:color w:val="111111"/>
          <w:sz w:val="28"/>
          <w:sz w:val="28"/>
          <w:szCs w:val="28"/>
          <w:rtl w:val="true"/>
          <w:lang w:bidi="ar-SA"/>
        </w:rPr>
        <w:t xml:space="preserve">واحتمال الحمل على التجوّز الذي هو باب واسع في الآيات والروايات، وكلام البلغاء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الخروج به عن ذلك الأصل المشار إليه</w:t>
      </w:r>
      <w:r>
        <w:rPr>
          <w:rFonts w:eastAsia="Amiri" w:cs="Amiri" w:ascii="Amiri" w:hAnsi="Amiri"/>
          <w:color w:val="111111"/>
          <w:sz w:val="28"/>
          <w:szCs w:val="28"/>
          <w:rtl w:val="true"/>
          <w:lang w:bidi="ar-SA"/>
        </w:rPr>
        <w:t>)</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الحمل لا يتأتّى في بعض الروايات المتقدّمة، كالرواية الأولى وهي صحيحة منصور بن حازم؛ فإنّ الجمع فيها بالإضافة إلى من يأخذ بالشفعة، فهي حينئذ تدلّ على ثبوت الشفعة للشريكين إذا أراد ثالثهما بيع حصّته، فتدلّ على ثبوت الشفعة مع كون الشركاء أكثر من اثنين، فكون أقلّ الجمع اثنين لا يغني شيئاً، قال بعض الأعلام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ينفع حمله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بقرينة نصوص قصر الشفعة على الشريكين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استعمال الجمع في اثنين فما زاد؛ لأنّ ذلك إنّما ينفع فيما إذا أريد بالشركاء ما يعمّ البائع، والصحيح صريح في كون المراد بهم شركاء البائع، فهم معه أكثر من اثنين قطعاً</w:t>
      </w:r>
      <w:r>
        <w:rPr>
          <w:rFonts w:eastAsia="Amiri" w:cs="Amiri" w:ascii="Amiri" w:hAnsi="Amiri"/>
          <w:color w:val="111111"/>
          <w:sz w:val="28"/>
          <w:szCs w:val="28"/>
          <w:rtl w:val="true"/>
          <w:lang w:bidi="ar-SA"/>
        </w:rPr>
        <w:t>)</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وكذا الكلام في الروايتين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الثانية والثالثة لمنصور بن حازم، ففي الرواية الثانية قال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الجواب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أراد صاحب الطريق بيعه فإنّهم أحقّ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فلو كان المقصود شريكين فمع إرادة صاحب الطريق البيع يكون الباقي واحداً، فكيف يعبّر الإمام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فإنّهم أحقّ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ويريد من ضمير الجمع الشريك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ونفس التعبير ورد في الرواية الثالثة</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كون أقلّ الجمع اثنين لا يغني شيئاً في روايات منصور بن حازم؛ فإنّها </w:t>
      </w:r>
    </w:p>
    <w:p>
      <w:pPr>
        <w:pStyle w:val="BookText"/>
        <w:rPr/>
      </w:pPr>
      <w:r>
        <w:rPr>
          <w:rFonts w:ascii="Amiri" w:hAnsi="Amiri" w:eastAsia="Amiri" w:cs="Amiri"/>
          <w:color w:val="111111"/>
          <w:sz w:val="28"/>
          <w:sz w:val="28"/>
          <w:szCs w:val="28"/>
          <w:rtl w:val="true"/>
          <w:lang w:bidi="ar-SA"/>
        </w:rPr>
        <w:t>حينئذ تدلّ على ثبوت الشفعة للشريكين إذا باع ثالثهما حصّته، ومن هنا قال بعض الأعلام في موضع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مجال 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حمل الجمع على الاثنين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أحاديث منصور؛ لصراحتها في ثبوت الشفعة للشركاء في الطريق بعد البيع المتوقّف على تعدّد شركاء البائع</w:t>
      </w:r>
      <w:r>
        <w:rPr>
          <w:rFonts w:eastAsia="Amiri" w:cs="Amiri" w:ascii="Amiri" w:hAnsi="Amiri"/>
          <w:color w:val="111111"/>
          <w:sz w:val="28"/>
          <w:szCs w:val="28"/>
          <w:rtl w:val="true"/>
          <w:lang w:bidi="ar-SA"/>
        </w:rPr>
        <w:t>)</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يمكن هذا الحمل ثبوتاً للروايتين الرابعة والخامسة اللتين عبّرتا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الشفعة على عدد الرجال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إطلاق الجمع وإرادة الاثنين وارد في الاستعمالات، وكذا في الرواية السادسة، حيث جاء فيها هكذا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قضى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بالشفعة بين الشركاء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 إمكان هذا الحمل في كلّ روايات الطائفة الثانية ثبوتاً إلّا أنّه يبقى إطلاق لفظ الجمع وإرادة الاثنين خلاف الظاهر؛ لأنّه مجاز عند مشهور الأصوليين</w:t>
      </w:r>
      <w:r>
        <w:rPr>
          <w:rStyle w:val="FootnoteAnchor"/>
          <w:rtl w:val="true"/>
        </w:rPr>
        <w:footnoteReference w:id="186"/>
      </w:r>
      <w:r>
        <w:rPr>
          <w:rFonts w:ascii="IRNazanin" w:hAnsi="IRNazanin" w:eastAsia="IRNazanin"/>
          <w:color w:val="111111"/>
          <w:sz w:val="28"/>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صرّح به صاحب الحدائق في عبارته المنقولة سابقاً، فلا يصار إليه إلّا إذا تمّت قرينة بأن تكون الروايات المعارضة أظهر أو ما شابه، وإلّا فيكون حمل الجمع على الاثنين تحكّماً، قال المحقّق الخوانساري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ما ذكر من حمل لفظ الرجال والشركاء على ما ذكر بلا قرينة فبعيد؛ حيث إنّ المتكلّم الحكيم إذا كان في مقام البيان كيف </w:t>
      </w:r>
      <w:bookmarkStart w:id="194" w:name="pg9142_80612"/>
    </w:p>
    <w:p>
      <w:pPr>
        <w:pStyle w:val="BookText"/>
        <w:rPr/>
      </w:pPr>
      <w:bookmarkEnd w:id="194"/>
      <w:r>
        <w:rPr>
          <w:rFonts w:ascii="Amiri" w:hAnsi="Amiri" w:eastAsia="Amiri" w:cs="Amiri"/>
          <w:color w:val="111111"/>
          <w:sz w:val="28"/>
          <w:sz w:val="28"/>
          <w:szCs w:val="28"/>
          <w:rtl w:val="true"/>
          <w:lang w:bidi="ar-SA"/>
        </w:rPr>
        <w:t>يتكلّم بكلام له ظاهر ويريد المعنى الآخر غير ما يكون الكلام ظاهراً فيه بلا قرينة عليه؟</w:t>
      </w:r>
      <w:r>
        <w:rPr>
          <w:rFonts w:eastAsia="Amiri" w:cs="Amiri" w:ascii="Amiri" w:hAnsi="Amiri"/>
          <w:color w:val="111111"/>
          <w:sz w:val="28"/>
          <w:szCs w:val="28"/>
          <w:rtl w:val="true"/>
          <w:lang w:bidi="ar-SA"/>
        </w:rPr>
        <w:t>)</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المحقّق الأردبيلي ادّعى بأنّه لا مانع من إطلاق الجمع كالقوم وإرادة الواحد فضلاً عن الاثنين</w:t>
      </w:r>
      <w:r>
        <w:rPr>
          <w:rStyle w:val="FootnoteAnchor"/>
          <w:rtl w:val="true"/>
        </w:rPr>
        <w:footnoteReference w:id="188"/>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ومثله في الحدائق</w:t>
      </w:r>
      <w:r>
        <w:rPr>
          <w:rStyle w:val="FootnoteAnchor"/>
          <w:rtl w:val="true"/>
        </w:rPr>
        <w:footnoteReference w:id="189"/>
      </w:r>
      <w:r>
        <w:rPr>
          <w:rFonts w:ascii="Amiri" w:hAnsi="Amiri" w:eastAsia="Amiri" w:cs="Amiri"/>
          <w:color w:val="111111"/>
          <w:sz w:val="28"/>
          <w:sz w:val="28"/>
          <w:szCs w:val="28"/>
          <w:rtl w:val="true"/>
          <w:lang w:bidi="ar-SA"/>
        </w:rPr>
        <w:t>، وذكره الشيخ أيضاً في الاستبصار في المسألة في مقام الجمع،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يكون المراد بالقوم شريكاً واحداً وإنّما يكون تجوّز في اللفظة بأن عبّر عنه بالقوم</w:t>
      </w:r>
      <w:r>
        <w:rPr>
          <w:rFonts w:eastAsia="Amiri" w:cs="Amiri" w:ascii="Amiri" w:hAnsi="Amiri"/>
          <w:color w:val="111111"/>
          <w:sz w:val="28"/>
          <w:szCs w:val="28"/>
          <w:rtl w:val="true"/>
          <w:lang w:bidi="ar-SA"/>
        </w:rPr>
        <w:t>)</w:t>
      </w:r>
      <w:r>
        <w:rPr>
          <w:rStyle w:val="FootnoteAnchor"/>
          <w:rtl w:val="true"/>
        </w:rPr>
        <w:footnoteReference w:id="190"/>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ولكن ذكر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غير مألوف في الاستعمالات، بل يعدّ غلطاً عرفاً</w:t>
      </w:r>
      <w:r>
        <w:rPr>
          <w:rFonts w:eastAsia="Amiri" w:cs="Amiri" w:ascii="Amiri" w:hAnsi="Amiri"/>
          <w:color w:val="111111"/>
          <w:sz w:val="28"/>
          <w:szCs w:val="28"/>
          <w:rtl w:val="true"/>
          <w:lang w:bidi="ar-SA"/>
        </w:rPr>
        <w: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95" w:name="__RefHeading___Toc3266184_2870459653"/>
      <w:bookmarkStart w:id="196" w:name="_Toc73"/>
      <w:bookmarkEnd w:id="195"/>
      <w:r>
        <w:rPr>
          <w:rtl w:val="true"/>
        </w:rPr>
        <w:t>الوجه الثالث</w:t>
      </w:r>
      <w:bookmarkEnd w:id="196"/>
    </w:p>
    <w:p>
      <w:pPr>
        <w:pStyle w:val="BookText"/>
        <w:rPr/>
      </w:pPr>
      <w:r>
        <w:rPr>
          <w:rFonts w:ascii="Amiri" w:hAnsi="Amiri" w:eastAsia="Amiri" w:cs="Amiri"/>
          <w:color w:val="111111"/>
          <w:sz w:val="28"/>
          <w:sz w:val="28"/>
          <w:szCs w:val="28"/>
          <w:rtl w:val="true"/>
          <w:lang w:bidi="ar-SA"/>
        </w:rPr>
        <w:t xml:space="preserve">ما ذكره جماعة من الأعلام أيضاً كالعلّامة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أراد تعميم الحكم بالنسبة إلى المكلّفين لا بالنسبة إلى قضية واحدة تشترك فيها جماعة</w:t>
      </w:r>
      <w:r>
        <w:rPr>
          <w:rFonts w:eastAsia="Amiri" w:cs="Amiri" w:ascii="Amiri" w:hAnsi="Amiri"/>
          <w:color w:val="111111"/>
          <w:sz w:val="28"/>
          <w:szCs w:val="28"/>
          <w:rtl w:val="true"/>
          <w:lang w:bidi="ar-SA"/>
        </w:rPr>
        <w:t>)</w:t>
      </w:r>
      <w:r>
        <w:rPr>
          <w:rStyle w:val="FootnoteAnchor"/>
          <w:rtl w:val="true"/>
        </w:rPr>
        <w:footnoteReference w:id="192"/>
      </w:r>
      <w:r>
        <w:rPr>
          <w:rFonts w:ascii="IRNazanin" w:hAnsi="IRNazanin" w:eastAsia="IRNazanin"/>
          <w:color w:val="111111"/>
          <w:sz w:val="28"/>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وذكره السيّد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نحمل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الشركاء في الأملاك الكثيرة لا في ملك واحد</w:t>
      </w:r>
      <w:r>
        <w:rPr>
          <w:rFonts w:eastAsia="Amiri" w:cs="Amiri" w:ascii="Amiri" w:hAnsi="Amiri"/>
          <w:color w:val="111111"/>
          <w:sz w:val="28"/>
          <w:szCs w:val="28"/>
          <w:rtl w:val="true"/>
          <w:lang w:bidi="ar-SA"/>
        </w:rPr>
        <w:t>)</w:t>
      </w:r>
      <w:r>
        <w:rPr>
          <w:rStyle w:val="FootnoteAnchor"/>
          <w:rtl w:val="true"/>
        </w:rPr>
        <w:footnoteReference w:id="193"/>
      </w:r>
      <w:r>
        <w:rPr>
          <w:rFonts w:ascii="Amiri" w:hAnsi="Amiri" w:eastAsia="Amiri" w:cs="Amiri"/>
          <w:color w:val="111111"/>
          <w:sz w:val="28"/>
          <w:sz w:val="28"/>
          <w:szCs w:val="28"/>
          <w:rtl w:val="true"/>
          <w:lang w:bidi="ar-SA"/>
        </w:rPr>
        <w:t xml:space="preserve">أي أنّ المنظور من إطلاق لفظ الجمع في الرواية ملاحظة المكلّفَين اللذين تقع منهم الشركة، فأطلق الجمع عليهم تبعاً لتعدّد ما يملك من </w:t>
      </w:r>
      <w:bookmarkStart w:id="197" w:name="pg9142_80613"/>
    </w:p>
    <w:p>
      <w:pPr>
        <w:pStyle w:val="BookText"/>
        <w:rPr/>
      </w:pPr>
      <w:bookmarkEnd w:id="197"/>
      <w:r>
        <w:rPr>
          <w:rFonts w:ascii="Amiri" w:hAnsi="Amiri" w:eastAsia="Amiri" w:cs="Amiri"/>
          <w:color w:val="111111"/>
          <w:sz w:val="28"/>
          <w:sz w:val="28"/>
          <w:szCs w:val="28"/>
          <w:rtl w:val="true"/>
          <w:lang w:bidi="ar-SA"/>
        </w:rPr>
        <w:t>أراضي ومساكن وما شابه وإن كان في كلّ دار وأرض شريكان لا غير، فلا يستفاد من لفظ الجمع أنّ الشفعة تثبت مع الكثرة، قال في الرياض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ويحتمل أيضاً محامل أُخر ذكرها الجماعة، كحمل لفظ الجمع فيها على الاثنين ولو مجازاً، أو على إرادة تعميم الحكم بالنسبة إلى المكلّفين لا بالنسبة إلى قضية واحدة اشترك فيها جماعة، وهما وإن بعدا إلّا أنّه لا بأس بهما جمعاً، وهو أحسن من الطرح مهما أمكن وأولى</w:t>
      </w:r>
      <w:r>
        <w:rPr>
          <w:rFonts w:eastAsia="Amiri" w:cs="Amiri" w:ascii="Amiri" w:hAnsi="Amiri"/>
          <w:color w:val="111111"/>
          <w:sz w:val="28"/>
          <w:szCs w:val="28"/>
          <w:rtl w:val="true"/>
          <w:lang w:bidi="ar-SA"/>
        </w:rPr>
        <w:t>)</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الواضح أنّ هذا الحمل خلاف الظاهر أيضاً، كما اعترف به من قال به، وإنّما ألجأهم إليه الجمع بين الروايات، فلا يصار إليه بلا قرينة، ويمكن أن يقال بوجود القرينة عليه في الرواية الأخيرة، كما جاء عن السيّد السيستاني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بحث لا ضرر تعليقاً عليها، حيث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استخدام صيغة الجمع في الرواية إنّما هو باعتبار ذكر لفظتي الأرضين والمساكن فيها، فهو من مقابلة الجمع بالجمع، وظاهره الانحلال، فلا دلالة في الرواية على ثبوت الشفعة للشركاء بلحاظ مورد واحد من أرض أو مسكن لتقتضي خلاف ما هو المشهور في المسألة</w:t>
      </w:r>
      <w:r>
        <w:rPr>
          <w:rFonts w:eastAsia="IRNazanin" w:cs="IRNazanin"/>
          <w:color w:val="111111"/>
          <w:sz w:val="28"/>
          <w:szCs w:val="28"/>
          <w:rtl w:val="true"/>
          <w:lang w:bidi="fa-IR"/>
        </w:rPr>
        <w:t>)</w:t>
      </w:r>
      <w:r>
        <w:rPr>
          <w:rStyle w:val="FootnoteAnchor"/>
          <w:rtl w:val="true"/>
        </w:rPr>
        <w:footnoteReference w:id="195"/>
      </w:r>
      <w:r>
        <w:rPr>
          <w:rFonts w:ascii="Amiri" w:hAnsi="Amiri" w:eastAsia="Amiri" w:cs="Amiri"/>
          <w:color w:val="111111"/>
          <w:sz w:val="28"/>
          <w:sz w:val="28"/>
          <w:szCs w:val="28"/>
          <w:rtl w:val="true"/>
          <w:lang w:bidi="ar-SA"/>
        </w:rPr>
        <w:t>، فإنّه نظير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نِسَاؤُكُمْ حَرْثٌ لَّكُمْ</w:t>
      </w:r>
      <w:r>
        <w:rPr>
          <w:rStyle w:val="FootnoteAnchor"/>
          <w:rtl w:val="true"/>
        </w:rPr>
        <w:footnoteReference w:id="196"/>
      </w:r>
      <w:r>
        <w:rPr>
          <w:rFonts w:ascii="Amiri" w:hAnsi="Amiri" w:eastAsia="Amiri" w:cs="Amiri"/>
          <w:color w:val="111111"/>
          <w:sz w:val="28"/>
          <w:sz w:val="28"/>
          <w:szCs w:val="28"/>
          <w:rtl w:val="true"/>
          <w:lang w:bidi="ar-SA"/>
        </w:rPr>
        <w:t>، فإنّ المراد به أنّ زوجة كلّ رجل رجل منكم حرث له، وكذا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اركبوا سياراتكم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ظاهره الانحلال، أي أنّ كلّ واحد منكم يركب سيارة نفسه، أمّا في غير هذه الرواية فلا قرينة على هذا الحمل، فلا يصار إليه</w:t>
      </w:r>
      <w:r>
        <w:rPr>
          <w:rFonts w:eastAsia="Amiri" w:cs="Amiri" w:ascii="Amiri" w:hAnsi="Amiri"/>
          <w:color w:val="111111"/>
          <w:sz w:val="28"/>
          <w:szCs w:val="28"/>
          <w:rtl w:val="true"/>
          <w:lang w:bidi="ar-SA"/>
        </w:rPr>
        <w:t>.</w:t>
      </w:r>
    </w:p>
    <w:p>
      <w:pPr>
        <w:pStyle w:val="Heading6"/>
        <w:numPr>
          <w:ilvl w:val="5"/>
          <w:numId w:val="1"/>
        </w:numPr>
        <w:rPr/>
      </w:pPr>
      <w:bookmarkStart w:id="198" w:name="__RefHeading___Toc3266186_2870459653"/>
      <w:bookmarkStart w:id="199" w:name="_Toc74"/>
      <w:bookmarkEnd w:id="198"/>
      <w:r>
        <w:rPr>
          <w:rtl w:val="true"/>
        </w:rPr>
        <w:t>الوجه الرابع</w:t>
      </w:r>
      <w:bookmarkEnd w:id="199"/>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يظهر من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الفقيه، فإنّه روى فيه روايتي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السكوني وطلحة بن زيد الدالّتين على ثبوت الشفعة على عدد الرجال، ثمّ نقل نصّ مرسلة يونس المتقدّمة التي ورد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الشيء بين شريكين لا غيرهما فباع أحدهما نصيبه، فشريكه أحقّ به من غيره، فإذا زاد على الاثنين فلا شفعة لأحد منهم</w:t>
      </w:r>
      <w:r>
        <w:rPr>
          <w:rFonts w:eastAsia="Amiri" w:cs="Amiri" w:ascii="Amiri" w:hAnsi="Amiri"/>
          <w:color w:val="111111"/>
          <w:sz w:val="28"/>
          <w:szCs w:val="28"/>
          <w:rtl w:val="true"/>
          <w:lang w:bidi="ar-SA"/>
        </w:rPr>
        <w:t>)</w:t>
      </w:r>
      <w:r>
        <w:rPr>
          <w:rStyle w:val="FootnoteAnchor"/>
          <w:rtl w:val="true"/>
        </w:rPr>
        <w:footnoteReference w:id="197"/>
      </w:r>
      <w:r>
        <w:rPr>
          <w:rFonts w:ascii="IRNazanin" w:hAnsi="IRNazanin" w:eastAsia="IRNazanin"/>
          <w:color w:val="111111"/>
          <w:sz w:val="28"/>
          <w:sz w:val="28"/>
          <w:szCs w:val="28"/>
          <w:rtl w:val="true"/>
          <w:lang w:bidi="fa-IR"/>
        </w:rPr>
        <w:t>، وقال بعدها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مصنّف هذا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بذلك الشفعة في الحيوان وحده، فأمّا في غير الحيوان فالشفعة واجبة للشركاء وإن كان أكثر من اثنين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واستشهد على هذا الحمل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وتصديق ذلك ما رواه أحمد بن محمّد بن أبي نصر، عن عبد 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مملوكٍ بين شركاءٍ أراد أحدهم بيع نصيبه،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يبيعه،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فإنّهما كانا اثنين فأراد أحدهما بيع نصيبه فلمّا أقدم على البيع قال له شريكه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أحقّ به، 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شفعة في حيوان إلّا أن يكون الشريك فيه واحداً</w:t>
      </w:r>
      <w:r>
        <w:rPr>
          <w:rFonts w:eastAsia="IRNazanin" w:cs="IRNazanin"/>
          <w:color w:val="111111"/>
          <w:sz w:val="28"/>
          <w:szCs w:val="28"/>
          <w:rtl w:val="true"/>
          <w:lang w:bidi="fa-IR"/>
        </w:rPr>
        <w:t>)</w:t>
      </w:r>
      <w:r>
        <w:rPr>
          <w:rStyle w:val="FootnoteAnchor"/>
          <w:rtl w:val="true"/>
        </w:rPr>
        <w:footnoteReference w:id="198"/>
      </w:r>
      <w:r>
        <w:rPr>
          <w:rFonts w:ascii="Amiri" w:hAnsi="Amiri" w:eastAsia="Amiri" w:cs="Amiri"/>
          <w:color w:val="111111"/>
          <w:sz w:val="28"/>
          <w:sz w:val="28"/>
          <w:szCs w:val="28"/>
          <w:rtl w:val="true"/>
          <w:lang w:bidi="ar-SA"/>
        </w:rPr>
        <w:t xml:space="preserve">، فكأنّه جمع بين الطائفتين بحمل الروايات المانعة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الطائفة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الحيوان خاصّة، فإنّها مطلقة تمنع من الشفعة مع التعدّد في الحيوان وغيره، وهذه الصحيحة تمنع في خصوص الحيوان، فيحمل المطلق على المقيّد، وحمل الروايات المثبتة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الطائفة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غيره، واستشهد على هذا الجمع بصحيحة عبد الله بن سنان، حيث حصرت الشفعة في الحيوان بالشريك الواحد بتقريب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مفهوم هذه الرواية ثبوتها في غيره إذا كان أكثر</w:t>
      </w:r>
      <w:r>
        <w:rPr>
          <w:rFonts w:eastAsia="Amiri" w:cs="Amiri" w:ascii="Amiri" w:hAnsi="Amiri"/>
          <w:color w:val="111111"/>
          <w:sz w:val="28"/>
          <w:szCs w:val="28"/>
          <w:rtl w:val="true"/>
          <w:lang w:bidi="ar-SA"/>
        </w:rPr>
        <w:t>)</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ويمكن الجواب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أورده عليه جملة من الأعلام</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ممّا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حمل ذيل مرسلة يونس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المانع عن ثبوت الشفعة إلّا إذا كان الشريك واحداً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الحيوان خلاف ظاهر الرواية جدّاً؛ بل صريحها أنّ الشفعة واجبة في كلّ شيء من حيوان أو أرض أو متاع، بشرط أن يكون ذلك الشيء بين اثنين لا أزيد، فهو صريح في اشتراط الاثنينية في كلّ شيء، فكيف يقول الصدوق إنّ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زاد على الاثنين فلا شفعة لأحدٍ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يراد به الحيوان كما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إلى ما يمكن أن يقال من أنّ الفقرة التي هي محلّ نظره فيما استشهد به على الحمل المذكور من صحيحة ابن سنان معارضة في موردها، فقد مرّ في صحيحة الحلبي من روايات القول الأوّل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نفى أصل ثبوت الشفعة في الحيوان حيث جاء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الحيوان شفعة؟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Style w:val="FootnoteAnchor"/>
          <w:rtl w:val="true"/>
        </w:rPr>
        <w:footnoteReference w:id="201"/>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وأيضاً ورد ذلك في رواية أخرى، وهي موثّقة سليمان بن خالد،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في الحيوان شفعة</w:t>
      </w:r>
      <w:r>
        <w:rPr>
          <w:rFonts w:eastAsia="IRNazanin" w:cs="IRNazanin"/>
          <w:color w:val="111111"/>
          <w:sz w:val="28"/>
          <w:szCs w:val="28"/>
          <w:rtl w:val="true"/>
          <w:lang w:bidi="fa-IR"/>
        </w:rPr>
        <w:t>)</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استدلاله على حمل ذيل مرسلة يونس على الحيوان خاصّة بصحيحة عبد الله بن سنان استدلال بمفهوم اللقب، وهو ليس حجّة عند مشهور الأصوليين، </w:t>
      </w:r>
      <w:bookmarkStart w:id="200" w:name="pg9142_80616"/>
    </w:p>
    <w:p>
      <w:pPr>
        <w:pStyle w:val="BookText"/>
        <w:rPr/>
      </w:pPr>
      <w:bookmarkEnd w:id="200"/>
      <w:r>
        <w:rPr>
          <w:rFonts w:ascii="Amiri" w:hAnsi="Amiri" w:eastAsia="Amiri" w:cs="Amiri"/>
          <w:color w:val="111111"/>
          <w:sz w:val="28"/>
          <w:sz w:val="28"/>
          <w:szCs w:val="28"/>
          <w:rtl w:val="true"/>
          <w:lang w:bidi="ar-SA"/>
        </w:rPr>
        <w:t xml:space="preserve">قال الفاضل المقداد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تخصيص الحيوان بالذكر في اشتراط وحدة الشريك لا يستلزم نفي الحكم عمّا عداه من المبيعات</w:t>
      </w:r>
      <w:r>
        <w:rPr>
          <w:rFonts w:eastAsia="Amiri" w:cs="Amiri" w:ascii="Amiri" w:hAnsi="Amiri"/>
          <w:color w:val="111111"/>
          <w:sz w:val="28"/>
          <w:szCs w:val="28"/>
          <w:rtl w:val="true"/>
          <w:lang w:bidi="ar-SA"/>
        </w:rPr>
        <w:t>)</w:t>
      </w:r>
      <w:r>
        <w:rPr>
          <w:rStyle w:val="FootnoteAnchor"/>
          <w:rtl w:val="true"/>
        </w:rPr>
        <w:footnoteReference w:id="203"/>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فدلالته على ما ذكره المصنّف بمفهوم اللقب الضعيف</w:t>
      </w:r>
      <w:r>
        <w:rPr>
          <w:rFonts w:eastAsia="Amiri" w:cs="Amiri" w:ascii="Amiri" w:hAnsi="Amiri"/>
          <w:color w:val="111111"/>
          <w:sz w:val="28"/>
          <w:szCs w:val="28"/>
          <w:rtl w:val="true"/>
          <w:lang w:bidi="ar-SA"/>
        </w:rPr>
        <w:t>)</w:t>
      </w:r>
      <w:r>
        <w:rPr>
          <w:rStyle w:val="FootnoteAnchor"/>
          <w:rtl w:val="true"/>
        </w:rPr>
        <w:footnoteReference w:id="204"/>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وقال في الرياض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كما ترى؛ لعدم التعارض بين الخبر الذي قيّده والذي استشهد به لتقييده، إذ غايته اشتراط الاتّحاد في الحيوان، وهو لا ينافي اشتراطه في غيره، كما هو مقتضى الخبر الأوّل المفيد بعمومه، بل بصريحه</w:t>
      </w:r>
      <w:r>
        <w:rPr>
          <w:rFonts w:eastAsia="Amiri" w:cs="Amiri" w:ascii="Amiri" w:hAnsi="Amiri"/>
          <w:color w:val="111111"/>
          <w:sz w:val="28"/>
          <w:szCs w:val="28"/>
          <w:rtl w:val="true"/>
          <w:lang w:bidi="ar-SA"/>
        </w:rPr>
        <w:t>)</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من الغريب ما صنعه صاحب الحدائق</w:t>
      </w:r>
      <w:r>
        <w:rPr>
          <w:rStyle w:val="FootnoteAnchor"/>
          <w:rtl w:val="true"/>
        </w:rPr>
        <w:footnoteReference w:id="206"/>
      </w:r>
    </w:p>
    <w:p>
      <w:pPr>
        <w:pStyle w:val="BookText"/>
        <w:rPr/>
      </w:pPr>
      <w:r>
        <w:rPr>
          <w:rFonts w:ascii="Amiri" w:hAnsi="Amiri" w:eastAsia="Amiri" w:cs="Amiri"/>
          <w:color w:val="111111"/>
          <w:sz w:val="28"/>
          <w:sz w:val="28"/>
          <w:szCs w:val="28"/>
          <w:rtl w:val="true"/>
          <w:lang w:bidi="ar-SA"/>
        </w:rPr>
        <w:t xml:space="preserve">من عدّ صحيحة عبد الله بن سنان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استشهد بها الصدوق على تفصيله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روايات القول الأوّل الدالّة على عدم ثبوت الشفعة في ما زاد على الاثنين، مع أنّها لا دلالة فيها على ذلك؛ فإنّ صدرها لم يفرض فيه الشفعة بين الزائد على الاثنين لا نفياً ولا إثباتاً، وذيلها اشترط الوحدة في ثبوت الشفعة في الحيوان، ولم يتعرّض 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عدّها في ذلك لأنّها دالّة على القول المشهور في الجملة</w:t>
      </w:r>
      <w:r>
        <w:rPr>
          <w:rFonts w:eastAsia="Amiri" w:cs="Amiri" w:ascii="Amiri" w:hAnsi="Amiri"/>
          <w:color w:val="111111"/>
          <w:sz w:val="28"/>
          <w:szCs w:val="28"/>
          <w:rtl w:val="true"/>
          <w:lang w:bidi="ar-SA"/>
        </w:rPr>
        <w:t>.</w:t>
      </w:r>
    </w:p>
    <w:p>
      <w:pPr>
        <w:pStyle w:val="Heading6"/>
        <w:numPr>
          <w:ilvl w:val="5"/>
          <w:numId w:val="1"/>
        </w:numPr>
        <w:rPr/>
      </w:pPr>
      <w:bookmarkStart w:id="201" w:name="__RefHeading___Toc3266188_2870459653"/>
      <w:bookmarkStart w:id="202" w:name="_Toc75"/>
      <w:bookmarkEnd w:id="201"/>
      <w:r>
        <w:rPr>
          <w:rtl w:val="true"/>
        </w:rPr>
        <w:t>الوجه الخامس</w:t>
      </w:r>
      <w:bookmarkEnd w:id="202"/>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ذكره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تقديم روايات القول الثاني المثبتة للشفعة مع التعدّد؛ لأنّها أأأظهر، فتعتبر قرينة للتصرّف بروايات القول الأوّل، كما في </w:t>
      </w:r>
    </w:p>
    <w:p>
      <w:pPr>
        <w:pStyle w:val="BookText"/>
        <w:rPr/>
      </w:pPr>
      <w:r>
        <w:rPr>
          <w:rFonts w:ascii="Amiri" w:hAnsi="Amiri" w:eastAsia="Amiri" w:cs="Amiri"/>
          <w:color w:val="111111"/>
          <w:sz w:val="28"/>
          <w:sz w:val="28"/>
          <w:szCs w:val="28"/>
          <w:rtl w:val="true"/>
          <w:lang w:bidi="ar-SA"/>
        </w:rPr>
        <w:t>نظائره من موارد الجمع العرفي، فإنّه بعد أن ذكر الطائفتين من الروايات، وذكر بعض وجوه حلّ التعارض أورد سؤالاً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مع تعارض الروايات الصحيحة تتساقط ويرجع إلى حكم 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وحكم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عدم ثبوت الشفعة مع التعدّد، فهو يتّحد بالنتيجة مع الطائفة الأولى المانعة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وأجاب عنه بما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وفيه نظر؛ لمنع التعارض، لأنّ هذه الروايات</w:t>
      </w:r>
      <w:r>
        <w:rPr>
          <w:rStyle w:val="FootnoteAnchor"/>
          <w:rtl w:val="true"/>
        </w:rPr>
        <w:footnoteReference w:id="207"/>
      </w:r>
      <w:r>
        <w:rPr>
          <w:rFonts w:ascii="Amiri" w:hAnsi="Amiri" w:eastAsia="Amiri" w:cs="Amiri"/>
          <w:color w:val="111111"/>
          <w:sz w:val="28"/>
          <w:sz w:val="28"/>
          <w:szCs w:val="28"/>
          <w:rtl w:val="true"/>
          <w:lang w:bidi="ar-SA"/>
        </w:rPr>
        <w:t xml:space="preserve">أكثر وأوضح دلالة؛ لأنّ رواية ابن سنان التي هي عمدة الباب لا صراحة فيها، حيث إنّه أثبت الشفعة للشريكين باللام المفيدة للاستحقاق أو ما في معناه، والمطلوب لا يتمّ إلّا إذا أريد ثبوتها بين الشريكين لا لهما، ولا ينافيه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تثبت لثلاثة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لا قائل بالفرق بين الاثنين والثلاثة، ولجواز إرادة عدم استحقاق كلّ واحد من الثلاثة بخصوصه دون الآخر، وهذا وإن كان خلاف الظاهر إلّا أنّ فيه طريقاً للجمع، مع أنّ رواية منصور أصحّ طريقاً، ومؤيّدة برواية ابن سنان الآتية</w:t>
      </w:r>
      <w:r>
        <w:rPr>
          <w:rFonts w:eastAsia="Amiri" w:cs="Amiri" w:ascii="Amiri" w:hAnsi="Amiri"/>
          <w:color w:val="111111"/>
          <w:sz w:val="28"/>
          <w:szCs w:val="28"/>
          <w:rtl w:val="true"/>
          <w:lang w:bidi="ar-SA"/>
        </w:rPr>
        <w:t>)</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عمدة روايات القول الأوّل صحيحة عبد الله بن سنان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تكون الشفعة إلّا لشريكين ما لم يتقاسما فإذا صاروا ثلاثة فليس لواحد منهم شفعة</w:t>
      </w:r>
      <w:r>
        <w:rPr>
          <w:rFonts w:eastAsia="Amiri" w:cs="Amiri" w:ascii="Amiri" w:hAnsi="Amiri"/>
          <w:color w:val="111111"/>
          <w:sz w:val="28"/>
          <w:szCs w:val="28"/>
          <w:rtl w:val="true"/>
          <w:lang w:bidi="ar-SA"/>
        </w:rPr>
        <w:t>)</w:t>
      </w:r>
      <w:r>
        <w:rPr>
          <w:rStyle w:val="FootnoteAnchor"/>
          <w:rtl w:val="true"/>
        </w:rPr>
        <w:footnoteReference w:id="209"/>
      </w:r>
      <w:r>
        <w:rPr>
          <w:rFonts w:ascii="IRNazanin" w:hAnsi="IRNazanin" w:eastAsia="IRNazanin"/>
          <w:color w:val="111111"/>
          <w:sz w:val="28"/>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وهي غير صريحة في المدّعى؛ لأنّها تضمّنت ثبوت الشفعة للشريكين، والمطلوب لا يتمّ إلّا إذا أريد ثبوتها بين الشريكين الراجع إلى ثبوتها لواحد منهما، وهو الذي لم يبع حصّته، ففرض ثبوتها للشريكين لا بينهما لا ينافي ثبوتها مع كثرة الشركاء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ينافيه ما جاء في ذيلها من عدم ثبوتها لما إذا كانوا ثلاثة؛ إذ لا قائل بالفرق بين الاثنين والثلاثة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القائل يقول بثبوتها للاثنين وللأكثر، ولا خصوصية للثلاثة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أنّه يجوز أيضاً أن يراد عدم استحقاق كلّ واحد من الثلاثة بخصوصه دون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أنّ هذا الحمل للصحيحة وإن كان خلاف الظاهر إلّا أن فيه طريقاً للجمع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وأجيب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ذكره في الجواهر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وصحيحة منصور لم يذكر فيها حكم الكثرة وإنّما فيها ثبوت الشفعة مع اللفظ الموهم لها، فكيف تصلح معارضة لما ذكر فيه الحكم صريحاً</w:t>
      </w:r>
      <w:r>
        <w:rPr>
          <w:rFonts w:eastAsia="Amiri" w:cs="Amiri" w:ascii="Amiri" w:hAnsi="Amiri"/>
          <w:color w:val="111111"/>
          <w:sz w:val="28"/>
          <w:szCs w:val="28"/>
          <w:rtl w:val="true"/>
          <w:lang w:bidi="ar-SA"/>
        </w:rPr>
        <w:t>!)</w:t>
      </w:r>
      <w:r>
        <w:rPr>
          <w:rStyle w:val="FootnoteAnchor"/>
          <w:rtl w:val="true"/>
        </w:rPr>
        <w:footnoteReference w:id="210"/>
      </w:r>
      <w:r>
        <w:rPr>
          <w:rFonts w:ascii="Amiri" w:hAnsi="Amiri" w:eastAsia="Amiri" w:cs="Amiri"/>
          <w:color w:val="111111"/>
          <w:sz w:val="28"/>
          <w:sz w:val="28"/>
          <w:szCs w:val="28"/>
          <w:rtl w:val="true"/>
          <w:lang w:bidi="ar-SA"/>
        </w:rPr>
        <w:t xml:space="preserve">، فقول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روايات القول الثاني أوضح 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مسلّم، غايته أنّها تدلّ على الثبوت بلفظ الجمع الظاهر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الطائفة الأولى فهي صريحة في المنع مع التعدّد؛ إذ قوله في صحيح ابن سنان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لم يتقاسما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كالصريح في إرادة ثبوت الشفعة بين الشريكين،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لشريكين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باعتبار فرض بيع كلّ واحد من الشريكين حصّته، وعليه فإن لم نقل بأنّ الطائفة الأولى هي الأظهر فلا أقلّ من التكافؤ بينهما، واستقرار التعارض، وأيضاً دعوى أنّ روايات القول الثاني أصحّ سنداً من روايات القول الأوّل وأكثر، غيرُ معلومة، وسوف يأتي مزيد توضيح لهذا في الوجه السادس</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صحيحة عبد الله بن سنان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صاروا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صريح </w:t>
      </w:r>
      <w:bookmarkStart w:id="203" w:name="pg9142_80619"/>
    </w:p>
    <w:p>
      <w:pPr>
        <w:pStyle w:val="BookText"/>
        <w:rPr/>
      </w:pPr>
      <w:bookmarkEnd w:id="203"/>
      <w:r>
        <w:rPr>
          <w:rFonts w:ascii="Amiri" w:hAnsi="Amiri" w:eastAsia="Amiri" w:cs="Amiri"/>
          <w:color w:val="111111"/>
          <w:sz w:val="28"/>
          <w:sz w:val="28"/>
          <w:szCs w:val="28"/>
          <w:rtl w:val="true"/>
          <w:lang w:bidi="ar-SA"/>
        </w:rPr>
        <w:t xml:space="preserve">في عدم ثبوتها مع التعدّد، والمحمل المذكور له في كلامه ممّا لا مورد له عند العرف، وقد اعترف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ما حمل عليه الصحيحة خلاف الظاهر، دعاه إليه الجمع بين الروايات</w:t>
      </w:r>
      <w:r>
        <w:rPr>
          <w:rFonts w:eastAsia="Amiri" w:cs="Amiri" w:ascii="Amiri" w:hAnsi="Amiri"/>
          <w:color w:val="111111"/>
          <w:sz w:val="28"/>
          <w:szCs w:val="28"/>
          <w:rtl w:val="true"/>
          <w:lang w:bidi="ar-SA"/>
        </w:rPr>
        <w:t>.</w:t>
      </w:r>
    </w:p>
    <w:p>
      <w:pPr>
        <w:pStyle w:val="Heading6"/>
        <w:numPr>
          <w:ilvl w:val="5"/>
          <w:numId w:val="1"/>
        </w:numPr>
        <w:rPr/>
      </w:pPr>
      <w:bookmarkStart w:id="204" w:name="__RefHeading___Toc3266190_2870459653"/>
      <w:bookmarkStart w:id="205" w:name="_Toc76"/>
      <w:bookmarkEnd w:id="204"/>
      <w:r>
        <w:rPr>
          <w:rtl w:val="true"/>
        </w:rPr>
        <w:t>الوجه السادس</w:t>
      </w:r>
      <w:bookmarkEnd w:id="205"/>
    </w:p>
    <w:p>
      <w:pPr>
        <w:pStyle w:val="BookText"/>
        <w:rPr/>
      </w:pPr>
      <w:r>
        <w:rPr>
          <w:rFonts w:ascii="Amiri" w:hAnsi="Amiri" w:eastAsia="Amiri" w:cs="Amiri"/>
          <w:color w:val="111111"/>
          <w:sz w:val="28"/>
          <w:sz w:val="28"/>
          <w:szCs w:val="28"/>
          <w:rtl w:val="true"/>
          <w:lang w:bidi="ar-SA"/>
        </w:rPr>
        <w:t xml:space="preserve">ما يمكن أن يقال من أنّ روايات القول الأوّل 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رابعتها مرسلة يونس، وهذه لإرسالها لا اعتبار بها، أمّا الروايتان الثانية والثالثة فنسبتها مع الروايات المجوّزة بشكل 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كموثّقة السكوني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العموم المطلق، ويمكن الجمع العرفي بينهما بالتخصيص، بأن يقال بالجواز إلّا في المملوك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هاتان الروايتان من روايات القول الأوّل لا يشكّلان عائقاً بحسب الصناعة، وإنّما الكلام في الرواية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صحيحة عبد الله بن سنان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تمنع من الشفعة مع الكثرة بشكل مطلق، حيث ورد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تكون الشفعة إلّا لشريكين ما لم يتقاسما، فإذا صاروا ثلاثة فليس لواحد منهم شفعة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تتعارض مع الروايات المثبتة بشكل مطلق مع الكثرة، ولعلّه لذلك ذكر الشهيد الثاني آنفاً أنّ رواية ابن سنان هي عمدة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حال روايات القول الأوّل</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روايات القول الثاني فالرواية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رواية عقبة بن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ضعيفة السند، فتسقط عن الحساب، وأمّا روايات منصور بن حازم الثلاث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قلنا إنّه لا يبعد كونها رواية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على كلّ حال لا تثبت الشفعة مع التعدّد بشكل مطلق، وإنّما في الطريق المشترك بين الدور بالخصوصيات المذكورة في الرواية، وهذا ممّا لا مانع من الالتزام به، وجعله مخصّصاً لروايات المنع، كما صرّح به بعض </w:t>
      </w:r>
    </w:p>
    <w:p>
      <w:pPr>
        <w:pStyle w:val="BookText"/>
        <w:rPr/>
      </w:pPr>
      <w:r>
        <w:rPr>
          <w:rFonts w:ascii="IRNazanin" w:hAnsi="IRNazanin" w:eastAsia="IRNazanin"/>
          <w:color w:val="111111"/>
          <w:sz w:val="28"/>
          <w:sz w:val="28"/>
          <w:szCs w:val="28"/>
          <w:rtl w:val="true"/>
          <w:lang w:bidi="fa-IR"/>
        </w:rPr>
        <w:t>الأعلام</w:t>
      </w:r>
      <w:r>
        <w:rPr>
          <w:rStyle w:val="FootnoteAnchor"/>
          <w:rtl w:val="true"/>
        </w:rPr>
        <w:footnoteReference w:id="211"/>
      </w:r>
      <w:r>
        <w:rPr>
          <w:rFonts w:ascii="Amiri" w:hAnsi="Amiri" w:eastAsia="Amiri" w:cs="Amiri"/>
          <w:color w:val="111111"/>
          <w:sz w:val="28"/>
          <w:sz w:val="28"/>
          <w:szCs w:val="28"/>
          <w:rtl w:val="true"/>
          <w:lang w:bidi="ar-SA"/>
        </w:rPr>
        <w:t>، وقال الصدوق في المقنع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شفعة في سفينة، ولا طريق، ولا حمّام</w:t>
      </w:r>
      <w:r>
        <w:rPr>
          <w:rFonts w:eastAsia="Amiri" w:cs="Amiri" w:ascii="Amiri" w:hAnsi="Amiri"/>
          <w:color w:val="111111"/>
          <w:sz w:val="28"/>
          <w:szCs w:val="28"/>
          <w:rtl w:val="true"/>
          <w:lang w:bidi="ar-SA"/>
        </w:rPr>
        <w:t>)</w:t>
      </w:r>
      <w:r>
        <w:rPr>
          <w:rStyle w:val="FootnoteAnchor"/>
          <w:rtl w:val="true"/>
        </w:rPr>
        <w:footnoteReference w:id="212"/>
      </w:r>
      <w:r>
        <w:rPr>
          <w:rFonts w:ascii="Amiri" w:hAnsi="Amiri" w:eastAsia="Amiri" w:cs="Amiri"/>
          <w:color w:val="111111"/>
          <w:sz w:val="28"/>
          <w:sz w:val="28"/>
          <w:szCs w:val="28"/>
          <w:rtl w:val="true"/>
          <w:lang w:bidi="ar-SA"/>
        </w:rPr>
        <w:t>، فأوّلاً نفى الشفعة في الطريق ونحوه، ثمّ بعد ذلك أفتى بمضمون رواية منصور،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كانت دار فيها دور، وطريق أربابها في عرصة واحدة، فباع أحدهم داراً منها من رجل، فطلب صاحب الدار الأُخرى الشفعة، فإنّ له عليه الشفعة إذا لم يتهيّأ له أن يحوّل باب الدار التي اشتراها إلى موضع آخر، فإن حوّل بابها فلا شفعة لأحد عليه</w:t>
      </w:r>
      <w:r>
        <w:rPr>
          <w:rFonts w:eastAsia="Amiri" w:cs="Amiri" w:ascii="Amiri" w:hAnsi="Amiri"/>
          <w:color w:val="111111"/>
          <w:sz w:val="28"/>
          <w:szCs w:val="28"/>
          <w:rtl w:val="true"/>
          <w:lang w:bidi="ar-SA"/>
        </w:rPr>
        <w:t>)</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 منافاة في كلامه؛ إذ لا مانع من الالتزام بالمنع عن الشفعة مع التعدّد إلّا في مورد رواية منصور بن حازم بما فيها من الخصوصيات، أي أنّنا حتّى في الطريق لا نجوّز الشفعة مع التعدّد إلّا بالخصوصيات التي اشتملت عليها رواية منصور بن حازم، ومثله ما في الفقه المنسوب إلى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214"/>
      </w:r>
      <w:r>
        <w:rPr>
          <w:rFonts w:ascii="IRNazanin" w:hAnsi="IRNazanin" w:eastAsia="IRNazanin"/>
          <w:color w:val="111111"/>
          <w:sz w:val="28"/>
          <w:sz w:val="28"/>
          <w:szCs w:val="28"/>
          <w:rtl w:val="true"/>
          <w:lang w:bidi="fa-IR"/>
        </w:rPr>
        <w:t xml:space="preserve">، وهو أيضاً ما يظهر من السيّد الخوئي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 الشفعة من منهاج الصالحين، مسألة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ومثله السيّد السيستاني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نفس المسألة</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 يبقَ من روايات القول الثاني إلّا موثّقتا السكوني وطلحة بن زيد المثبتتان للشفعة على عدد الرجال، أي أنّهما تثبتان الشفعة في الاثنين فما زاد، 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صحيحة عبد الله بن سنان النافية للشفعة في ما زاد على الاثنين أخصّ من </w:t>
      </w:r>
      <w:bookmarkStart w:id="206" w:name="pg9142_80621"/>
    </w:p>
    <w:p>
      <w:pPr>
        <w:pStyle w:val="BookText"/>
        <w:rPr/>
      </w:pPr>
      <w:bookmarkEnd w:id="206"/>
      <w:r>
        <w:rPr>
          <w:rFonts w:ascii="Amiri" w:hAnsi="Amiri" w:eastAsia="Amiri" w:cs="Amiri"/>
          <w:color w:val="111111"/>
          <w:sz w:val="28"/>
          <w:sz w:val="28"/>
          <w:szCs w:val="28"/>
          <w:rtl w:val="true"/>
          <w:lang w:bidi="ar-SA"/>
        </w:rPr>
        <w:t xml:space="preserve">الموثّقتين؛ لأنّها تثبت الشفعة في الاثنين وتنفيها عمّا زاد، والموثّقتان تثبتان الشفعة مطلقاً، فتخصّص الموثّقتان بالصحيحة، كما أشار إلى هذا بعض الأعلام من تلامذة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7" w:name="__RefHeading___Toc3266192_2870459653"/>
      <w:bookmarkStart w:id="208" w:name="_Toc77"/>
      <w:bookmarkEnd w:id="207"/>
      <w:r>
        <w:rPr>
          <w:rtl w:val="true"/>
        </w:rPr>
        <w:t>نتيجة البحث</w:t>
      </w:r>
      <w:bookmarkEnd w:id="208"/>
    </w:p>
    <w:p>
      <w:pPr>
        <w:pStyle w:val="BookText"/>
        <w:rPr/>
      </w:pPr>
      <w:r>
        <w:rPr>
          <w:rFonts w:ascii="Amiri" w:hAnsi="Amiri" w:eastAsia="Amiri" w:cs="Amiri"/>
          <w:color w:val="111111"/>
          <w:sz w:val="28"/>
          <w:sz w:val="28"/>
          <w:szCs w:val="28"/>
          <w:rtl w:val="true"/>
          <w:lang w:bidi="ar-SA"/>
        </w:rPr>
        <w:t>هي ثبوت الشفعة للاثنين دون الأكثر إلّا في الطريق؛ عملاً بروايات منصور بن حازم، وهو القول الرابع من الأقوال المتقدّمة في صدر المسألة</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ولله الحمد أوّلاً وآخراً وظاهراً وباطناً</w:t>
      </w:r>
      <w:r>
        <w:rPr>
          <w:rFonts w:eastAsia="Amiri" w:cs="Amiri" w:ascii="Amiri" w:hAnsi="Amiri"/>
          <w:color w:val="111111"/>
          <w:sz w:val="28"/>
          <w:szCs w:val="28"/>
          <w:rtl w:val="true"/>
          <w:lang w:bidi="ar-SA"/>
        </w:rPr>
        <w:t>.</w:t>
      </w:r>
      <w:bookmarkStart w:id="209" w:name="pg9142_80622"/>
    </w:p>
    <w:p>
      <w:pPr>
        <w:pStyle w:val="Heading3"/>
        <w:numPr>
          <w:ilvl w:val="2"/>
          <w:numId w:val="1"/>
        </w:numPr>
        <w:rPr/>
      </w:pPr>
      <w:bookmarkStart w:id="210" w:name="__RefHeading___Toc3266194_2870459653"/>
      <w:bookmarkStart w:id="211" w:name="_Toc78"/>
      <w:bookmarkEnd w:id="209"/>
      <w:bookmarkEnd w:id="210"/>
      <w:r>
        <w:rPr>
          <w:rtl w:val="true"/>
        </w:rPr>
        <w:t>مصادر البحث</w:t>
      </w:r>
      <w:bookmarkEnd w:id="211"/>
    </w:p>
    <w:p>
      <w:pPr>
        <w:pStyle w:val="BookText"/>
        <w:rPr/>
      </w:pP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اختيار معرفة الرجال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الكشّي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الشيخ أبو جعفر محمّد بن الحسن الطوسيّ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مهدي الرجائيّ،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لإحياء التراث،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الاستبصار فيما اختلف من الأخبار، شيخ الطائفة أبو جعفر 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حسن الموسويّ الخرسان،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خورشيد،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lang w:bidi="ar-SA"/>
        </w:rPr>
        <w:t>1363</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الانتصار، السيد المرتضى علم الهدى علي بن الحسين الموسويّ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436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التابعة لجماعة المدرّسين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إيضاح الفوائد في شرح إشكالات القواعد، الشيخ أبو طالب محمّد بن الحسن بن يوسف بن المطهّر الحلّيّ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770</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حسين الموسويّ الكرمانيّ، الشيخ عليّ پناه الاشتهاديّ، الشيخ عبد الرحيم البروجرديّ، المطبعة العلميّة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الأولى،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تذكرة الفقهاء، العلّامة الحسن بن يوسف بن المطهّر الحلّي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لإحياء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الأولى،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تعليقة على منهج المقال، الشيخ محمّد باقر الوحيد البهبهانيّ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1205</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النشر الإسلامي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التنقيح الرائع لمختصر الشرائع، الشيخ جمال الدين مقداد بن عبد الله السيوريّ</w:t>
      </w:r>
    </w:p>
    <w:p>
      <w:pPr>
        <w:pStyle w:val="BookText"/>
        <w:rPr/>
      </w:pPr>
      <w:r>
        <w:rPr>
          <w:rFonts w:ascii="Amiri" w:hAnsi="Amiri" w:eastAsia="Amiri" w:cs="Amiri"/>
          <w:color w:val="111111"/>
          <w:sz w:val="28"/>
          <w:sz w:val="28"/>
          <w:szCs w:val="28"/>
          <w:rtl w:val="true"/>
          <w:lang w:bidi="ar-SA"/>
        </w:rPr>
        <w:t xml:space="preserve">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826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عبد اللطيف الحسينيّ الكوهكمريّ،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السيّد المرعشي النجفي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مطبعة الخيام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تهذيب الأحكام في شرح المقنعة، شيخ الطائفة أبو جعفر 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هاشم رسولي المحلّاتيّ، الناشر دار الكتب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جامع الرواة وإزاحة الاشتباه عن الطرق والإسناد، العلّامة محمّد بن عليّ الأردبيليّ الغرويّ الحائريّ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1101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المحمّديّ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جامع المدارك في شرح المختصر النافع، الحاج السيّد أحمد الخوانساري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أكبر الغفاريّ،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 في شرح 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علي بن عبد العالي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940</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لإحياء التراث،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الأولى،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المهدية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تاريخ الطبع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 الأوّل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جامع المقاصد في شرح القواعد، الشيخ عليّ بن الحسين الكركيّ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940</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الثانية،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جواهر الكلام في شرح شرائع الإسلام، الشيخ محمّد حسن النجفيّ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1266</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عباس القوچائيّ،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إحياء التراث العربيّ،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السابعة، </w:t>
      </w:r>
      <w:r>
        <w:rPr>
          <w:rFonts w:eastAsia="IRNazanin" w:cs="IRNazanin"/>
          <w:color w:val="111111"/>
          <w:sz w:val="28"/>
          <w:szCs w:val="28"/>
          <w:lang w:bidi="fa-IR"/>
        </w:rPr>
        <w:t>1404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الحدائق الناضرة في أحكام العترة الطاهرة، المحدّث الشيخ يوسف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1186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خاتمة مستدرك الوسائل، الميرزا الشيخ حسين النوريّ الطبرسيّ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لإحياء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الأولى،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خلاصة الأقوال في معرفة أحوال الرجال، العلّامة أبو منصور الحسن بن يوسف المطهّر الأسدي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صادق بحر العلوم،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الذخائر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الخلاف، الشيخ أبو جعفر 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عليّ الخراسانيّ، السيّد جواد الشهرستانيّ، الشيخ مهدي طه نجف، الشيخ مجتبى العراقيّ،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 انتشارات إسلاميّ،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الدروس الشرعية في فقه الإمامية، الشيخ شمس الدين محمّد بن مكي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786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المشرّفة،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روضة المتّقين في شرح من لا يحضره الفقيه، المولى محمّد تقي المجلسيّ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1070</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نمّقه وعلّق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حسين الموسويّ الكرمانيّ، والشيخ علي پناه الإشتهارديّ،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بنياد فرهنك إسلاميّ حاج محمّد حسين كوشانپور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رياض المسائل في بيان أحكام الشرع بالدلائل، السيّد عليّ الطباطبائيّ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1231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السرائر الحاوي لتحرير الفتاوي، الشيخ أبو جعفر محمّد بن منصور بن أحمد بن</w:t>
      </w:r>
    </w:p>
    <w:p>
      <w:pPr>
        <w:pStyle w:val="BookText"/>
        <w:rPr/>
      </w:pPr>
      <w:r>
        <w:rPr>
          <w:rFonts w:ascii="Amiri" w:hAnsi="Amiri" w:eastAsia="Amiri" w:cs="Amiri"/>
          <w:color w:val="111111"/>
          <w:sz w:val="28"/>
          <w:sz w:val="28"/>
          <w:szCs w:val="28"/>
          <w:rtl w:val="true"/>
          <w:lang w:bidi="ar-SA"/>
        </w:rPr>
        <w:t xml:space="preserve">إدريس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598</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لجنة التحقيق،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التابعة لجماعة المدرّسين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شرائع الإسلام في مسائل الحلال والحرام، أبو القاسم نجم الدين جعفر بن الحسن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 الحلّي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676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الحسين محمّد عليّ البقّال،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إسماعيليان،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تبصرة المتعلّمين، المحقّق الشيخ ضياء الدين 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1361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الحسّون،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الصحاح تاج اللّغة وصحاح العربيّة، إسماعيل بن حماد الجوهريّ،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عبد الغفور عطّار،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العلم للملايين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lang w:bidi="ar-SA"/>
        </w:rPr>
        <w:t>1987</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عون المعبود شرح سنن أبي داود، أبو الطيّب محمّد شمس الحق العظيم آبادي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1329</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غنية النزوع إلى علمي الأصول والفروع، السيّد حمزة بن عليّ بن زهرة الحلبيّ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585</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إبراهيم البهادري،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الأولى، </w:t>
      </w:r>
      <w:r>
        <w:rPr>
          <w:rFonts w:eastAsia="IRNazanin" w:cs="IRNazanin"/>
          <w:color w:val="111111"/>
          <w:sz w:val="28"/>
          <w:szCs w:val="28"/>
          <w:lang w:bidi="fa-IR"/>
        </w:rPr>
        <w:t>1417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فتح الباري شرح صحيح البخاري، شهاب الدين ابن حجر العسقلانيّ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852</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النشر والطبع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المعرفة للطباعة والنشر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الفقه المنسوب إلى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المؤتمر العالمي للإمام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الأولى،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فهرست أسماء مصنّفي الشيعة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الشيخ الجليل أبو </w:t>
      </w:r>
    </w:p>
    <w:p>
      <w:pPr>
        <w:pStyle w:val="BookText"/>
        <w:rPr/>
      </w:pPr>
      <w:r>
        <w:rPr>
          <w:rFonts w:ascii="Amiri" w:hAnsi="Amiri" w:eastAsia="Amiri" w:cs="Amiri"/>
          <w:color w:val="111111"/>
          <w:sz w:val="28"/>
          <w:sz w:val="28"/>
          <w:szCs w:val="28"/>
          <w:rtl w:val="true"/>
          <w:lang w:bidi="ar-SA"/>
        </w:rPr>
        <w:t xml:space="preserve">العبّاس أحمد بن عليّ بن أحمد بن العبّاس النجاشي الأسديّ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450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السادسة، </w:t>
      </w:r>
      <w:r>
        <w:rPr>
          <w:rFonts w:eastAsia="Amiri" w:cs="Amiri" w:ascii="Amiri" w:hAnsi="Amiri"/>
          <w:color w:val="111111"/>
          <w:sz w:val="28"/>
          <w:szCs w:val="28"/>
          <w:lang w:bidi="ar-SA"/>
        </w:rPr>
        <w:t>1365</w:t>
      </w:r>
      <w:r>
        <w:rPr>
          <w:rFonts w:ascii="Amiri" w:hAnsi="Amiri" w:eastAsia="Amiri" w:cs="Amiri"/>
          <w:color w:val="111111"/>
          <w:sz w:val="28"/>
          <w:sz w:val="28"/>
          <w:szCs w:val="28"/>
          <w:rtl w:val="true"/>
          <w:lang w:bidi="ar-SA"/>
        </w:rPr>
        <w:t>ﻫ 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الفهرست، شيخ الطائفة أبو جعفر 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نشر الفقاهة،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القاموس المحيط، الفيروز آبادي،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قبسات من علم الرجال، أبحاث السيّد محمّد رضا السيستانيّ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افاداته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جمعها ونظمها السيّد محمّد البكّاء،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المؤرّخ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1437</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قواعد الأحكام في معرفة الحلال والحرام، الشيخ أبو منصور الحسن بن يوسف بن المطهّر الأسديّ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الحلّي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الشيخ أبو جعفر محمّد بن يعقوب بن إسحاق الكلينيّ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علي أكبر الغفاري ومحمّد الآخونديّ،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كشف الرموز في شرح المختصر النافع، زين الدين أبي علي الحسن بن أبي طالب المعروف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الفاضل الآبي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690</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علي پناه الإشتهاردي، الحاج آغا حسين اليزدي،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الإسلامي التابعة لجماعة المدرّسين بقمّ المشرفة، تاريخ الطبع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 الحجّة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كفاية الفقه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الأحكام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الشيخ محمّد باقر السبزواريّ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1090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مرتضى الواعظيّ الأراكيّ،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w:t>
      </w:r>
    </w:p>
    <w:p>
      <w:pPr>
        <w:pStyle w:val="BookText"/>
        <w:rPr/>
      </w:pPr>
      <w:r>
        <w:rPr>
          <w:rFonts w:ascii="Amiri" w:hAnsi="Amiri" w:eastAsia="Amiri" w:cs="Amiri"/>
          <w:color w:val="111111"/>
          <w:sz w:val="28"/>
          <w:sz w:val="28"/>
          <w:szCs w:val="28"/>
          <w:rtl w:val="true"/>
          <w:lang w:bidi="ar-SA"/>
        </w:rPr>
        <w:t xml:space="preserve">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1423</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مباني تكملة المنهاج، السيّد أبو القاسم الموسويّ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إحياء آثار الإمام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مجمع الفائدة والبرهان في شرح إرشاد الأذهان، المحقّق المولى أحمد الأردبيليّ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993</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الحاج آغا مجتبى العراقيّ، والشيخ عليّ پناه الاشتهارديّ، والحاج آغا حسين اليزديّ الأصفهانيّ،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الإسلاميّ التابعة لجماعة المدرّسين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المجموع شرح المهذّب، أبو زكريا محيي الدين بن شرف النوويّ،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676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 للطباعة والنشر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المختصر النافع في فقه الإماميّة، الشيخ أبو القاسم نجم الدين جعفر بن حسن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676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الدراسات الإسلامية في مؤسّسة البعثة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lang w:bidi="ar-SA"/>
        </w:rPr>
        <w:t>1402</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مختلف الشيعة في أحكام الشريعة، أبو منصور الحسن بن يوسف بن المطهّر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الحلّي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التابعة لجماعة المدرّسين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مسالك الأفهام إلى تنقيح شرائع الإسلام، الشيخ زين الدين بن علي العامليّ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965</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المعارف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بهمن،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مشيخة الفقيه، الشيخ أبو جعفر محمّد بن عليّ بن الحسين بن بابويه القمّي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أكبر الغفاري،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مصباح الفقاهة، السيّد أبو القاسم الموسويّ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إحياء آثار الإمام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1426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مصباح المنهاج، السيّد محمّد سعيد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جاويد،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المصباح المنير في غريب الشرح الكبير للرافعيّ، أحمد بن محمّد بن علي المقري الفيّوميّ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770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دار الهجرة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مصباح الناسك في شرح المناسك، السيّد تقي الطباطبائيّ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1437</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انتشارات محلاتي، تاريخ النشر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مصنّف ابن أبي شيبة في الأحاديث والآثار،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محمّد بن أبي شيبة الكوفيّ العبسيّ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اللحّام،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للطباعة والنشر والتوزيع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المصنّف، أبو بكر عبد الرزاق بن همام الصنعانيّ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 الرحمن الأعظميّ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معالم العلماء، الشيخ أبو عبد الله محمّد عليّ ابن شهر آشوب المازندرانيّ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588</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مقدَّمة بقلم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صادق آل بحر العلوم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المطبعة الحيدريّة،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1961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معجم رجال الحديث، السيّد أبو القاسم الموسويّ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معجم مقاييس اللّغة، أبو الحسين أحمد بن فارس بن زكريا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395</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السلام هارون،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الإعلام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المغني، أبو محمّد عبد الله بن أحمد بن محمّد بن قدامة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620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العربيّ للنشر والتوزيع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مفتاح الكرامة في شرح قواعد العلّامة، السيد محمّد جواد الحسينيّ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1226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باقر الخالصيّ، نشر وطبع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المقنع، الشيخ أبو جعفر الصدوق محمّد بن عليّ بن الحسين بن بابويه القمي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لجنة التحقيق التابعة لمؤسّسة الإمام 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الإمام 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الأولى،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لا يحضره الفقيه، الشيخ الصدوق أبو جعفر محمّد بن عليّ بن الحسين 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تصحيح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أكبر الغفاري،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منهاج الصالحين، السيّد أبو القاسم الموسويّ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الثامنة والعشرون،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منهاج الصالحين، السيّد عليّ الحسينيّ السيستانيّ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 العالی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 سماحة السيّد السيستانيّ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 العالی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الأولى،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المهذّب البارع في شرح المختصر النافع، جمال الدين أبو العبّاس أحمد بن محمّد بن فهد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مجتبى العراقي،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 التابعة لجماعة المدرّسين بقمّ المشرفة، تاريخ الطبع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غرة رجب المرجّب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النجعة في شرح اللّمعة، الشيخ محمّد تقي التستريّ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مؤسّسة البعثة،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كتابفروشي 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نقد الرجال، السيّد مصطفى بن الحسين الحسيني التفرشيّ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لإحياء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الأولى،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الهداية في الأصول والفروع، الشيخ أبو جعفر الصدوق محمّد بن عليّ بن الحسين ابن بابويه القمي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الإمام 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المشرّفة،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الأولى، </w:t>
      </w:r>
      <w:r>
        <w:rPr>
          <w:rFonts w:eastAsia="IRNazanin" w:cs="IRNazanin"/>
          <w:color w:val="111111"/>
          <w:sz w:val="28"/>
          <w:szCs w:val="28"/>
          <w:lang w:bidi="fa-IR"/>
        </w:rPr>
        <w:t>1418</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الوافي، الشيخ محمّد محسن الفيض الكاشانيّ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1091</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ضياء الدين الحسينيّ،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الإمام أمير 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أصفهان،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طباعة أفست نشاط أصفهان،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الأولى،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bookmarkStart w:id="212" w:name="pg9142_80631"/>
    </w:p>
    <w:p>
      <w:pPr>
        <w:pStyle w:val="Heading2"/>
        <w:numPr>
          <w:ilvl w:val="1"/>
          <w:numId w:val="1"/>
        </w:numPr>
        <w:rPr/>
      </w:pPr>
      <w:bookmarkStart w:id="213" w:name="__RefHeading___Toc3266196_2870459653"/>
      <w:bookmarkStart w:id="214" w:name="_Toc79"/>
      <w:bookmarkEnd w:id="212"/>
      <w:bookmarkEnd w:id="213"/>
      <w:r>
        <w:rPr>
          <w:rtl w:val="true"/>
        </w:rPr>
        <w:t xml:space="preserve">خروج الزّوجة من بيتها بدون إذن زوجها </w:t>
      </w:r>
      <w:r>
        <w:rPr>
          <w:rtl w:val="true"/>
        </w:rPr>
        <w:t xml:space="preserve">- </w:t>
      </w:r>
      <w:r>
        <w:rPr>
          <w:rtl w:val="true"/>
        </w:rPr>
        <w:t xml:space="preserve">الشّيخ محمّد رضا السّاعديّ </w:t>
      </w:r>
      <w:r>
        <w:rPr>
          <w:rtl w:val="true"/>
        </w:rPr>
        <w:t>(</w:t>
      </w:r>
      <w:r>
        <w:rPr>
          <w:rtl w:val="true"/>
        </w:rPr>
        <w:t>دام عزه</w:t>
      </w:r>
      <w:r>
        <w:rPr>
          <w:rtl w:val="true"/>
        </w:rPr>
        <w:t>)</w:t>
      </w:r>
      <w:bookmarkEnd w:id="214"/>
    </w:p>
    <w:p>
      <w:pPr>
        <w:pStyle w:val="Heading3"/>
        <w:numPr>
          <w:ilvl w:val="2"/>
          <w:numId w:val="1"/>
        </w:numPr>
        <w:rPr/>
      </w:pPr>
      <w:bookmarkStart w:id="215" w:name="__RefHeading___Toc3266198_2870459653"/>
      <w:bookmarkStart w:id="216" w:name="_Toc80"/>
      <w:bookmarkEnd w:id="215"/>
      <w:r>
        <w:rPr>
          <w:rtl w:val="true"/>
        </w:rPr>
        <w:t>اشارة</w:t>
      </w:r>
      <w:bookmarkEnd w:id="216"/>
    </w:p>
    <w:p>
      <w:pPr>
        <w:pStyle w:val="BookText"/>
        <w:rPr/>
      </w:pPr>
      <w:r>
        <w:rPr>
          <w:rFonts w:ascii="Amiri" w:hAnsi="Amiri" w:eastAsia="Amiri" w:cs="Amiri"/>
          <w:color w:val="111111"/>
          <w:sz w:val="28"/>
          <w:sz w:val="28"/>
          <w:szCs w:val="28"/>
          <w:rtl w:val="true"/>
          <w:lang w:bidi="ar-SA"/>
        </w:rPr>
        <w:t>إنّ أهمّية وحيويّة كلّ بحث تناط بامتداد ظلاله المنعكسة على الحياة العامّة للناس، فهي ترجمة صادقة وعمليّة للأسس النظريّة المبتني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الأبحاث التي تحظى بأهمّيّة فاعلة في العصر الراهن 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خروج المرأة من بيت الزوجيّة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فقلّما توجد عائلة مسلمة لا تبتلي بمخرجاته</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بين يديك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عزيزي القارئ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محاولة لاستجلاء الموقف الشرعيّ في هذا الموضوع من خلال قراءة ما يمكن أن يكون دليلاً في المسألة مستندين إلى مطارحات متأخّري أعلامنا في علم الفقه والأصول والرجال</w:t>
      </w:r>
      <w:r>
        <w:rPr>
          <w:rFonts w:eastAsia="Amiri" w:cs="Amiri" w:ascii="Amiri" w:hAnsi="Amiri"/>
          <w:color w:val="111111"/>
          <w:sz w:val="28"/>
          <w:szCs w:val="28"/>
          <w:rtl w:val="true"/>
          <w:lang w:bidi="ar-SA"/>
        </w:rPr>
        <w:t xml:space="preserve">.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7" w:name="pg9142_80633"/>
      <w:bookmarkStart w:id="218" w:name="pg9142_80633"/>
      <w:bookmarkEnd w:id="218"/>
    </w:p>
    <w:p>
      <w:pPr>
        <w:pStyle w:val="Heading3"/>
        <w:numPr>
          <w:ilvl w:val="2"/>
          <w:numId w:val="1"/>
        </w:numPr>
        <w:rPr/>
      </w:pPr>
      <w:bookmarkStart w:id="219" w:name="pg9142_80633"/>
      <w:bookmarkStart w:id="220" w:name="__RefHeading___Toc3266200_2870459653"/>
      <w:bookmarkStart w:id="221" w:name="_Toc81"/>
      <w:bookmarkEnd w:id="219"/>
      <w:bookmarkEnd w:id="220"/>
      <w:r>
        <w:rPr>
          <w:rtl w:val="true"/>
        </w:rPr>
        <w:t>المقدّمة</w:t>
      </w:r>
      <w:bookmarkEnd w:id="221"/>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أهمّ الأنظمة الاجتماعية التي حدّدتها الشريعة المقدّسة في تشريعاتها الفرعية نظام الحقوق والواجبات بين أفراد المجتمع، وهذا النظام الفرعي متشجّر من نظام كلّي عامّ، وعموم فوقاني، بل من أصل عقدي، وهو العدل، فكلّ فرد من الأفراد له حقوق، وعليه واجبات، وكثيراً ما ترتبط الحقوق بالواجبات وجوداً وعدماً، فلا تُمنح الحقوق إلّا بعد أداء الواجبات أو مع اقترانهما، فمثلاً حقّ الإنفاق على الزوجة مقرون بوجوب طاعتها له في الفراش، فإذا امتنعت من أداء واجبها تجاه زوجها في الفراش سقط حقّها في الإنفاق عليها، وهذا ما أشارت له الآيات الكريمة، منها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وَلَهُنَّ مِثْلُ الَّذِي عَلَيْهِنَّ بِالْمَعْرُوفِ</w:t>
      </w:r>
      <w:r>
        <w:rPr>
          <w:rStyle w:val="FootnoteAnchor"/>
          <w:rtl w:val="true"/>
        </w:rPr>
        <w:footnoteReference w:id="216"/>
      </w:r>
      <w:r>
        <w:rPr>
          <w:rFonts w:ascii="Amiri" w:hAnsi="Amiri" w:eastAsia="Amiri" w:cs="Amiri"/>
          <w:color w:val="111111"/>
          <w:sz w:val="28"/>
          <w:sz w:val="28"/>
          <w:szCs w:val="28"/>
          <w:rtl w:val="true"/>
          <w:lang w:bidi="ar-SA"/>
        </w:rPr>
        <w:t>، أي لهنّ حقّ، وعليهنّ واجب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بحث الفقهاء هذا النظام الاجتماعي والأسري، تبعاً للنصوص الشرعية في كتبهم الفقهية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حقوق الزوجين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وبيّنوا حقّ كلّ واحد على الآخر، وواجب كلّ زوج تجاه الآخر، وهو ما يطلق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قانون الأحوال الشخصية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علم القانون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المسائل الفقهية الداخلة في هذا الفقه الاجتماعي والأسري مسألة خروج الزوجة من بيت الزوجية بلا إذن الزوج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وأهمّية هذه المسألة تنبع من الآثار الفقهية والاجتماعية المترتّبة عليها لو قيل بحرمة خروجها بغير إذنه، من جهة تحقّق عصيان الزوجة بالخروج الموجب لحرمانها من النفقة، ولإتمامها الصلاة حال سفرها، وربّما أدّى ذلك إلى تعكير صفو العلاقة الزوجية بينها وبين زوجها، من جهة تزاحم مقتضيات خروجها من المنزل مع مقتضيات رعايتها لأسرتها، وقد يصرّ كلّ منهما على مخرج لا يرضي الآخر، فيؤدّي ذلك إلى تفكّك الأسرة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تحرير محلّ النزاع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إشكال ولا خلاف بين الفقهاء في عدم جواز خروج الزوجة من بيت زوجها إلّا بإذنه إذا كان خروجها منافياً لحقّه في الاستمتاع كالجماع وغيره، كما لو كان حاضراً وقادراً على استيفائه، وهذا ما عليه إجماع الفقهاء، وهو القدر المتيقّن من الأدلّة المانعة من الخروج</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لا إشكال ولا خلاف في مشروعية خروجها لأداء ما وجب عليها من فريضة الحجّ وإن كان منافياً لحقّه، وعدم توقّف ذلك على إذن الزوج، بل عليه إجماع </w:t>
      </w:r>
      <w:bookmarkStart w:id="222" w:name="pg9142_80635"/>
    </w:p>
    <w:p>
      <w:pPr>
        <w:pStyle w:val="BookText"/>
        <w:rPr/>
      </w:pPr>
      <w:bookmarkEnd w:id="222"/>
      <w:r>
        <w:rPr>
          <w:rFonts w:ascii="Amiri" w:hAnsi="Amiri" w:eastAsia="Amiri" w:cs="Amiri"/>
          <w:color w:val="111111"/>
          <w:sz w:val="28"/>
          <w:sz w:val="28"/>
          <w:szCs w:val="28"/>
          <w:rtl w:val="true"/>
          <w:lang w:bidi="ar-SA"/>
        </w:rPr>
        <w:t xml:space="preserve">علمائنا، كما يلوح من عبارة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التذكرة</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وإنّما وقع الخلاف والنزاع بين الأعلام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لو كان خروجها غير منافٍ لحقّه في الاستمتاع وبلا مبرّر شرعي، كما لو كان الزوج خارج البيت أو نائماً أو مسافراً أو غيرها من صور عدم التمكّن من الاستمتاع بزوجته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ومنشأ هذا النزاع هو في وجود إطلاق للأدلّة المانعة من الخروج من دون إذنه، أو لا</w:t>
      </w:r>
      <w:r>
        <w:rPr>
          <w:rFonts w:eastAsia="Amiri" w:cs="Amiri" w:ascii="Amiri" w:hAnsi="Amiri"/>
          <w:color w:val="111111"/>
          <w:sz w:val="28"/>
          <w:szCs w:val="28"/>
          <w:rtl w:val="true"/>
          <w:lang w:bidi="ar-SA"/>
        </w:rPr>
        <w:t>.</w:t>
      </w:r>
    </w:p>
    <w:p>
      <w:pPr>
        <w:pStyle w:val="Heading3"/>
        <w:numPr>
          <w:ilvl w:val="2"/>
          <w:numId w:val="1"/>
        </w:numPr>
        <w:rPr/>
      </w:pPr>
      <w:bookmarkStart w:id="223" w:name="__RefHeading___Toc3266202_2870459653"/>
      <w:bookmarkStart w:id="224" w:name="_Toc82"/>
      <w:bookmarkEnd w:id="223"/>
      <w:r>
        <w:rPr>
          <w:rtl w:val="true"/>
        </w:rPr>
        <w:t>الأقوال في المسألة</w:t>
      </w:r>
      <w:bookmarkEnd w:id="224"/>
    </w:p>
    <w:p>
      <w:pPr>
        <w:pStyle w:val="BookText"/>
        <w:rPr/>
      </w:pPr>
      <w:r>
        <w:rPr>
          <w:rFonts w:ascii="Amiri" w:hAnsi="Amiri" w:eastAsia="Amiri" w:cs="Amiri"/>
          <w:color w:val="111111"/>
          <w:sz w:val="28"/>
          <w:sz w:val="28"/>
          <w:szCs w:val="28"/>
          <w:rtl w:val="true"/>
          <w:lang w:bidi="ar-SA"/>
        </w:rPr>
        <w:t>ومن ثَمّ فالأقوال في المسألة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من الخروج إذا لم ينافِ حقّه بنحو الفتوى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الاحتياط الوجوبي بالمنع من الخروج إذا لم ينافِ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الخروج إذا لم ينافِ حقّه وإن كان الأحوط استحباباً 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ذهب إلى القول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القول المشهور بين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أعاظم العصر،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حقّ الزوج على الزوجة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تخرج من بيتها من دون إذنه إذا كان ذلك منافياً لحقّه في الاستمتاع بها بل مطلقاً على الأظهر</w:t>
      </w:r>
      <w:r>
        <w:rPr>
          <w:rFonts w:eastAsia="Amiri" w:cs="Amiri" w:ascii="Amiri" w:hAnsi="Amiri"/>
          <w:color w:val="111111"/>
          <w:sz w:val="28"/>
          <w:szCs w:val="28"/>
          <w:rtl w:val="true"/>
          <w:lang w:bidi="ar-SA"/>
        </w:rPr>
        <w:t>)</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وذهب إلى القول الثاني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في المنهاج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يجوز للزوجة أن تخرج من بيتها بغير إذن زوجها فيما إذا كان خروجها منافياً لحقّ الاستمتاع بها، بل </w:t>
      </w:r>
    </w:p>
    <w:p>
      <w:pPr>
        <w:pStyle w:val="BookText"/>
        <w:rPr/>
      </w:pPr>
      <w:r>
        <w:rPr>
          <w:rFonts w:ascii="IRNazanin" w:hAnsi="IRNazanin" w:eastAsia="IRNazanin"/>
          <w:color w:val="111111"/>
          <w:sz w:val="28"/>
          <w:sz w:val="28"/>
          <w:szCs w:val="28"/>
          <w:rtl w:val="true"/>
          <w:lang w:bidi="fa-IR"/>
        </w:rPr>
        <w:t>مطلقاً على الأحوط</w:t>
      </w:r>
      <w:r>
        <w:rPr>
          <w:rFonts w:eastAsia="IRNazanin" w:cs="IRNazanin"/>
          <w:color w:val="111111"/>
          <w:sz w:val="28"/>
          <w:szCs w:val="28"/>
          <w:rtl w:val="true"/>
          <w:lang w:bidi="fa-IR"/>
        </w:rPr>
        <w:t>)</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وتبعه على ذلك بعض أعيان تلامذته في رسالته الفتوائية</w:t>
      </w:r>
      <w:r>
        <w:rPr>
          <w:rStyle w:val="FootnoteAnchor"/>
          <w:rtl w:val="true"/>
        </w:rPr>
        <w:footnoteReference w:id="220"/>
      </w:r>
      <w:r>
        <w:rPr>
          <w:rFonts w:ascii="Amiri" w:hAnsi="Amiri" w:eastAsia="Amiri" w:cs="Amiri"/>
          <w:color w:val="111111"/>
          <w:sz w:val="28"/>
          <w:sz w:val="28"/>
          <w:szCs w:val="28"/>
          <w:rtl w:val="true"/>
          <w:lang w:bidi="ar-SA"/>
        </w:rPr>
        <w:t xml:space="preserve">وإن اختلفت كلماته في بعض كتبه، حيث فصّل في موضع منه بين أن يكون خروجها منافياً لحقّه فمنع منه، وبين أن لا يكون منافياً فلم يمنع منه،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معلّقاً على عبارة العروة الوثقى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وسفر الزوجة بدون إذن الزوج في غير الواجب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سفرها إنّما يكون محرّماً إذا كان موجباً لتفويت حقّ زوجها، لا مطلقاً، وأمّا إذا لم يكن موجباً لذلك فلا دليل على حرمته</w:t>
      </w:r>
      <w:r>
        <w:rPr>
          <w:rFonts w:eastAsia="Amiri" w:cs="Amiri" w:ascii="Amiri" w:hAnsi="Amiri"/>
          <w:color w:val="111111"/>
          <w:sz w:val="28"/>
          <w:szCs w:val="28"/>
          <w:rtl w:val="true"/>
          <w:lang w:bidi="ar-SA"/>
        </w:rPr>
        <w:t>)</w:t>
      </w:r>
      <w:r>
        <w:rPr>
          <w:rStyle w:val="FootnoteAnchor"/>
          <w:rtl w:val="true"/>
        </w:rPr>
        <w:footnoteReference w:id="221"/>
      </w:r>
      <w:r>
        <w:rPr>
          <w:rFonts w:ascii="IRNazanin" w:hAnsi="IRNazanin" w:eastAsia="IRNazanin"/>
          <w:color w:val="111111"/>
          <w:sz w:val="28"/>
          <w:sz w:val="28"/>
          <w:szCs w:val="28"/>
          <w:rtl w:val="true"/>
          <w:lang w:bidi="fa-IR"/>
        </w:rPr>
        <w:t>، وأطلق المنع في موضع آخر، فقال معلّقاً على صحيحة محمّد بن مسلم الآتية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تخرج من بيتها إلّا بإذنه ظاهر في حرمة الخروج منه بدون إذنه وإن لم يكن منافياً لحقّه، كالاستمتاع أو نحوه، كما هو مقتضى إطلاقه</w:t>
      </w:r>
      <w:r>
        <w:rPr>
          <w:rFonts w:eastAsia="IRNazanin" w:cs="IRNazanin"/>
          <w:color w:val="111111"/>
          <w:sz w:val="28"/>
          <w:szCs w:val="28"/>
          <w:rtl w:val="true"/>
          <w:lang w:bidi="fa-IR"/>
        </w:rPr>
        <w:t>)</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وذهب إلى القول الثالث بعض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في المنهاج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 للزوجة أن تخرج من بيتها بغير إذن زوجها فيما إذا كان خروجها منافياً لحقّ الاستمتاع بها، بل مطلقاً على الأحوط الأولى</w:t>
      </w:r>
      <w:r>
        <w:rPr>
          <w:rFonts w:eastAsia="Amiri" w:cs="Amiri" w:ascii="Amiri" w:hAnsi="Amiri"/>
          <w:color w:val="111111"/>
          <w:sz w:val="28"/>
          <w:szCs w:val="28"/>
          <w:rtl w:val="true"/>
          <w:lang w:bidi="ar-SA"/>
        </w:rPr>
        <w:t>)</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تحرير الأقوال في المسألة</w:t>
      </w:r>
      <w:r>
        <w:rPr>
          <w:rFonts w:eastAsia="Amiri" w:cs="Amiri" w:ascii="Amiri" w:hAnsi="Amiri"/>
          <w:color w:val="111111"/>
          <w:sz w:val="28"/>
          <w:szCs w:val="28"/>
          <w:rtl w:val="true"/>
          <w:lang w:bidi="ar-SA"/>
        </w:rPr>
        <w:t xml:space="preserve">. </w:t>
      </w:r>
      <w:bookmarkStart w:id="225" w:name="pg9142_80637"/>
    </w:p>
    <w:p>
      <w:pPr>
        <w:pStyle w:val="Heading3"/>
        <w:numPr>
          <w:ilvl w:val="2"/>
          <w:numId w:val="1"/>
        </w:numPr>
        <w:rPr/>
      </w:pPr>
      <w:bookmarkStart w:id="226" w:name="__RefHeading___Toc3266204_2870459653"/>
      <w:bookmarkStart w:id="227" w:name="_Toc83"/>
      <w:bookmarkEnd w:id="225"/>
      <w:bookmarkEnd w:id="226"/>
      <w:r>
        <w:rPr>
          <w:rtl w:val="true"/>
        </w:rPr>
        <w:t>أدلّة الأقوال</w:t>
      </w:r>
      <w:bookmarkEnd w:id="227"/>
    </w:p>
    <w:p>
      <w:pPr>
        <w:pStyle w:val="Heading4"/>
        <w:numPr>
          <w:ilvl w:val="3"/>
          <w:numId w:val="1"/>
        </w:numPr>
        <w:rPr/>
      </w:pPr>
      <w:bookmarkStart w:id="228" w:name="__RefHeading___Toc3266206_2870459653"/>
      <w:bookmarkStart w:id="229" w:name="_Toc84"/>
      <w:bookmarkEnd w:id="228"/>
      <w:r>
        <w:rPr>
          <w:rtl w:val="true"/>
        </w:rPr>
        <w:t>اشارة</w:t>
      </w:r>
      <w:bookmarkEnd w:id="229"/>
    </w:p>
    <w:p>
      <w:pPr>
        <w:pStyle w:val="BookText"/>
        <w:rPr/>
      </w:pPr>
      <w:r>
        <w:rPr>
          <w:rFonts w:ascii="Amiri" w:hAnsi="Amiri" w:eastAsia="Amiri" w:cs="Amiri"/>
          <w:color w:val="111111"/>
          <w:sz w:val="28"/>
          <w:sz w:val="28"/>
          <w:szCs w:val="28"/>
          <w:rtl w:val="true"/>
          <w:lang w:bidi="ar-SA"/>
        </w:rPr>
        <w:t>أمّا ما يمكن أن يستدلّ به للقول الأوّل فهو</w:t>
      </w:r>
      <w:r>
        <w:rPr>
          <w:rFonts w:eastAsia="Amiri" w:cs="Amiri" w:ascii="Amiri" w:hAnsi="Amiri"/>
          <w:color w:val="111111"/>
          <w:sz w:val="28"/>
          <w:szCs w:val="28"/>
          <w:rtl w:val="true"/>
          <w:lang w:bidi="ar-SA"/>
        </w:rPr>
        <w:t>:</w:t>
      </w:r>
    </w:p>
    <w:p>
      <w:pPr>
        <w:pStyle w:val="Heading4"/>
        <w:numPr>
          <w:ilvl w:val="3"/>
          <w:numId w:val="1"/>
        </w:numPr>
        <w:rPr/>
      </w:pPr>
      <w:bookmarkStart w:id="230" w:name="__RefHeading___Toc3266208_2870459653"/>
      <w:bookmarkStart w:id="231" w:name="_Toc85"/>
      <w:bookmarkEnd w:id="230"/>
      <w:r>
        <w:rPr>
          <w:rtl w:val="true"/>
        </w:rPr>
        <w:t>الدليل الأوّل</w:t>
      </w:r>
      <w:bookmarkEnd w:id="231"/>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الرِّجَالُ قَوَّامُونَ عَلَى النِّسَاءِ بِمَا فَضَّلَ اللَّهُ بَعْضَهُمْ عَلَى بَعْضٍ وَبِمَا أَنْفَقُوا مِنْ أَمْوَالِهِمْ</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حيث يمكن القول بأنّ رهن أمر خروجها بإذنه من مقتضيات إطلاق جعل القوامية له وإلّا فلا موضوع لها من هذه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لا يخفى عدم وضوح دلالتها على المدّعى؛ لأنّها ليست في مقام البيان من هذه الناحية، قال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 أنّهم قوّامون بحقوق النساء التي لهنّ على الأزواج</w:t>
      </w:r>
      <w:r>
        <w:rPr>
          <w:rFonts w:eastAsia="Amiri" w:cs="Amiri" w:ascii="Amiri" w:hAnsi="Amiri"/>
          <w:color w:val="111111"/>
          <w:sz w:val="28"/>
          <w:szCs w:val="28"/>
          <w:rtl w:val="true"/>
          <w:lang w:bidi="ar-SA"/>
        </w:rPr>
        <w:t>)</w:t>
      </w:r>
      <w:r>
        <w:rPr>
          <w:rStyle w:val="FootnoteAnchor"/>
          <w:rtl w:val="true"/>
        </w:rPr>
        <w:footnoteReference w:id="225"/>
      </w:r>
      <w:r>
        <w:rPr>
          <w:rFonts w:ascii="IRNazanin" w:hAnsi="IRNazanin" w:eastAsia="IRNazanin"/>
          <w:color w:val="111111"/>
          <w:sz w:val="28"/>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ومثله ما ذكره ابن البرّاج في المهذّب</w:t>
      </w:r>
      <w:r>
        <w:rPr>
          <w:rStyle w:val="FootnoteAnchor"/>
          <w:rtl w:val="true"/>
        </w:rPr>
        <w:footnoteReference w:id="226"/>
      </w:r>
      <w:r>
        <w:rPr>
          <w:rFonts w:ascii="Amiri" w:hAnsi="Amiri" w:eastAsia="Amiri" w:cs="Amiri"/>
          <w:color w:val="111111"/>
          <w:sz w:val="28"/>
          <w:sz w:val="28"/>
          <w:szCs w:val="28"/>
          <w:rtl w:val="true"/>
          <w:lang w:bidi="ar-SA"/>
        </w:rPr>
        <w:t>، وقال الراوندي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إنّهم يقومون بأمرهن وبتأديبهن فدلّت الآية على أنّه يجب على الرجل أن يدبّر أمر المرأة وأن ينفق عليها؛ لأنّ فضله وإنفاقه معاً علّة لكونه قائماً عليها مستحقّاً لطاعتها، فالصالحات مطيعات لله ولأزواجهن، حافظات لما غاب عنه أزواجهن من ماله وما يجب من رعايته وحاله وما يلزم من صيانتها نفسها لله</w:t>
      </w:r>
      <w:r>
        <w:rPr>
          <w:rFonts w:eastAsia="Amiri" w:cs="Amiri" w:ascii="Amiri" w:hAnsi="Amiri"/>
          <w:color w:val="111111"/>
          <w:sz w:val="28"/>
          <w:szCs w:val="28"/>
          <w:rtl w:val="true"/>
          <w:lang w:bidi="ar-SA"/>
        </w:rPr>
        <w:t>)</w:t>
      </w:r>
      <w:r>
        <w:rPr>
          <w:rStyle w:val="FootnoteAnchor"/>
          <w:rtl w:val="true"/>
        </w:rPr>
        <w:footnoteReference w:id="227"/>
      </w:r>
      <w:r>
        <w:rPr>
          <w:rFonts w:ascii="Amiri" w:hAnsi="Amiri" w:eastAsia="Amiri" w:cs="Amiri"/>
          <w:color w:val="111111"/>
          <w:sz w:val="28"/>
          <w:sz w:val="28"/>
          <w:szCs w:val="28"/>
          <w:rtl w:val="true"/>
          <w:lang w:bidi="ar-SA"/>
        </w:rPr>
        <w:t>، وفي كنز العرفان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 </w:t>
      </w:r>
    </w:p>
    <w:p>
      <w:pPr>
        <w:pStyle w:val="BookText"/>
        <w:rPr/>
      </w:pPr>
      <w:r>
        <w:rPr>
          <w:rFonts w:ascii="Amiri" w:hAnsi="Amiri" w:eastAsia="Amiri" w:cs="Amiri"/>
          <w:color w:val="111111"/>
          <w:sz w:val="28"/>
          <w:sz w:val="28"/>
          <w:szCs w:val="28"/>
          <w:rtl w:val="true"/>
          <w:lang w:bidi="ar-SA"/>
        </w:rPr>
        <w:t>لهم عليهنّ قيام الولاية والسّياسة وعلّل ذلك بأمرين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موهبي من الله، وهو أنّ الله فضّل الرجال عليهنّ بأمور كثيرة من كمال العقل وحسن التّدبير ومزيد القوّة في الأعمال والطاعات، ولذلك خصّوا بالنبوّة والإمامة والولاية، وإقامة الشعائر والجهاد، وقبول شهادتهم في كلّ الأمور، ومزيد النصيب في الإرث وغير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كسبيّ، وهو أنّهم ينفقون عليهنّ ويعطوهنّ المهور مع أنّ فائدة النكاح مشتركة بينهما</w:t>
      </w:r>
      <w:r>
        <w:rPr>
          <w:rFonts w:eastAsia="Amiri" w:cs="Amiri" w:ascii="Amiri" w:hAnsi="Amiri"/>
          <w:color w:val="111111"/>
          <w:sz w:val="28"/>
          <w:szCs w:val="28"/>
          <w:rtl w:val="true"/>
          <w:lang w:bidi="ar-SA"/>
        </w:rPr>
        <w:t>)</w:t>
      </w:r>
      <w:r>
        <w:rPr>
          <w:rStyle w:val="FootnoteAnchor"/>
          <w:rtl w:val="true"/>
        </w:rPr>
        <w:footnoteReference w:id="2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المحقّق الأردبيلي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يقومون بأمورهنّ ويسلّطون عليهنّ كقيام الولاة على رعيّتهم بسبب تفضيل اللّه تعالى إيّاهم عليهنّ بكمال العقل وغيره، وبسبب ما ينفقون عليهنّ من أموالهم</w:t>
      </w:r>
      <w:r>
        <w:rPr>
          <w:rFonts w:eastAsia="Amiri" w:cs="Amiri" w:ascii="Amiri" w:hAnsi="Amiri"/>
          <w:color w:val="111111"/>
          <w:sz w:val="28"/>
          <w:szCs w:val="28"/>
          <w:rtl w:val="true"/>
          <w:lang w:bidi="ar-SA"/>
        </w:rPr>
        <w:t>)</w:t>
      </w:r>
      <w:r>
        <w:rPr>
          <w:rStyle w:val="FootnoteAnchor"/>
          <w:rtl w:val="true"/>
        </w:rPr>
        <w:footnoteReference w:id="229"/>
      </w:r>
      <w:r>
        <w:rPr>
          <w:rFonts w:ascii="Amiri" w:hAnsi="Amiri" w:eastAsia="Amiri" w:cs="Amiri"/>
          <w:color w:val="111111"/>
          <w:sz w:val="28"/>
          <w:sz w:val="28"/>
          <w:szCs w:val="28"/>
          <w:rtl w:val="true"/>
          <w:lang w:bidi="ar-SA"/>
        </w:rPr>
        <w:t>، وفي صراط النجاة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ورد في المصحف الشريف</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P</w:t>
      </w:r>
      <w:r>
        <w:rPr>
          <w:rFonts w:ascii="Amiri" w:hAnsi="Amiri" w:eastAsia="Amiri" w:cs="Amiri"/>
          <w:color w:val="111111"/>
          <w:sz w:val="28"/>
          <w:sz w:val="28"/>
          <w:szCs w:val="28"/>
          <w:rtl w:val="true"/>
          <w:lang w:bidi="ar-SA"/>
        </w:rPr>
        <w:t>الرِّجٰالُ قَوّٰامُونَ عَلَى النِّسٰاءِ</w:t>
      </w:r>
      <w:r>
        <w:rPr>
          <w:rFonts w:eastAsia="Times New Roman" w:cs="Times New Roman" w:ascii="Times New Roman" w:hAnsi="Times New Roman"/>
          <w:color w:val="111111"/>
          <w:sz w:val="28"/>
          <w:szCs w:val="28"/>
          <w:lang w:val="en-US" w:bidi="en-US"/>
        </w:rPr>
        <w:t>O</w:t>
      </w:r>
      <w:r>
        <w:rPr>
          <w:rFonts w:ascii="Amiri" w:hAnsi="Amiri" w:eastAsia="Amiri" w:cs="Amiri"/>
          <w:color w:val="111111"/>
          <w:sz w:val="28"/>
          <w:sz w:val="28"/>
          <w:szCs w:val="28"/>
          <w:rtl w:val="true"/>
          <w:lang w:bidi="ar-SA"/>
        </w:rPr>
        <w:t>، فهل يستفاد من هذه الآية حكم شرعي تكليفي غير حرمة الخروج من الدار من دون إذن الزوج؟</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الآية في مقام بيان ما ذكرت من حرمة الخروج بغير إذن الزوج، وإنّما ذلك وغيره من حقوق الزوج على الزوجة التي تعرف من موارد أخرى، وهذه في مقام بيان تقدم الرجال وفضلهم اجتماعياً على النساء، ثمّ إنّه في موارد تخلّفهن عن أداء واجبهن الجنسي لأزواجهن فما علم من الخارج وجوبه فللأزواج علاجها بأمور ذكرت هناك</w:t>
      </w:r>
      <w:r>
        <w:rPr>
          <w:rFonts w:eastAsia="Amiri" w:cs="Amiri" w:ascii="Amiri" w:hAnsi="Amiri"/>
          <w:color w:val="111111"/>
          <w:sz w:val="28"/>
          <w:szCs w:val="28"/>
          <w:rtl w:val="true"/>
          <w:lang w:bidi="ar-SA"/>
        </w:rPr>
        <w:t>)</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 xml:space="preserve">. </w:t>
      </w:r>
      <w:bookmarkStart w:id="232" w:name="pg9142_80639"/>
    </w:p>
    <w:p>
      <w:pPr>
        <w:pStyle w:val="Heading4"/>
        <w:numPr>
          <w:ilvl w:val="3"/>
          <w:numId w:val="1"/>
        </w:numPr>
        <w:rPr/>
      </w:pPr>
      <w:bookmarkStart w:id="233" w:name="__RefHeading___Toc3266210_2870459653"/>
      <w:bookmarkStart w:id="234" w:name="_Toc86"/>
      <w:bookmarkEnd w:id="232"/>
      <w:bookmarkEnd w:id="233"/>
      <w:r>
        <w:rPr>
          <w:rtl w:val="true"/>
        </w:rPr>
        <w:t>الدليل الثاني</w:t>
      </w:r>
      <w:r>
        <w:rPr>
          <w:rtl w:val="true"/>
        </w:rPr>
        <w:t xml:space="preserve">: </w:t>
      </w:r>
      <w:r>
        <w:rPr>
          <w:rtl w:val="true"/>
        </w:rPr>
        <w:t>الروايات</w:t>
      </w:r>
      <w:bookmarkEnd w:id="234"/>
    </w:p>
    <w:p>
      <w:pPr>
        <w:pStyle w:val="Heading5"/>
        <w:numPr>
          <w:ilvl w:val="4"/>
          <w:numId w:val="1"/>
        </w:numPr>
        <w:rPr/>
      </w:pPr>
      <w:bookmarkStart w:id="235" w:name="__RefHeading___Toc3266212_2870459653"/>
      <w:bookmarkStart w:id="236" w:name="_Toc87"/>
      <w:bookmarkEnd w:id="235"/>
      <w:r>
        <w:rPr>
          <w:rtl w:val="true"/>
        </w:rPr>
        <w:t>اشارة</w:t>
      </w:r>
      <w:bookmarkEnd w:id="236"/>
    </w:p>
    <w:p>
      <w:pPr>
        <w:pStyle w:val="BookText"/>
        <w:rPr/>
      </w:pPr>
      <w:r>
        <w:rPr>
          <w:rFonts w:ascii="Amiri" w:hAnsi="Amiri" w:eastAsia="Amiri" w:cs="Amiri"/>
          <w:color w:val="111111"/>
          <w:sz w:val="28"/>
          <w:sz w:val="28"/>
          <w:szCs w:val="28"/>
          <w:rtl w:val="true"/>
          <w:lang w:bidi="ar-SA"/>
        </w:rPr>
        <w:t>وهي طوائف</w:t>
      </w:r>
      <w:r>
        <w:rPr>
          <w:rFonts w:eastAsia="Amiri" w:cs="Amiri" w:ascii="Amiri" w:hAnsi="Amiri"/>
          <w:color w:val="111111"/>
          <w:sz w:val="28"/>
          <w:szCs w:val="28"/>
          <w:rtl w:val="true"/>
          <w:lang w:bidi="ar-SA"/>
        </w:rPr>
        <w:t>:</w:t>
      </w:r>
    </w:p>
    <w:p>
      <w:pPr>
        <w:pStyle w:val="Heading5"/>
        <w:numPr>
          <w:ilvl w:val="4"/>
          <w:numId w:val="1"/>
        </w:numPr>
        <w:rPr/>
      </w:pPr>
      <w:bookmarkStart w:id="237" w:name="__RefHeading___Toc3266214_2870459653"/>
      <w:bookmarkStart w:id="238" w:name="_Toc88"/>
      <w:bookmarkEnd w:id="237"/>
      <w:r>
        <w:rPr>
          <w:rtl w:val="true"/>
        </w:rPr>
        <w:t>الطائفة الأولى</w:t>
      </w:r>
      <w:r>
        <w:rPr>
          <w:rtl w:val="true"/>
        </w:rPr>
        <w:t xml:space="preserve">: </w:t>
      </w:r>
      <w:r>
        <w:rPr>
          <w:rtl w:val="true"/>
        </w:rPr>
        <w:t>ما دلّ صريحاً على اشتراط إذن الزوج بالخروج</w:t>
      </w:r>
      <w:bookmarkEnd w:id="238"/>
    </w:p>
    <w:p>
      <w:pPr>
        <w:pStyle w:val="Heading6"/>
        <w:numPr>
          <w:ilvl w:val="5"/>
          <w:numId w:val="1"/>
        </w:numPr>
        <w:rPr/>
      </w:pPr>
      <w:bookmarkStart w:id="239" w:name="__RefHeading___Toc3266216_2870459653"/>
      <w:bookmarkStart w:id="240" w:name="_Toc89"/>
      <w:bookmarkEnd w:id="239"/>
      <w:r>
        <w:rPr>
          <w:rtl w:val="true"/>
        </w:rPr>
        <w:t>الرواية الأولى</w:t>
      </w:r>
      <w:bookmarkEnd w:id="240"/>
    </w:p>
    <w:p>
      <w:pPr>
        <w:pStyle w:val="BookText"/>
        <w:rPr/>
      </w:pPr>
      <w:r>
        <w:rPr>
          <w:rFonts w:ascii="IRNazanin" w:hAnsi="IRNazanin" w:eastAsia="IRNazanin"/>
          <w:color w:val="111111"/>
          <w:sz w:val="28"/>
          <w:sz w:val="28"/>
          <w:szCs w:val="28"/>
          <w:rtl w:val="true"/>
          <w:lang w:bidi="fa-IR"/>
        </w:rPr>
        <w:t xml:space="preserve">صحیحة محمّد بن مسلم،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جاءت امرأة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ما حقّ الزوج على المرأة؟ فقال 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تطيعه ولا تعصيه، ولا تصدّق من بيته إلّا بإذنه، ولا تصوم تطوّعاً إلّا بإذنه، ولا تمنعه نفسها وإن كانت على ظهر قتب، ولا تخرج من بيتها إلّا بإذنه، وإن خرجت من بيتها بغير إذنه لعنتها ملائكة السماء وملائكة الأرض وملائكة الغضب وملائكة الرحمة حتّى ترجع إلى بيتها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من أعظم الناس حقّاً على الرجل؟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من أعظم الناس حقّاً على المرأة؟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زوجها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لي عليه من الحقّ مثل ما له عليّ؟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ولا من كلّ مائة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بعثك بالحقّ نبياً لا يملك رقبتي رجل أبداً</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وللرواية طريقان كلاهما صحيح، الطريق الأوّل ما رواه الشيخ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الكافي</w:t>
      </w:r>
      <w:r>
        <w:rPr>
          <w:rStyle w:val="FootnoteAnchor"/>
          <w:rtl w:val="true"/>
        </w:rPr>
        <w:footnoteReference w:id="232"/>
      </w:r>
      <w:r>
        <w:rPr>
          <w:rFonts w:ascii="Amiri" w:hAnsi="Amiri" w:eastAsia="Amiri" w:cs="Amiri"/>
          <w:color w:val="111111"/>
          <w:sz w:val="28"/>
          <w:sz w:val="28"/>
          <w:szCs w:val="28"/>
          <w:rtl w:val="true"/>
          <w:lang w:bidi="ar-SA"/>
        </w:rPr>
        <w:t xml:space="preserve">، والطريق الآخر ما رواه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الفقيه</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هذا ما يخصّ سند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دلالتها فيمكن تقريب المنع من الخروج في هذه الصحيحة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النهي الوارد فيها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إنّه ظاهر في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استحقاقها اللعن من الملائكة لو خرجت بغير إذنه، فلو لم يكن خروجها محرّماً لما استحقّت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والدلالة بهذا المقدار على حرمة الخروج بلا إذن الزوج لا إشكال فيها، بل لعلّها مسلّمة لدى الفقهاء، لذا أفتوا جميعاً بالحرمة؛ استناداً إلى هذه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وقع الخلاف بينهم في أنّ المستفاد من الرواية هو حرمة الخروج وإن لم تتنافَ مع حقّ الزوج في الاستمتاع، أو أنّها مقيّدة بكون الخروج منافياً لحقّه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والراجح بالنظر القاصر دلالتها على المنع مطلقاً؛ وذلك لقرينتين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لعنتها ملائكة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وليس هناك ما يقيّده، ويعضد ذلك ما في ذيل الرواية من كون حقّ الزوج أعظم من حقّها</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وحدة السياق في الرواية، وقد بنى الشيخ المحقّق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إطلاق بعض فقرات النهي في الرواية، كالنهي عن الصوم أو التصدّق إلّا بإذنه لما إذا كان الزوج حاضراً أو غائباً</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وقرينة وحدة السياق وإن كانت من أضعف القرائن إلّا أنّها تأبى التفكيك بين جمل الرواية الواحدة إلّا إذا وجدت قرينة صارفة عن ذلك، ولذا اعتمد عليها جملة من الأعلام، قال السيّد الخوئي في مورد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وحدة السياق تشهد بإرادة الندب من الجميع، إذ يبعد جدّاً إرادة الوجوب من هذه الخصوصية والاستحباب من جميع ما عداها، فلاحظ</w:t>
      </w:r>
      <w:r>
        <w:rPr>
          <w:rFonts w:eastAsia="Amiri" w:cs="Amiri" w:ascii="Amiri" w:hAnsi="Amiri"/>
          <w:color w:val="111111"/>
          <w:sz w:val="28"/>
          <w:szCs w:val="28"/>
          <w:rtl w:val="true"/>
          <w:lang w:bidi="ar-SA"/>
        </w:rPr>
        <w:t>)</w:t>
      </w:r>
      <w:r>
        <w:rPr>
          <w:rStyle w:val="FootnoteAnchor"/>
          <w:rtl w:val="true"/>
        </w:rPr>
        <w:footnoteReference w:id="235"/>
      </w:r>
      <w:r>
        <w:rPr>
          <w:rFonts w:ascii="Amiri" w:hAnsi="Amiri" w:eastAsia="Amiri" w:cs="Amiri"/>
          <w:color w:val="111111"/>
          <w:sz w:val="28"/>
          <w:sz w:val="28"/>
          <w:szCs w:val="28"/>
          <w:rtl w:val="true"/>
          <w:lang w:bidi="ar-SA"/>
        </w:rPr>
        <w:t>، ونظيره في مصباح الفقيه وغيره</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ومع تمامية إطلاق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يستغرب الاحتياط الوجوبي في المسألة استناداً إلى هذه الرواية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عليه السيّد الخوئي وبعض تلاميذه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لعدم ما يفيد التردّد، ولذا قال بعض الأعلام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يظهر وجه الاحتياط مع وضوح دلالة خبر محمّد بن مسلم على المدّعى، وصحّة سنده</w:t>
      </w:r>
      <w:r>
        <w:rPr>
          <w:rFonts w:eastAsia="IRNazanin" w:cs="IRNazanin"/>
          <w:color w:val="111111"/>
          <w:sz w:val="28"/>
          <w:szCs w:val="28"/>
          <w:rtl w:val="true"/>
          <w:lang w:bidi="fa-IR"/>
        </w:rPr>
        <w:t>)</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ويساعد على هذا الاستغراب ما ذكره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 في أكثر من موضع على المنع من الخروج مطلقاً، منها</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في شرح العروة الوثقى، حيث أطلق المنع للزوجة من الحجّ المندوب إلّا بإذن الزوج، فقال معلّقاً على العروة بحسب ما جاء في تقرير بحثه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بلا كلام؛ لأنّ الخروج من بيتها بدون إذن الزوج محرّم، وعليها الاستئذان منه في الخروج من البيت، لا لما ورد في بعض الروايات من جواز منع الزوج زوجته عن الحجّ المندوب؛ لأنّ </w:t>
      </w:r>
    </w:p>
    <w:p>
      <w:pPr>
        <w:pStyle w:val="BookText"/>
        <w:rPr/>
      </w:pPr>
      <w:r>
        <w:rPr>
          <w:rFonts w:ascii="Amiri" w:hAnsi="Amiri" w:eastAsia="Amiri" w:cs="Amiri"/>
          <w:color w:val="111111"/>
          <w:sz w:val="28"/>
          <w:sz w:val="28"/>
          <w:szCs w:val="28"/>
          <w:rtl w:val="true"/>
          <w:lang w:bidi="ar-SA"/>
        </w:rPr>
        <w:t>ذلك أعمّ من اعتبار الإذن من الزوج، بل لعدّة من النصوص،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صحيحا محمّد ابن مسلم، وعلي بن جعفر الدالّان على اعتبار الإذن، وأنّه لا يجوز لها الخروج إلّا بإذنه، ولا سيّما إذا كان الخروج منافياً لحقّ الزوج</w:t>
      </w:r>
      <w:r>
        <w:rPr>
          <w:rFonts w:eastAsia="Amiri" w:cs="Amiri" w:ascii="Amiri" w:hAnsi="Amiri"/>
          <w:color w:val="111111"/>
          <w:sz w:val="28"/>
          <w:szCs w:val="28"/>
          <w:rtl w:val="true"/>
          <w:lang w:bidi="ar-SA"/>
        </w:rPr>
        <w:t>)</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في شرح المناسك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ويحرم عليها الخروج بدون إذنه، لإطلاق جملة من النصوص الدالّة على اعتبار إذن الزوج وإن لم يكن منافياً لحقّ الاستمتاع بها، كصحيحة 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تخرج من بيتها إلّا بإذنه</w:t>
      </w:r>
      <w:r>
        <w:rPr>
          <w:rFonts w:eastAsia="Amiri" w:cs="Amiri" w:ascii="Amiri" w:hAnsi="Amiri"/>
          <w:color w:val="111111"/>
          <w:sz w:val="28"/>
          <w:szCs w:val="28"/>
          <w:rtl w:val="true"/>
          <w:lang w:bidi="ar-SA"/>
        </w:rPr>
        <w:t>)</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هذين الموضعين صريح بالمنع بنحو الفتوى؛ مستنداً إلى صحيح ابن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يظهر منه في مواضع أُخر ترجيح جواز الخروج إذا لم ينافِ حقّ الزوج بالاستمتاع، منها</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قاله معلّقاً على كلام السيّد في العروة في صلاة المسافر سفر المعصية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سفر الزوجة بدون إذن الزوج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لا دليل على حرمته على الإطلاق، بل حتّى مع النهي فضلاً عن عدم الإذن، إلّا إذا كان موجباً للنشوز ومنافياً لحقّ الزوج؛ فإنّ هذا المقدار ممّا قام عليه الدليل، وعليه يحمل ما ورد في بعض الأخبار من حرمة الخروج بغير الإذن، فإنّ المراد بحسب القرائن خروجاً لا رجوع فيه بنحو يصدق معه النشوز، وتفصيل الكلام موكول إلى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وكيفما كان، فلا دليل على أنّ مطلق الخروج عن </w:t>
      </w:r>
    </w:p>
    <w:p>
      <w:pPr>
        <w:pStyle w:val="BookText"/>
        <w:rPr/>
      </w:pPr>
      <w:r>
        <w:rPr>
          <w:rFonts w:ascii="IRNazanin" w:hAnsi="IRNazanin" w:eastAsia="IRNazanin"/>
          <w:color w:val="111111"/>
          <w:sz w:val="28"/>
          <w:sz w:val="28"/>
          <w:szCs w:val="28"/>
          <w:rtl w:val="true"/>
          <w:lang w:bidi="fa-IR"/>
        </w:rPr>
        <w:t xml:space="preserve">البيت بغير الإذن محرّم عليها ولو بأن تضع قدمها خارج الباب لرمي النفايات مثلاً، أو تخرج لدى غيبة زوجها لسفر أو حبس، ونحو ذلك إلى زيارة أقاربها أو زيارة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تستّرها وتحفّظها على بقية الجهات، فإنّ هذا ممّا لا دليل عليه بوجه</w:t>
      </w:r>
      <w:r>
        <w:rPr>
          <w:rFonts w:eastAsia="IRNazanin" w:cs="IRNazanin"/>
          <w:color w:val="111111"/>
          <w:sz w:val="28"/>
          <w:szCs w:val="28"/>
          <w:rtl w:val="true"/>
          <w:lang w:bidi="fa-IR"/>
        </w:rPr>
        <w:t>)</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ويبدو أن مقصوده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بعض الأخبار الدالّة على حرمة الخروج بغير الإذن صحيحة محمّد بن مسلم كما جاء في هامش تقرير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ولكنّه لم يبيّن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القرائن التي دعته إلى تقييد إطلاق هذه الأخبار بالخروج الذي يصدق معه النشوز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قاله معلّقاً على كلام السيّد اليزدي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النكاح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يجوز لها السفر من دون إذنه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فيه إشكال، بل منع؛ فإنّ عدم جواز ذلك للزوجة إنّما هو من جهة مزاحمته لحقّه، ولذا فلو لم تكن هناك مزاحمة لحقّه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كان مسافراً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يتوقّف جواز سفر المرأة على إذنه، وحيث إنّه لا مزاحمة في المقام، باعتبار أنّ الرجل لا يرى حقّاً لنفسه فيها، فلا وجه للحكم بتوقّف جوازه على إذنه</w:t>
      </w:r>
      <w:r>
        <w:rPr>
          <w:rFonts w:eastAsia="Amiri" w:cs="Amiri" w:ascii="Amiri" w:hAnsi="Amiri"/>
          <w:color w:val="111111"/>
          <w:sz w:val="28"/>
          <w:szCs w:val="28"/>
          <w:rtl w:val="true"/>
          <w:lang w:bidi="ar-SA"/>
        </w:rPr>
        <w:t>)</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وهنا أيضاً لم يبيّن وجه التقييد بمزاحمته لحقّه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الأقرب هو ما بنى عليه في مباحث الحجّ سواء أكان في شرح المناسك أم في شرح العروة من إطلاق النصوص لعدم جواز الخروج مطلقاً، لا مقيّداً، وقد تبيّن فيما مضى ما يكون قرينة على ذلك</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ويلاحظ عليه مضافاً إلى ما 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أفاده سيّدنا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افاداته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بحث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حمل الخروج في النصوص المتقدّمة على الخروج على وجه النشوز خلاف الظاهر، فلا يمكن البناء عليه، وعلى ذلك يكون مقتضى الصناعة عدم جواز خروج الزوجة من بيتها بدون إذن زوجها إلّا إذا توقّف عليه أداء واجب أو ترك حرام</w:t>
      </w:r>
      <w:r>
        <w:rPr>
          <w:rFonts w:eastAsia="Amiri" w:cs="Amiri" w:ascii="Amiri" w:hAnsi="Amiri"/>
          <w:color w:val="111111"/>
          <w:sz w:val="28"/>
          <w:szCs w:val="28"/>
          <w:rtl w:val="true"/>
          <w:lang w:bidi="ar-SA"/>
        </w:rPr>
        <w:t>)</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وجه للاحتياط الوجوبي في المقام، فإمّا أن يتمسّك بالإطلاق، فيفتي بعدم جواز الخروج مطلقاً، كما جزم به في شرحي العروة والمناسك، وإمّا أن يتمسّك بالقرائن الدالّة على التقييد، فيفتي بالجواز أو الاحتياط الاستحبابي، كما جزم بها في شرحي الصلاة والنكاح من العروة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السرّ في عدوله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الفتوى إلى الاحتياط هو ما ذكره سيّدنا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افاداته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نظير المورد من وجود وجهين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كان لا يهتمّ كثيراً بمخالفة المشهور إلّا أنّه كان ملتزماً بعدم مخالفة ما تسالم عليه الفقهاء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تقدّم أنّ المعظم أطلقوا القول بحرمة خروج المرأة بلا إذن الزوج، فربّما يكون الوجه في عدوله من الفتوى إلى الاحتياط هو رعاية هذا الأمر</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بالعدول إلى الاحتياط هو فسح المجال لمقلّديه في الرجوع إلى الآخرين ممّن يفتون بجواز الخروج؛ فإنّ الملاحظ أنّ من دأب الفقهاء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الاحتياط الوجوبي في بعض المسائل مع قيام الحجّة فيها على الحكم الإلزامي، وذلك لأسباب مختلفة منها رعاية حال المكلّفين، كما في المسائل التي تعمّ بها البلوى ويكون الحكم </w:t>
      </w:r>
    </w:p>
    <w:p>
      <w:pPr>
        <w:pStyle w:val="BookText"/>
        <w:rPr/>
      </w:pPr>
      <w:r>
        <w:rPr>
          <w:rFonts w:ascii="Amiri" w:hAnsi="Amiri" w:eastAsia="Amiri" w:cs="Amiri"/>
          <w:color w:val="111111"/>
          <w:sz w:val="28"/>
          <w:sz w:val="28"/>
          <w:szCs w:val="28"/>
          <w:rtl w:val="true"/>
          <w:lang w:bidi="ar-SA"/>
        </w:rPr>
        <w:t xml:space="preserve">الإلزامي فيها موجباً للوقوع في بعض العسر والحرج، مع وجود القائل بالحكم الترخيصي ممّن يعتدّ بقوله ويمكن الرجوع إليه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القرائن التي أشار إليها في بعض كلماته ولم يذكرها لا تخلو من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فإمّا أن تكون قرائن داخلية أو تكون خارجية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الداخلية فلا دالّ عليها، ولا ظهور في الرواية، بل الظهور على خلافها، وهو التمسّك بمادّة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المقام الدالّة على المنع من طبيعي الخروج، ويؤيّد هذا الظهور باقي الروايات، وفهم المشهور لها، وكلام أهل اللغة</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الخارجية فقد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مقتضى ذلك هو الحكم على الزوجة بالسجن في داخل البيت وعدم السماح لها بالخروج منه إلّا بموافقة الزوج الذي يمكن أن يحكّم في ذلك أهواءه، ورغباته الشخصية من دون رعاية وضع الزوجة ومصلحتها، وفي ذلك مهانة شديدة لها، وحطّ من كرامتها الإنسانية، ولا يُظن أن يحكم الشارع المقدّس بمثل ذلك</w:t>
      </w:r>
      <w:r>
        <w:rPr>
          <w:rFonts w:eastAsia="Amiri" w:cs="Amiri" w:ascii="Amiri" w:hAnsi="Amiri"/>
          <w:color w:val="111111"/>
          <w:sz w:val="28"/>
          <w:szCs w:val="28"/>
          <w:rtl w:val="true"/>
          <w:lang w:bidi="ar-SA"/>
        </w:rPr>
        <w:t>)</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يرد عليها</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الشارع المقدّس إنّما شرّع ذلك حفظاً لمصلحتها، وصوناً لعفّتها، وتحصيناً لشرفها، وعدم تعرّضها للنظر من الأجانب، أو الاختلاط المحرّم الذي قد يحصل بالخروج، خصوصاً لوحدها، بلا إذن زوجها، فكأنّ مصلحة عدم الخروج أولى من </w:t>
      </w:r>
      <w:bookmarkStart w:id="241" w:name="pg9142_80646"/>
    </w:p>
    <w:p>
      <w:pPr>
        <w:pStyle w:val="BookText"/>
        <w:rPr/>
      </w:pPr>
      <w:bookmarkEnd w:id="241"/>
      <w:r>
        <w:rPr>
          <w:rFonts w:ascii="Amiri" w:hAnsi="Amiri" w:eastAsia="Amiri" w:cs="Amiri"/>
          <w:color w:val="111111"/>
          <w:sz w:val="28"/>
          <w:sz w:val="28"/>
          <w:szCs w:val="28"/>
          <w:rtl w:val="true"/>
          <w:lang w:bidi="ar-SA"/>
        </w:rPr>
        <w:t>مصلحة الخروج، وهذا ما تؤكّده الأبحاث المتعلّقة بالمرأة، وما انصب عليها من ويلات بسبب كثرة خروجها</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إذا كان الشارع المقدّس قد ألزم المرأة بعدم الخروج من بيتها إلّا بإذن زوجها فقد ألزم الزوج في نفس الوقت بأن يكون إمساكه لها بالمعروف من دون إضرار بها، 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مقتضيات الإمساك بالمعروف أن يسمح لها بالخروج حسب ما يناسبها ويليق بها بالقياس إليه، المختلف ذلك بحسب اختلاف الأزمنة والأمكنة والحالات والأعراف والتقاليد، فليس الأمر متروكاً للزوج ليتحكّم في بقائها في البيت وخروجها عنه حسب هواه، بل لا بدّ أن يسمح لها بالخروج بالمقدار الذي يُعدّ تركه إمساكاً لها بغير المعروف، فلو تخلّف عن ذلك جاز للزوجة رفع أمرها إلى الحاكم الشرعي لاتخاذ الإجراء المناسب لإلزام الزوج بالقيام بوظيفته أو التخلّي عنها لتسريحها بإحسان تطبيقاً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فَإِمْسَاكٌ بِمَعْرُوفٍ أَوْ تَسْرِيحٌ بِإِحْسَانٍ</w:t>
      </w:r>
      <w:r>
        <w:rPr>
          <w:rStyle w:val="FootnoteAnchor"/>
          <w:rtl w:val="true"/>
        </w:rPr>
        <w:footnoteReference w:id="247"/>
      </w:r>
      <w:r>
        <w:rPr>
          <w:rFonts w:ascii="Amiri" w:hAnsi="Amiri" w:eastAsia="Amiri" w:cs="Amiri"/>
          <w:color w:val="111111"/>
          <w:sz w:val="28"/>
          <w:sz w:val="28"/>
          <w:szCs w:val="28"/>
          <w:rtl w:val="true"/>
          <w:lang w:bidi="ar-SA"/>
        </w:rPr>
        <w:t>بناءً على عدم اختصاصه بالمطلّقة</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 فالصحيح المستفاد من الرواية المنع من خروجها مطلقاً إلّا ما استثني، كما سيأتي بيانه لاحقاً</w:t>
      </w:r>
      <w:r>
        <w:rPr>
          <w:rFonts w:eastAsia="Amiri" w:cs="Amiri" w:ascii="Amiri" w:hAnsi="Amiri"/>
          <w:color w:val="111111"/>
          <w:sz w:val="28"/>
          <w:szCs w:val="28"/>
          <w:rtl w:val="true"/>
          <w:lang w:bidi="ar-SA"/>
        </w:rPr>
        <w:t>.</w:t>
      </w:r>
    </w:p>
    <w:p>
      <w:pPr>
        <w:pStyle w:val="Heading6"/>
        <w:numPr>
          <w:ilvl w:val="5"/>
          <w:numId w:val="1"/>
        </w:numPr>
        <w:rPr/>
      </w:pPr>
      <w:bookmarkStart w:id="242" w:name="__RefHeading___Toc3266218_2870459653"/>
      <w:bookmarkStart w:id="243" w:name="_Toc90"/>
      <w:bookmarkEnd w:id="242"/>
      <w:r>
        <w:rPr>
          <w:rtl w:val="true"/>
        </w:rPr>
        <w:t>الرواية الثانية</w:t>
      </w:r>
      <w:bookmarkEnd w:id="243"/>
    </w:p>
    <w:p>
      <w:pPr>
        <w:pStyle w:val="Heading6"/>
        <w:numPr>
          <w:ilvl w:val="5"/>
          <w:numId w:val="1"/>
        </w:numPr>
        <w:rPr/>
      </w:pPr>
      <w:bookmarkStart w:id="244" w:name="__RefHeading___Toc3266220_2870459653"/>
      <w:bookmarkStart w:id="245" w:name="_Toc91"/>
      <w:bookmarkEnd w:id="244"/>
      <w:r>
        <w:rPr>
          <w:rtl w:val="true"/>
        </w:rPr>
        <w:t>اشارة</w:t>
      </w:r>
      <w:bookmarkEnd w:id="245"/>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صحيحة عبد الله بن سنان بطريق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رجلاً من الأنصار على عهد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في بعض حوائجه، </w:t>
      </w:r>
      <w:bookmarkStart w:id="246" w:name="pg9142_80647"/>
    </w:p>
    <w:p>
      <w:pPr>
        <w:pStyle w:val="BookText"/>
        <w:rPr/>
      </w:pPr>
      <w:bookmarkEnd w:id="246"/>
      <w:r>
        <w:rPr>
          <w:rFonts w:ascii="IRNazanin" w:hAnsi="IRNazanin" w:eastAsia="IRNazanin"/>
          <w:color w:val="111111"/>
          <w:sz w:val="28"/>
          <w:sz w:val="28"/>
          <w:szCs w:val="28"/>
          <w:rtl w:val="true"/>
          <w:lang w:bidi="fa-IR"/>
        </w:rPr>
        <w:t>فعهد إلى امرأته عهداً ألّا تخرج من بيتها حتّى يقدم،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أباها مرض، فبعثت المرأة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زوجي خرج وعهد إليّ أن لا أخرج من بيتي حتّى يقدم، وإنّ أبي قد مرض، فتأمرني أن أعوده؟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اجلسي في بيتك، وأطيعي زوجك،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فمات، فبعثت إليه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إنّ أبي قد مات فتأمرني أن أصلّي عليه؟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اجلسي في بيتك وأطيعي زوجك،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فدفن الرجل، فبعث إليها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وجلّ قد غفر لك ولأبيك بطاعتك لزوجك</w:t>
      </w:r>
      <w:r>
        <w:rPr>
          <w:rFonts w:eastAsia="IRNazanin" w:cs="IRNazanin"/>
          <w:color w:val="111111"/>
          <w:sz w:val="28"/>
          <w:szCs w:val="28"/>
          <w:rtl w:val="true"/>
          <w:lang w:bidi="fa-IR"/>
        </w:rPr>
        <w:t>)</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ومثله في الكافي مع اختلاف يسير في الألفاظ لا يضرّ بالمعنى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والكلام فيها في مقامين</w:t>
      </w:r>
      <w:r>
        <w:rPr>
          <w:rFonts w:eastAsia="Amiri" w:cs="Amiri" w:ascii="Amiri" w:hAnsi="Amiri"/>
          <w:color w:val="111111"/>
          <w:sz w:val="28"/>
          <w:szCs w:val="28"/>
          <w:rtl w:val="true"/>
          <w:lang w:bidi="ar-SA"/>
        </w:rPr>
        <w:t>:</w:t>
      </w:r>
    </w:p>
    <w:p>
      <w:pPr>
        <w:pStyle w:val="Heading6"/>
        <w:numPr>
          <w:ilvl w:val="5"/>
          <w:numId w:val="1"/>
        </w:numPr>
        <w:rPr/>
      </w:pPr>
      <w:bookmarkStart w:id="247" w:name="__RefHeading___Toc3266222_2870459653"/>
      <w:bookmarkStart w:id="248" w:name="_Toc92"/>
      <w:bookmarkEnd w:id="247"/>
      <w:r>
        <w:rPr>
          <w:rtl w:val="true"/>
        </w:rPr>
        <w:t>المقام الأوّل</w:t>
      </w:r>
      <w:r>
        <w:rPr>
          <w:rtl w:val="true"/>
        </w:rPr>
        <w:t xml:space="preserve">: </w:t>
      </w:r>
      <w:r>
        <w:rPr>
          <w:rtl w:val="true"/>
        </w:rPr>
        <w:t>في سند الرواية</w:t>
      </w:r>
      <w:bookmarkEnd w:id="248"/>
    </w:p>
    <w:p>
      <w:pPr>
        <w:pStyle w:val="BookText"/>
        <w:rPr/>
      </w:pPr>
      <w:r>
        <w:rPr>
          <w:rFonts w:ascii="Amiri" w:hAnsi="Amiri" w:eastAsia="Amiri" w:cs="Amiri"/>
          <w:color w:val="111111"/>
          <w:sz w:val="28"/>
          <w:sz w:val="28"/>
          <w:szCs w:val="28"/>
          <w:rtl w:val="true"/>
          <w:lang w:bidi="ar-SA"/>
        </w:rPr>
        <w:t>والسند بطريق الصدوق لا غبار على صحّته، فإنّه قد ابتدأها بمحمّد بن أبي عمير راوياً عن عبد الله بن سنان، وطريقه إليه في المشيخة صحيح، وهو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كان فيه عن محمّد بن أبي عمير فقد رويته عن أبي، ومحمّد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سعد بن عبد اللّه، والحميريّ جميعاً عن أيّوب بن نوح، وإبراهيم بن هاشم، ويعقوب بن يزيد، ومحمّد بن عبد الجبّار جميعاً، عن محمّد بن أبي عمير</w:t>
      </w:r>
      <w:r>
        <w:rPr>
          <w:rFonts w:eastAsia="Amiri" w:cs="Amiri" w:ascii="Amiri" w:hAnsi="Amiri"/>
          <w:color w:val="111111"/>
          <w:sz w:val="28"/>
          <w:szCs w:val="28"/>
          <w:rtl w:val="true"/>
          <w:lang w:bidi="ar-SA"/>
        </w:rPr>
        <w:t>)</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ورواها الشيخ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 جاء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عدّة من أصحابنا، عن أحمد بن محمّد ابن خالد، عن أبيه، عن عبد الله بن القاسم الحضرمي، عن عبد الله بن سنان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مرآة العقول عبّر عنه بأنّه ضعيف</w:t>
      </w:r>
      <w:r>
        <w:rPr>
          <w:rStyle w:val="FootnoteAnchor"/>
          <w:rtl w:val="true"/>
        </w:rPr>
        <w:footnoteReference w:id="251"/>
      </w:r>
      <w:r>
        <w:rPr>
          <w:rFonts w:ascii="Amiri" w:hAnsi="Amiri" w:eastAsia="Amiri" w:cs="Amiri"/>
          <w:color w:val="111111"/>
          <w:sz w:val="28"/>
          <w:sz w:val="28"/>
          <w:szCs w:val="28"/>
          <w:rtl w:val="true"/>
          <w:lang w:bidi="ar-SA"/>
        </w:rPr>
        <w:t xml:space="preserve">، وسنبيّن وجه ذلك، والفيض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الأنوار اللوامع عبّر عن سند الرواية بالصحيح بعد نقل سند الفقيه</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طريق الكليني فلا غبار فيه إلّا من 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تحديد العدّة من أصحابنا، عن أحمد بن محمّد بن خالد البرقي، وهذه العدّة مشتملة على أربعة رجال، الأوّل والثاني لا غبار على وثاقتهما، والثالث محلّ خلاف، والرابع لا توثيق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فهو علي بن إبراهيم، ولا إشكال في وثاقته، وأمّا الثاني فهو علي بن محمّد بن عبد الله الملقّب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ماجيلويه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ثقة، وأمّا الثالث فهو علي بن الحسن السعدآبادي، وهو من مشايخ ابن قولويه في كامل الزيارات، فيكون ثقة، بناءً على قبول كبرى وثاقة مشايخ ابن قولويه في كامل الزيارات، كما ثبت في محلّه، وأمّا الرابع فهو أحمد بن عبد الله، حفيد البرقي، ولم يرد به توثيق، فيكفي في ثبوت الطريق وجود أحد الثقات في العدّة</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عبد الله بن القاسم الحضرمي الوارد في سند الرواية، فقد قال النجاشي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المعروف بالبطل، كذّاب، غالٍ، يروي عن الغلاة، لا خير فيه، ولا يعتدّ بروايته</w:t>
      </w:r>
      <w:r>
        <w:rPr>
          <w:rFonts w:eastAsia="Amiri" w:cs="Amiri" w:ascii="Amiri" w:hAnsi="Amiri"/>
          <w:color w:val="111111"/>
          <w:sz w:val="28"/>
          <w:szCs w:val="28"/>
          <w:rtl w:val="true"/>
          <w:lang w:bidi="ar-SA"/>
        </w:rPr>
        <w:t>)</w:t>
      </w:r>
      <w:r>
        <w:rPr>
          <w:rStyle w:val="FootnoteAnchor"/>
          <w:rtl w:val="true"/>
        </w:rPr>
        <w:footnoteReference w:id="254"/>
      </w:r>
      <w:r>
        <w:rPr>
          <w:rFonts w:ascii="Amiri" w:hAnsi="Amiri" w:eastAsia="Amiri" w:cs="Amiri"/>
          <w:color w:val="111111"/>
          <w:sz w:val="28"/>
          <w:sz w:val="28"/>
          <w:szCs w:val="28"/>
          <w:rtl w:val="true"/>
          <w:lang w:bidi="ar-SA"/>
        </w:rPr>
        <w:t>، وقال عنه الشيخ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واقفي</w:t>
      </w:r>
      <w:r>
        <w:rPr>
          <w:rFonts w:eastAsia="Amiri" w:cs="Amiri" w:ascii="Amiri" w:hAnsi="Amiri"/>
          <w:color w:val="111111"/>
          <w:sz w:val="28"/>
          <w:szCs w:val="28"/>
          <w:rtl w:val="true"/>
          <w:lang w:bidi="ar-SA"/>
        </w:rPr>
        <w:t>)</w:t>
      </w:r>
      <w:r>
        <w:rPr>
          <w:rStyle w:val="FootnoteAnchor"/>
          <w:rtl w:val="true"/>
        </w:rPr>
        <w:footnoteReference w:id="255"/>
      </w:r>
      <w:r>
        <w:rPr>
          <w:rFonts w:ascii="Amiri" w:hAnsi="Amiri" w:eastAsia="Amiri" w:cs="Amiri"/>
          <w:color w:val="111111"/>
          <w:sz w:val="28"/>
          <w:sz w:val="28"/>
          <w:szCs w:val="28"/>
          <w:rtl w:val="true"/>
          <w:lang w:bidi="ar-SA"/>
        </w:rPr>
        <w:t>، فهو ضعيف</w:t>
      </w:r>
      <w:r>
        <w:rPr>
          <w:rFonts w:eastAsia="Amiri" w:cs="Amiri" w:ascii="Amiri" w:hAnsi="Amiri"/>
          <w:color w:val="111111"/>
          <w:sz w:val="28"/>
          <w:szCs w:val="28"/>
          <w:rtl w:val="true"/>
          <w:lang w:bidi="ar-SA"/>
        </w:rPr>
        <w:t xml:space="preserve">. </w:t>
      </w:r>
      <w:bookmarkStart w:id="249" w:name="pg9142_80649"/>
    </w:p>
    <w:p>
      <w:pPr>
        <w:pStyle w:val="BookText"/>
        <w:rPr/>
      </w:pPr>
      <w:bookmarkEnd w:id="249"/>
      <w:r>
        <w:rPr>
          <w:rFonts w:ascii="Amiri" w:hAnsi="Amiri" w:eastAsia="Amiri" w:cs="Amiri"/>
          <w:color w:val="111111"/>
          <w:sz w:val="28"/>
          <w:sz w:val="28"/>
          <w:szCs w:val="28"/>
          <w:rtl w:val="true"/>
          <w:lang w:bidi="ar-SA"/>
        </w:rPr>
        <w:t>وعليه لا يمكن التعويل على سند الكافي</w:t>
      </w:r>
      <w:r>
        <w:rPr>
          <w:rFonts w:eastAsia="Amiri" w:cs="Amiri" w:ascii="Amiri" w:hAnsi="Amiri"/>
          <w:color w:val="111111"/>
          <w:sz w:val="28"/>
          <w:szCs w:val="28"/>
          <w:rtl w:val="true"/>
          <w:lang w:bidi="ar-SA"/>
        </w:rPr>
        <w:t>.</w:t>
      </w:r>
    </w:p>
    <w:p>
      <w:pPr>
        <w:pStyle w:val="Heading6"/>
        <w:numPr>
          <w:ilvl w:val="5"/>
          <w:numId w:val="1"/>
        </w:numPr>
        <w:rPr/>
      </w:pPr>
      <w:bookmarkStart w:id="250" w:name="__RefHeading___Toc3266224_2870459653"/>
      <w:bookmarkStart w:id="251" w:name="_Toc93"/>
      <w:bookmarkEnd w:id="250"/>
      <w:r>
        <w:rPr>
          <w:rtl w:val="true"/>
        </w:rPr>
        <w:t>المقام الآخر</w:t>
      </w:r>
      <w:r>
        <w:rPr>
          <w:rtl w:val="true"/>
        </w:rPr>
        <w:t xml:space="preserve">: </w:t>
      </w:r>
      <w:r>
        <w:rPr>
          <w:rtl w:val="true"/>
        </w:rPr>
        <w:t>دلالة الرواية</w:t>
      </w:r>
      <w:bookmarkEnd w:id="251"/>
    </w:p>
    <w:p>
      <w:pPr>
        <w:pStyle w:val="BookText"/>
        <w:rPr/>
      </w:pPr>
      <w:r>
        <w:rPr>
          <w:rFonts w:ascii="Amiri" w:hAnsi="Amiri" w:eastAsia="Amiri" w:cs="Amiri"/>
          <w:color w:val="111111"/>
          <w:sz w:val="28"/>
          <w:sz w:val="28"/>
          <w:szCs w:val="28"/>
          <w:rtl w:val="true"/>
          <w:lang w:bidi="ar-SA"/>
        </w:rPr>
        <w:t xml:space="preserve">ودلالتها على المنع من الخروج مطلقاً واضحة؛ فإنّ منع المرأة من عيادة والدها والمشاركة في تجهيزه ودفنه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الرغم من أهمّيته بالنسبة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لمجرّد عدم إذن الزوج لها بالخروج لخير دليل على ذلك، ولذلك عدّها بعض الأعلام من جملة الروايات الدالّة على حرمة خروج المرأة من بيت زوجها مطلقاً</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يمكن المناقشة في ذلك من وجهين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الظاهر أنّ الرواية لا تدلّ على منع خروج الزوجة بلا إذن الزوج ابتداءً كما هو محلّ البحث، وإنّما تدلّ على منعها من الخروج إذا نهاها الزوج عن الخروج، وفرق بين المقامين، فلا يصحّ الاستدلال بها في المقام</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ذكره سيّدنا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افاداته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الرواية ظاهرة في الاستحباب دون الوجوب</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لكن يلاحظ عليه دلالة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اجلسي وأطيعي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الإلزام لا الترخيص، سيّما مع التكرار، كما في الرواية إلّا أن تدلّ قرينة على غير ذلك، ولا قرينة في المقام، </w:t>
      </w:r>
      <w:bookmarkStart w:id="252" w:name="pg9142_80650"/>
    </w:p>
    <w:p>
      <w:pPr>
        <w:pStyle w:val="BookText"/>
        <w:rPr/>
      </w:pPr>
      <w:bookmarkEnd w:id="252"/>
      <w:r>
        <w:rPr>
          <w:rFonts w:ascii="Amiri" w:hAnsi="Amiri" w:eastAsia="Amiri" w:cs="Amiri"/>
          <w:color w:val="111111"/>
          <w:sz w:val="28"/>
          <w:sz w:val="28"/>
          <w:szCs w:val="28"/>
          <w:rtl w:val="true"/>
          <w:lang w:bidi="ar-SA"/>
        </w:rPr>
        <w:t>وهذا ما فهمه جملة من الأعلام، كالمحقّق صاحب الجواهر،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منه يستفاد أنّ له منعها عن الخروج لغير الحقّ الواجب وإن لم يكن منافياً لاستمتاعه المفروض امتناعه عليه بسفر أو غيره</w:t>
      </w:r>
      <w:r>
        <w:rPr>
          <w:rFonts w:eastAsia="Amiri" w:cs="Amiri" w:ascii="Amiri" w:hAnsi="Amiri"/>
          <w:color w:val="111111"/>
          <w:sz w:val="28"/>
          <w:szCs w:val="28"/>
          <w:rtl w:val="true"/>
          <w:lang w:bidi="ar-SA"/>
        </w:rPr>
        <w:t>)</w:t>
      </w:r>
      <w:r>
        <w:rPr>
          <w:rStyle w:val="FootnoteAnchor"/>
          <w:rtl w:val="true"/>
        </w:rPr>
        <w:footnoteReference w:id="2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وكخرّيت علم الحديث العلّامة المجلسي الأوّل،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يدلّ على أنّ حقّ الزوج مقدّم على حقّ الأبوين مع عظم حقّهما، وعلى أنّ حقّه مقدّم على الواجبات الكفائية</w:t>
      </w:r>
      <w:r>
        <w:rPr>
          <w:rFonts w:eastAsia="Amiri" w:cs="Amiri" w:ascii="Amiri" w:hAnsi="Amiri"/>
          <w:color w:val="111111"/>
          <w:sz w:val="28"/>
          <w:szCs w:val="28"/>
          <w:rtl w:val="true"/>
          <w:lang w:bidi="ar-SA"/>
        </w:rPr>
        <w:t>)</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فالمتحصّل من هذه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تمامية سندها بطريق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دلالة لها على عدم جواز الخروج من البيت وإن دلّت على عدم جواز الخروج إذا نهاها زوجها حتّى ولو كان الخروج لعيادة الأب</w:t>
      </w:r>
      <w:r>
        <w:rPr>
          <w:rFonts w:eastAsia="Amiri" w:cs="Amiri" w:ascii="Amiri" w:hAnsi="Amiri"/>
          <w:color w:val="111111"/>
          <w:sz w:val="28"/>
          <w:szCs w:val="28"/>
          <w:rtl w:val="true"/>
          <w:lang w:bidi="ar-SA"/>
        </w:rPr>
        <w:t>.</w:t>
      </w:r>
    </w:p>
    <w:p>
      <w:pPr>
        <w:pStyle w:val="Heading6"/>
        <w:numPr>
          <w:ilvl w:val="5"/>
          <w:numId w:val="1"/>
        </w:numPr>
        <w:rPr/>
      </w:pPr>
      <w:bookmarkStart w:id="253" w:name="__RefHeading___Toc3266226_2870459653"/>
      <w:bookmarkStart w:id="254" w:name="_Toc94"/>
      <w:bookmarkEnd w:id="253"/>
      <w:r>
        <w:rPr>
          <w:rtl w:val="true"/>
        </w:rPr>
        <w:t>الرواية الثالثة</w:t>
      </w:r>
      <w:bookmarkEnd w:id="254"/>
    </w:p>
    <w:p>
      <w:pPr>
        <w:pStyle w:val="Heading6"/>
        <w:numPr>
          <w:ilvl w:val="5"/>
          <w:numId w:val="1"/>
        </w:numPr>
        <w:rPr/>
      </w:pPr>
      <w:bookmarkStart w:id="255" w:name="__RefHeading___Toc3266228_2870459653"/>
      <w:bookmarkStart w:id="256" w:name="_Toc95"/>
      <w:bookmarkEnd w:id="255"/>
      <w:r>
        <w:rPr>
          <w:rtl w:val="true"/>
        </w:rPr>
        <w:t>اشارة</w:t>
      </w:r>
      <w:bookmarkEnd w:id="256"/>
    </w:p>
    <w:p>
      <w:pPr>
        <w:pStyle w:val="BookText"/>
        <w:rPr/>
      </w:pPr>
      <w:r>
        <w:rPr>
          <w:rFonts w:ascii="IRNazanin" w:hAnsi="IRNazanin" w:eastAsia="IRNazanin"/>
          <w:color w:val="111111"/>
          <w:sz w:val="28"/>
          <w:sz w:val="28"/>
          <w:szCs w:val="28"/>
          <w:rtl w:val="true"/>
          <w:lang w:bidi="fa-IR"/>
        </w:rPr>
        <w:t xml:space="preserve">موثّقة السكوني،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أيّما امرأة خرجت من بيتها بغير إذن زوجها فلا نفقة لها حتّى ترجع</w:t>
      </w:r>
      <w:r>
        <w:rPr>
          <w:rFonts w:eastAsia="IRNazanin" w:cs="IRNazanin"/>
          <w:color w:val="111111"/>
          <w:sz w:val="28"/>
          <w:szCs w:val="28"/>
          <w:rtl w:val="true"/>
          <w:lang w:bidi="fa-IR"/>
        </w:rPr>
        <w:t>)</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والكلام فيها في مقامين</w:t>
      </w:r>
      <w:r>
        <w:rPr>
          <w:rFonts w:eastAsia="Amiri" w:cs="Amiri" w:ascii="Amiri" w:hAnsi="Amiri"/>
          <w:color w:val="111111"/>
          <w:sz w:val="28"/>
          <w:szCs w:val="28"/>
          <w:rtl w:val="true"/>
          <w:lang w:bidi="ar-SA"/>
        </w:rPr>
        <w:t>:</w:t>
      </w:r>
    </w:p>
    <w:p>
      <w:pPr>
        <w:pStyle w:val="Heading6"/>
        <w:numPr>
          <w:ilvl w:val="5"/>
          <w:numId w:val="1"/>
        </w:numPr>
        <w:rPr/>
      </w:pPr>
      <w:bookmarkStart w:id="257" w:name="__RefHeading___Toc3266230_2870459653"/>
      <w:bookmarkStart w:id="258" w:name="_Toc96"/>
      <w:bookmarkEnd w:id="257"/>
      <w:r>
        <w:rPr>
          <w:rtl w:val="true"/>
        </w:rPr>
        <w:t>المقام الأوّل</w:t>
      </w:r>
      <w:r>
        <w:rPr>
          <w:rtl w:val="true"/>
        </w:rPr>
        <w:t xml:space="preserve">: </w:t>
      </w:r>
      <w:r>
        <w:rPr>
          <w:rtl w:val="true"/>
        </w:rPr>
        <w:t>البحث السندی</w:t>
      </w:r>
      <w:bookmarkEnd w:id="258"/>
    </w:p>
    <w:p>
      <w:pPr>
        <w:pStyle w:val="BookText"/>
        <w:rPr/>
      </w:pPr>
      <w:r>
        <w:rPr>
          <w:rFonts w:ascii="IRNazanin" w:hAnsi="IRNazanin" w:eastAsia="IRNazanin"/>
          <w:color w:val="111111"/>
          <w:sz w:val="28"/>
          <w:sz w:val="28"/>
          <w:szCs w:val="28"/>
          <w:rtl w:val="true"/>
          <w:lang w:bidi="fa-IR"/>
        </w:rPr>
        <w:t>وسندها في 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إبراهيم، عن أبيه، عن النوفلي، عن السكوني،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ورواها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مبتدأً بالسكوني</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يبدو من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بضعف الرواية؛ فقد نسب ضعفها إلى المشهور </w:t>
      </w:r>
    </w:p>
    <w:p>
      <w:pPr>
        <w:pStyle w:val="BookText"/>
        <w:rPr/>
      </w:pPr>
      <w:r>
        <w:rPr>
          <w:rFonts w:ascii="Amiri" w:hAnsi="Amiri" w:eastAsia="Amiri" w:cs="Amiri"/>
          <w:color w:val="111111"/>
          <w:sz w:val="28"/>
          <w:sz w:val="28"/>
          <w:szCs w:val="28"/>
          <w:rtl w:val="true"/>
          <w:lang w:bidi="ar-SA"/>
        </w:rPr>
        <w:t>في موضعين، فقال في مرآة العقول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ضعيف على المشهور</w:t>
      </w:r>
      <w:r>
        <w:rPr>
          <w:rFonts w:eastAsia="Amiri" w:cs="Amiri" w:ascii="Amiri" w:hAnsi="Amiri"/>
          <w:color w:val="111111"/>
          <w:sz w:val="28"/>
          <w:szCs w:val="28"/>
          <w:rtl w:val="true"/>
          <w:lang w:bidi="ar-SA"/>
        </w:rPr>
        <w:t>)</w:t>
      </w:r>
      <w:r>
        <w:rPr>
          <w:rStyle w:val="FootnoteAnchor"/>
          <w:rtl w:val="true"/>
        </w:rPr>
        <w:footnoteReference w:id="263"/>
      </w:r>
      <w:r>
        <w:rPr>
          <w:rFonts w:ascii="Amiri" w:hAnsi="Amiri" w:eastAsia="Amiri" w:cs="Amiri"/>
          <w:color w:val="111111"/>
          <w:sz w:val="28"/>
          <w:sz w:val="28"/>
          <w:szCs w:val="28"/>
          <w:rtl w:val="true"/>
          <w:lang w:bidi="ar-SA"/>
        </w:rPr>
        <w:t>، وقال في ملاذ الأخيار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ضعيف على المشهور بسنديه</w:t>
      </w:r>
      <w:r>
        <w:rPr>
          <w:rFonts w:eastAsia="Amiri" w:cs="Amiri" w:ascii="Amiri" w:hAnsi="Amiri"/>
          <w:color w:val="111111"/>
          <w:sz w:val="28"/>
          <w:szCs w:val="28"/>
          <w:rtl w:val="true"/>
          <w:lang w:bidi="ar-SA"/>
        </w:rPr>
        <w:t>)</w:t>
      </w:r>
      <w:r>
        <w:rPr>
          <w:rStyle w:val="FootnoteAnchor"/>
          <w:rtl w:val="true"/>
        </w:rPr>
        <w:footnoteReference w:id="264"/>
      </w:r>
      <w:r>
        <w:rPr>
          <w:rFonts w:ascii="Amiri" w:hAnsi="Amiri" w:eastAsia="Amiri" w:cs="Amiri"/>
          <w:color w:val="111111"/>
          <w:sz w:val="28"/>
          <w:sz w:val="28"/>
          <w:szCs w:val="28"/>
          <w:rtl w:val="true"/>
          <w:lang w:bidi="ar-SA"/>
        </w:rPr>
        <w:t xml:space="preserve">، وعبّر عنه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المستمسك بالخبر</w:t>
      </w:r>
      <w:r>
        <w:rPr>
          <w:rStyle w:val="FootnoteAnchor"/>
          <w:rtl w:val="true"/>
        </w:rPr>
        <w:footnoteReference w:id="265"/>
      </w:r>
      <w:r>
        <w:rPr>
          <w:rFonts w:ascii="Amiri" w:hAnsi="Amiri" w:eastAsia="Amiri" w:cs="Amiri"/>
          <w:color w:val="111111"/>
          <w:sz w:val="28"/>
          <w:sz w:val="28"/>
          <w:szCs w:val="28"/>
          <w:rtl w:val="true"/>
          <w:lang w:bidi="ar-SA"/>
        </w:rPr>
        <w:t>، مشعراً بضعفه، ولكن يبدو من جملة من الأعلام اعتبار الرواية</w:t>
      </w:r>
      <w:r>
        <w:rPr>
          <w:rStyle w:val="FootnoteAnchor"/>
          <w:rtl w:val="true"/>
        </w:rPr>
        <w:footnoteReference w:id="2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اختلافهم ناشئ من 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السكوني في سنده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النوفلي في سنده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والكلام فيهما على وجه الاختصار أن يقال</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النوفلي فقد قال عنه النجاشي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الحسين بن يزيد بن محمّد بن عبد الملك النوفلي، نوفل النخع، مولاهم كوفي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شاعراً أديباً، وسكن الري، ومات بها، وقال قوم من القمّيّين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غلا في آخر عمره، والله أعلم، وما رأينا له رواية تدلّ 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التقية، أخبرنا ابن شاذان، عن أحمد بن محمّد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جعفر الحميري،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هاشم عن الحسين بن يزيد النوفلي به، وله كتاب السنّة</w:t>
      </w:r>
      <w:r>
        <w:rPr>
          <w:rFonts w:eastAsia="Amiri" w:cs="Amiri" w:ascii="Amiri" w:hAnsi="Amiri"/>
          <w:color w:val="111111"/>
          <w:sz w:val="28"/>
          <w:szCs w:val="28"/>
          <w:rtl w:val="true"/>
          <w:lang w:bidi="ar-SA"/>
        </w:rPr>
        <w:t>)</w:t>
      </w:r>
      <w:r>
        <w:rPr>
          <w:rStyle w:val="FootnoteAnchor"/>
          <w:rtl w:val="true"/>
        </w:rPr>
        <w:footnoteReference w:id="267"/>
      </w:r>
      <w:r>
        <w:rPr>
          <w:rFonts w:ascii="IRNazanin" w:hAnsi="IRNazanin" w:eastAsia="IRNazanin"/>
          <w:color w:val="111111"/>
          <w:sz w:val="28"/>
          <w:sz w:val="28"/>
          <w:szCs w:val="28"/>
          <w:rtl w:val="true"/>
          <w:lang w:bidi="fa-IR"/>
        </w:rPr>
        <w:t>، وقال عنه الشیخ الطوسي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له كتاب أخبرنا به </w:t>
      </w:r>
    </w:p>
    <w:p>
      <w:pPr>
        <w:pStyle w:val="BookText"/>
        <w:rPr/>
      </w:pPr>
      <w:r>
        <w:rPr>
          <w:rFonts w:ascii="Amiri" w:hAnsi="Amiri" w:eastAsia="Amiri" w:cs="Amiri"/>
          <w:color w:val="111111"/>
          <w:sz w:val="28"/>
          <w:sz w:val="28"/>
          <w:szCs w:val="28"/>
          <w:rtl w:val="true"/>
          <w:lang w:bidi="ar-SA"/>
        </w:rPr>
        <w:t>عدّة من أصحابنا، عن أبي المفضّل، عن ابن بُطّة، عن أحمد بن أبي عبد اللّه، عنه</w:t>
      </w:r>
      <w:r>
        <w:rPr>
          <w:rFonts w:eastAsia="Amiri" w:cs="Amiri" w:ascii="Amiri" w:hAnsi="Amiri"/>
          <w:color w:val="111111"/>
          <w:sz w:val="28"/>
          <w:szCs w:val="28"/>
          <w:rtl w:val="true"/>
          <w:lang w:bidi="ar-SA"/>
        </w:rPr>
        <w:t>)</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يخفى أنّ ظاهر النجاشي التأمّل في ما نقلوه عن النوفلي، بل ربّما استُظهر من ذلك حسنه</w:t>
      </w:r>
      <w:r>
        <w:rPr>
          <w:rStyle w:val="FootnoteAnchor"/>
          <w:rtl w:val="true"/>
        </w:rPr>
        <w:footnoteReference w:id="269"/>
      </w:r>
      <w:r>
        <w:rPr>
          <w:rFonts w:ascii="Amiri" w:hAnsi="Amiri" w:eastAsia="Amiri" w:cs="Amiri"/>
          <w:color w:val="111111"/>
          <w:sz w:val="28"/>
          <w:sz w:val="28"/>
          <w:szCs w:val="28"/>
          <w:rtl w:val="true"/>
          <w:lang w:bidi="ar-SA"/>
        </w:rPr>
        <w:t>، وهناك من يبني على تضعيفه</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وتحقيق الحال فيه إجمالاً أنّ هناك عدّة أمارات يمكن بمجموعها تحصيل الاطمئنان بوثاقته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وقوعه في أسانيد تفسير القمّي، بناءً على كبرى توثيق كلّ من ورد في أسناد تفسير القمّي، كما بنى على ذلك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Style w:val="FootnoteAnchor"/>
          <w:rtl w:val="true"/>
        </w:rPr>
        <w:footnoteReference w:id="271"/>
      </w:r>
      <w:r>
        <w:rPr>
          <w:rFonts w:ascii="Amiri" w:hAnsi="Amiri" w:eastAsia="Amiri" w:cs="Amiri"/>
          <w:color w:val="111111"/>
          <w:sz w:val="28"/>
          <w:sz w:val="28"/>
          <w:szCs w:val="28"/>
          <w:rtl w:val="true"/>
          <w:lang w:bidi="ar-SA"/>
        </w:rPr>
        <w:t>استناداً إلى عبارة القمّي في تفسيره،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ونحن ذاكرون ومخبرون بما ينتهي إلينا ورواه مشايخنا وثقاتنا عن الذين فرض الله طاعتهم وأوجب ولايتهم</w:t>
      </w:r>
      <w:r>
        <w:rPr>
          <w:rFonts w:eastAsia="Amiri" w:cs="Amiri" w:ascii="Amiri" w:hAnsi="Amiri"/>
          <w:color w:val="111111"/>
          <w:sz w:val="28"/>
          <w:szCs w:val="28"/>
          <w:rtl w:val="true"/>
          <w:lang w:bidi="ar-SA"/>
        </w:rPr>
        <w:t>)</w:t>
      </w:r>
      <w:r>
        <w:rPr>
          <w:rStyle w:val="FootnoteAnchor"/>
          <w:rtl w:val="true"/>
        </w:rPr>
        <w:footnoteReference w:id="272"/>
      </w:r>
      <w:r>
        <w:rPr>
          <w:rFonts w:ascii="Amiri" w:hAnsi="Amiri" w:eastAsia="Amiri" w:cs="Amiri"/>
          <w:color w:val="111111"/>
          <w:sz w:val="28"/>
          <w:sz w:val="28"/>
          <w:szCs w:val="28"/>
          <w:rtl w:val="true"/>
          <w:lang w:bidi="ar-SA"/>
        </w:rPr>
        <w:t>وظاهرها شهادة علي بن إبراهيم بوثاقتهم</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يتمّ ذلك بشرط أن تكون الرواية من تفسير القمّي نفسه لا من غيره؛ لأنّ التفسير الموجود بين أيدينا هو خليط بين تفسير القمّي وغيره</w:t>
      </w:r>
      <w:r>
        <w:rPr>
          <w:rStyle w:val="FootnoteAnchor"/>
          <w:rtl w:val="true"/>
        </w:rPr>
        <w:footnoteReference w:id="273"/>
      </w:r>
      <w:r>
        <w:rPr>
          <w:rFonts w:ascii="Amiri" w:hAnsi="Amiri" w:eastAsia="Amiri" w:cs="Amiri"/>
          <w:color w:val="111111"/>
          <w:sz w:val="28"/>
          <w:sz w:val="28"/>
          <w:szCs w:val="28"/>
          <w:rtl w:val="true"/>
          <w:lang w:bidi="ar-SA"/>
        </w:rPr>
        <w:t>، وقد روى القمّي عن أبيه عن النوفلي في غير موضع</w:t>
      </w:r>
      <w:r>
        <w:rPr>
          <w:rStyle w:val="FootnoteAnchor"/>
          <w:rtl w:val="true"/>
        </w:rPr>
        <w:footnoteReference w:id="274"/>
      </w:r>
      <w:r>
        <w:rPr>
          <w:rFonts w:ascii="Amiri" w:hAnsi="Amiri" w:eastAsia="Amiri" w:cs="Amiri"/>
          <w:color w:val="111111"/>
          <w:sz w:val="28"/>
          <w:sz w:val="28"/>
          <w:szCs w:val="28"/>
          <w:rtl w:val="true"/>
          <w:lang w:bidi="ar-SA"/>
        </w:rPr>
        <w:t xml:space="preserve">، وهذا من أمارات التمييز بأنّه من تفسيره؛ لأنّ </w:t>
      </w:r>
    </w:p>
    <w:p>
      <w:pPr>
        <w:pStyle w:val="BookText"/>
        <w:rPr/>
      </w:pPr>
      <w:r>
        <w:rPr>
          <w:rFonts w:ascii="Amiri" w:hAnsi="Amiri" w:eastAsia="Amiri" w:cs="Amiri"/>
          <w:color w:val="111111"/>
          <w:sz w:val="28"/>
          <w:sz w:val="28"/>
          <w:szCs w:val="28"/>
          <w:rtl w:val="true"/>
          <w:lang w:bidi="ar-SA"/>
        </w:rPr>
        <w:t>المناط في تشخيص كون الرواية من تفسير القمّي أو لا يتمّ من خلال أحد أمرين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إذا قال القمّي حدّثني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فيكون للقمّي لا لغيره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السند قصيراً فهو له لا لغيره، وهو متحقّق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أو أخبرنا كذا، أو كان السند طويلاً فهو ليس من تفسير القمّي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طريقنا إلى السكوني يمرّ بالنوفلي غالباً، والطائفة مجمعة على العمل بروايات السكوني، قال الشيخ في العدّة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ولأجل ما قلناه عملت الطائفة بما رواه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والسكوني وغيرهم من العامّة</w:t>
      </w:r>
      <w:r>
        <w:rPr>
          <w:rFonts w:eastAsia="Amiri" w:cs="Amiri" w:ascii="Amiri" w:hAnsi="Amiri"/>
          <w:color w:val="111111"/>
          <w:sz w:val="28"/>
          <w:szCs w:val="28"/>
          <w:rtl w:val="true"/>
          <w:lang w:bidi="ar-SA"/>
        </w:rPr>
        <w:t>)</w:t>
      </w:r>
      <w:r>
        <w:rPr>
          <w:rStyle w:val="FootnoteAnchor"/>
          <w:rtl w:val="true"/>
        </w:rPr>
        <w:footnoteReference w:id="275"/>
      </w:r>
      <w:r>
        <w:rPr>
          <w:rFonts w:ascii="Amiri" w:hAnsi="Amiri" w:eastAsia="Amiri" w:cs="Amiri"/>
          <w:color w:val="111111"/>
          <w:sz w:val="28"/>
          <w:sz w:val="28"/>
          <w:szCs w:val="28"/>
          <w:rtl w:val="true"/>
          <w:lang w:bidi="ar-SA"/>
        </w:rPr>
        <w:t>، ولازم ذلك اعتبار حال النوفلي؛ إذ لو لم نلتزم بوثاقة النوفلي لطرحنا روايات السكوني إلّا قليلاً، ولكن هذا الدليل لا يخلو من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ابن أبي عمير عنه</w:t>
      </w:r>
      <w:r>
        <w:rPr>
          <w:rStyle w:val="FootnoteAnchor"/>
          <w:rtl w:val="true"/>
        </w:rPr>
        <w:footnoteReference w:id="276"/>
      </w:r>
      <w:r>
        <w:rPr>
          <w:rFonts w:ascii="Amiri" w:hAnsi="Amiri" w:eastAsia="Amiri" w:cs="Amiri"/>
          <w:color w:val="111111"/>
          <w:sz w:val="28"/>
          <w:sz w:val="28"/>
          <w:szCs w:val="28"/>
          <w:rtl w:val="true"/>
          <w:lang w:bidi="ar-SA"/>
        </w:rPr>
        <w:t>، بناءً على كبرى أنّه لا يروي إلّا عن ثقة</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صاحب نوادر الحكمة عنه بلا واسطة، بناءً على أنّ كلّ من روى عنه بلا واسطة، ولم يستثنه ابن الوليد فهو إمّا ثقة أو ممدوح</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الصغرى فثابتة في عدّة مواطن</w:t>
      </w:r>
      <w:r>
        <w:rPr>
          <w:rStyle w:val="FootnoteAnchor"/>
          <w:rtl w:val="true"/>
        </w:rPr>
        <w:footnoteReference w:id="279"/>
      </w:r>
      <w:r>
        <w:rPr>
          <w:rFonts w:ascii="Amiri" w:hAnsi="Amiri" w:eastAsia="Amiri" w:cs="Amiri"/>
          <w:color w:val="111111"/>
          <w:sz w:val="28"/>
          <w:sz w:val="28"/>
          <w:szCs w:val="28"/>
          <w:rtl w:val="true"/>
          <w:lang w:bidi="ar-SA"/>
        </w:rPr>
        <w:t>، وأمّا الكبرى فقد ثبت في محلّه تمامية ذلك في الرواة المباشرين الذين يروي عنهم الأشعري، والنوفلي منهم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الخامسة</w:t>
      </w:r>
      <w:r>
        <w:rPr>
          <w:rStyle w:val="FootnoteAnchor"/>
          <w:rtl w:val="true"/>
        </w:rPr>
        <w:footnoteReference w:id="2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إكثار جمع من الأصحاب الأجلّاء الرواية عنه، كإبراهيم بن هاشم</w:t>
      </w:r>
      <w:r>
        <w:rPr>
          <w:rStyle w:val="FootnoteAnchor"/>
          <w:rtl w:val="true"/>
        </w:rPr>
        <w:footnoteReference w:id="281"/>
      </w:r>
      <w:r>
        <w:rPr>
          <w:rFonts w:ascii="Amiri" w:hAnsi="Amiri" w:eastAsia="Amiri" w:cs="Amiri"/>
          <w:color w:val="111111"/>
          <w:sz w:val="28"/>
          <w:sz w:val="28"/>
          <w:szCs w:val="28"/>
          <w:rtl w:val="true"/>
          <w:lang w:bidi="ar-SA"/>
        </w:rPr>
        <w:t>، والأشعري القمّي</w:t>
      </w:r>
      <w:r>
        <w:rPr>
          <w:rStyle w:val="FootnoteAnchor"/>
          <w:rtl w:val="true"/>
        </w:rPr>
        <w:footnoteReference w:id="282"/>
      </w:r>
      <w:r>
        <w:rPr>
          <w:rFonts w:ascii="Amiri" w:hAnsi="Amiri" w:eastAsia="Amiri" w:cs="Amiri"/>
          <w:color w:val="111111"/>
          <w:sz w:val="28"/>
          <w:sz w:val="28"/>
          <w:szCs w:val="28"/>
          <w:rtl w:val="true"/>
          <w:lang w:bidi="ar-SA"/>
        </w:rPr>
        <w:t>، والبرقي وأبيه</w:t>
      </w:r>
      <w:r>
        <w:rPr>
          <w:rStyle w:val="FootnoteAnchor"/>
          <w:rtl w:val="true"/>
        </w:rPr>
        <w:footnoteReference w:id="283"/>
      </w:r>
      <w:r>
        <w:rPr>
          <w:rFonts w:ascii="IRNazanin" w:hAnsi="IRNazanin" w:eastAsia="IRNazanin"/>
          <w:color w:val="111111"/>
          <w:sz w:val="28"/>
          <w:sz w:val="28"/>
          <w:szCs w:val="28"/>
          <w:rtl w:val="true"/>
          <w:lang w:bidi="fa-IR"/>
        </w:rPr>
        <w:t>، والعبّاس بن معروف</w:t>
      </w:r>
      <w:r>
        <w:rPr>
          <w:rStyle w:val="FootnoteAnchor"/>
          <w:rtl w:val="true"/>
        </w:rPr>
        <w:footnoteReference w:id="284"/>
      </w:r>
      <w:r>
        <w:rPr>
          <w:rFonts w:ascii="Amiri" w:hAnsi="Amiri" w:eastAsia="Amiri" w:cs="Amiri"/>
          <w:color w:val="111111"/>
          <w:sz w:val="28"/>
          <w:sz w:val="28"/>
          <w:szCs w:val="28"/>
          <w:rtl w:val="true"/>
          <w:lang w:bidi="ar-SA"/>
        </w:rPr>
        <w:t>،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فبناءً على كبرى إكثار الأصحاب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رواية إبراهيم بن هاشم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 الدليل، وهو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فالصحيح تمامية وثاقة النوفلي وفاقاً لجملة من الأعلام، كالسيّد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لما مرّ، بعد تمامية بعض تلك الأمارات، كالأولى، والثالثة، والرابعة، والخامسة، على تأمّل في الأمارة الثانية</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السكوني فقد قال فيه النجاشي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إسماعيل بن أبي زياد يعرف بالسكوني الشعيري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قرأته على أبي العبّاس أحمد بن علي بن نوح،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الشريف أبو محمّد الحسن بن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إبراهيم بن هاشم عن أبيه عن النوفلي عن إسماعيل بن أبي زياد السكوني الشعيري بكتابه</w:t>
      </w:r>
      <w:r>
        <w:rPr>
          <w:rFonts w:eastAsia="Amiri" w:cs="Amiri" w:ascii="Amiri" w:hAnsi="Amiri"/>
          <w:color w:val="111111"/>
          <w:sz w:val="28"/>
          <w:szCs w:val="28"/>
          <w:rtl w:val="true"/>
          <w:lang w:bidi="ar-SA"/>
        </w:rPr>
        <w:t>)</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 الشيخ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إسماعيل بن أبي زياد السكوني، ويعرف بالشعيري أيضاً واسم أبي زياد مسلم، له كتاب كبير، وله كتاب النوادر</w:t>
      </w:r>
      <w:r>
        <w:rPr>
          <w:rFonts w:eastAsia="Amiri" w:cs="Amiri" w:ascii="Amiri" w:hAnsi="Amiri"/>
          <w:color w:val="111111"/>
          <w:sz w:val="28"/>
          <w:szCs w:val="28"/>
          <w:rtl w:val="true"/>
          <w:lang w:bidi="ar-SA"/>
        </w:rPr>
        <w:t>)</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اختلفت كلمات الأعلام فيه من 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مذهبه، وقد ذهب إلى كونه عامّياً الشيخ في العدّة، وتبعه ابن إدريس</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يمكن التشكيك بهذه الدعوى استناداً إلى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خلوّ عبارتي النجاشي والشيخ المتقدّمتين من نسبة العامّية إليه، بناءً على أنّ الأصل 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الشيخ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الخاصّة إلّا إذا قامت قرينة على أنّ هذا الرجل من العامّة، فيكون السكوني بذلك من الخاصّة، وهذا ما استظهره من عبارة النجاشي المحقّق السيّد بحر العلوم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رجاله</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لم نجد في كلمات أصحابنا المتقدّمين ما يدلّ على نسبته للعامّة إلّا في كلمات الشيخ في عدّته، وتبعه عليه ابن إدريس في بعض كتبه</w:t>
      </w:r>
      <w:r>
        <w:rPr>
          <w:rStyle w:val="FootnoteAnchor"/>
          <w:rtl w:val="true"/>
        </w:rPr>
        <w:footnoteReference w:id="289"/>
      </w:r>
      <w:r>
        <w:rPr>
          <w:rFonts w:ascii="Amiri" w:hAnsi="Amiri" w:eastAsia="Amiri" w:cs="Amiri"/>
          <w:color w:val="111111"/>
          <w:sz w:val="28"/>
          <w:sz w:val="28"/>
          <w:szCs w:val="28"/>
          <w:rtl w:val="true"/>
          <w:lang w:bidi="ar-SA"/>
        </w:rPr>
        <w:t>، على الرغم من تعبيره عنه في بعضها بأنّه من أصحابنا</w:t>
      </w:r>
      <w:r>
        <w:rPr>
          <w:rStyle w:val="FootnoteAnchor"/>
          <w:rtl w:val="true"/>
        </w:rPr>
        <w:footnoteReference w:id="290"/>
      </w:r>
      <w:r>
        <w:rPr>
          <w:rFonts w:ascii="Amiri" w:hAnsi="Amiri" w:eastAsia="Amiri" w:cs="Amiri"/>
          <w:color w:val="111111"/>
          <w:sz w:val="28"/>
          <w:sz w:val="28"/>
          <w:szCs w:val="28"/>
          <w:rtl w:val="true"/>
          <w:lang w:bidi="ar-SA"/>
        </w:rPr>
        <w:t>، وسار على هذه النسبة أكثر الأعلام بعده</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أفاده الشيخ النوري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المستدرك،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إنّك تجد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النظر في أبواب الوسائل، وما استدركناه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كثيراً ممّا نقلناه من هذا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w:t>
      </w:r>
    </w:p>
    <w:p>
      <w:pPr>
        <w:pStyle w:val="BookText"/>
        <w:rPr/>
      </w:pPr>
      <w:r>
        <w:rPr>
          <w:rFonts w:ascii="IRNazanin" w:hAnsi="IRNazanin" w:eastAsia="IRNazanin"/>
          <w:color w:val="111111"/>
          <w:sz w:val="28"/>
          <w:sz w:val="28"/>
          <w:szCs w:val="28"/>
          <w:rtl w:val="true"/>
          <w:lang w:bidi="fa-IR"/>
        </w:rPr>
        <w:t>الجعفريات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مرويّ في الكتب الأربعة، بطرق المشايخ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النوفلي، عن السكوني، عن أبي عبد اللّه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فيه، ويظهر من هذا أنّ السكوني كان حاضراً في المجلس الذي كان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يلقي إلى ابنه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بطريق التحديث، فألقاه إلى ابنه إسماعيل على النحو الذي تلقّاه، و هذا ممّا ينبئ عن علوّ مقام السكوني عنده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ولطفه به، واختصاصه بهذا التشريف، ويضعّف جعل أسلوب رواياته قرينة على عامّيته فإنّها عن جعفر، عن أبيه،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هذا فالراجح كونه إمامياً؛ لما ذكر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ولعلّ الوجه في نسبة العامّية له ما ذكره العلّامة المجلسي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والذي يغلب على الظن أنّه كان إمامياً، لكن لمّا كان مشتهراً بين العامّة وكان يتّقي منهم لأنّه روى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جميع الأبواب، وكان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يتّقي منه، ويروي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 ما يخالف العامّة، والأصحاب تارة يعملون بخبره وتارة يردّونه بضعفه</w:t>
      </w:r>
      <w:r>
        <w:rPr>
          <w:rFonts w:eastAsia="IRNazanin" w:cs="IRNazanin"/>
          <w:color w:val="111111"/>
          <w:sz w:val="28"/>
          <w:szCs w:val="28"/>
          <w:rtl w:val="true"/>
          <w:lang w:bidi="fa-IR"/>
        </w:rPr>
        <w:t>)</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توثيقه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والصحيح وثاقته؛ لعدّة قرائن يمكن أن تحصّل مجتمعة الوثوق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الطائفة مجمعة على العمل برواياته، قال الشيخ في العدّة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ولأجل ما قلناه عملت الطائفة بما رواه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والسكوني وغيرهم من العامّة</w:t>
      </w:r>
      <w:r>
        <w:rPr>
          <w:rFonts w:eastAsia="Amiri" w:cs="Amiri" w:ascii="Amiri" w:hAnsi="Amiri"/>
          <w:color w:val="111111"/>
          <w:sz w:val="28"/>
          <w:szCs w:val="28"/>
          <w:rtl w:val="true"/>
          <w:lang w:bidi="ar-SA"/>
        </w:rPr>
        <w:t>)</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من خواصّ الإمام ومعتمديه، كما أشار إلى ذلك العلّامة النوري في </w:t>
      </w:r>
      <w:bookmarkStart w:id="259" w:name="pg9142_80657"/>
    </w:p>
    <w:p>
      <w:pPr>
        <w:pStyle w:val="BookText"/>
        <w:rPr/>
      </w:pPr>
      <w:bookmarkEnd w:id="259"/>
      <w:r>
        <w:rPr>
          <w:rFonts w:ascii="Amiri" w:hAnsi="Amiri" w:eastAsia="Amiri" w:cs="Amiri"/>
          <w:color w:val="111111"/>
          <w:sz w:val="28"/>
          <w:sz w:val="28"/>
          <w:szCs w:val="28"/>
          <w:rtl w:val="true"/>
          <w:lang w:bidi="ar-SA"/>
        </w:rPr>
        <w:t>المستدرك، كما مرّ</w:t>
      </w:r>
      <w:r>
        <w:rPr>
          <w:rStyle w:val="FootnoteAnchor"/>
          <w:rtl w:val="true"/>
        </w:rPr>
        <w:footnoteReference w:id="295"/>
      </w:r>
      <w:r>
        <w:rPr>
          <w:rFonts w:ascii="Amiri" w:hAnsi="Amiri" w:eastAsia="Amiri" w:cs="Amiri"/>
          <w:color w:val="111111"/>
          <w:sz w:val="28"/>
          <w:sz w:val="28"/>
          <w:szCs w:val="28"/>
          <w:rtl w:val="true"/>
          <w:lang w:bidi="ar-SA"/>
        </w:rPr>
        <w:t>، وهو أمارة التوثيق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كثير الرواية مع الضبط الشديد، وتنوّع الأبواب، وموافقتها لأصول وقواعد المذهب، وعمل الأصحاب بها إلّا ما تفرّد به، وهذا هو ما يلوح ممّا احتمله المجلسي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وجهاً لتوثيق المحقّق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للسكوني</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علي بن إبراهيم عنه في تفسير القمّي، وقد مرّ تمامية كبرى من روى عنه القمّي في توثيق النوفلي، فالكلام هو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فالصحيح القول بوثاقته، وكونه إمامياً،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فالمحصّل تمامية الرواية سنداً</w:t>
      </w:r>
      <w:r>
        <w:rPr>
          <w:rFonts w:eastAsia="Amiri" w:cs="Amiri" w:ascii="Amiri" w:hAnsi="Amiri"/>
          <w:color w:val="111111"/>
          <w:sz w:val="28"/>
          <w:szCs w:val="28"/>
          <w:rtl w:val="true"/>
          <w:lang w:bidi="ar-SA"/>
        </w:rPr>
        <w:t>.</w:t>
      </w:r>
    </w:p>
    <w:p>
      <w:pPr>
        <w:pStyle w:val="Heading6"/>
        <w:numPr>
          <w:ilvl w:val="5"/>
          <w:numId w:val="1"/>
        </w:numPr>
        <w:rPr/>
      </w:pPr>
      <w:bookmarkStart w:id="260" w:name="__RefHeading___Toc3266232_2870459653"/>
      <w:bookmarkStart w:id="261" w:name="_Toc97"/>
      <w:bookmarkEnd w:id="260"/>
      <w:r>
        <w:rPr>
          <w:rtl w:val="true"/>
        </w:rPr>
        <w:t>المقام الآخر</w:t>
      </w:r>
      <w:r>
        <w:rPr>
          <w:rtl w:val="true"/>
        </w:rPr>
        <w:t xml:space="preserve">: </w:t>
      </w:r>
      <w:r>
        <w:rPr>
          <w:rtl w:val="true"/>
        </w:rPr>
        <w:t>البحث الدلالي</w:t>
      </w:r>
      <w:bookmarkEnd w:id="261"/>
    </w:p>
    <w:p>
      <w:pPr>
        <w:pStyle w:val="BookText"/>
        <w:rPr/>
      </w:pPr>
      <w:r>
        <w:rPr>
          <w:rFonts w:ascii="Amiri" w:hAnsi="Amiri" w:eastAsia="Amiri" w:cs="Amiri"/>
          <w:color w:val="111111"/>
          <w:sz w:val="28"/>
          <w:sz w:val="28"/>
          <w:szCs w:val="28"/>
          <w:rtl w:val="true"/>
          <w:lang w:bidi="ar-SA"/>
        </w:rPr>
        <w:t>ويمكن أن يقرّب الاستدلال على حرمة الخروج مطلقاً بتقريب أنّ سقوط نفقتها إنّما كان بسبب خروجها من البيت بلا إذن زوجها، فلو لم يكن الخروج بلا إذنه محرّماً لما أوجب تحقّق النشوز وسقوط النفقة، ومقتضى إطلاق الرواية يشمل صورة عدم المنافاة لحقّ الاستمتاع</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62" w:name="__RefHeading___Toc3266234_2870459653"/>
      <w:bookmarkStart w:id="263" w:name="_Toc98"/>
      <w:bookmarkEnd w:id="262"/>
      <w:r>
        <w:rPr>
          <w:rtl w:val="true"/>
        </w:rPr>
        <w:t>الروایة الرابعة</w:t>
      </w:r>
      <w:bookmarkEnd w:id="263"/>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رواية السكوني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رواها الشيخ بسنده عن محمّد بن أحمد بن يحيى، عن بنان بن محمّد، عن أبيه، عن عبد الله بن المغيرة، عن </w:t>
      </w:r>
    </w:p>
    <w:p>
      <w:pPr>
        <w:pStyle w:val="BookText"/>
        <w:rPr/>
      </w:pPr>
      <w:r>
        <w:rPr>
          <w:rFonts w:ascii="IRNazanin" w:hAnsi="IRNazanin" w:eastAsia="IRNazanin"/>
          <w:color w:val="111111"/>
          <w:sz w:val="28"/>
          <w:sz w:val="28"/>
          <w:szCs w:val="28"/>
          <w:rtl w:val="true"/>
          <w:lang w:bidi="fa-IR"/>
        </w:rPr>
        <w:t xml:space="preserve">السكوني، عن جعفر،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مثله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رواية السكوني المتقدّمة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وزاد 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وأيّما امرأة خرجت من بيتها بغير إذن زوجها فلا نفقة لها حتّى ترجع</w:t>
      </w:r>
      <w:r>
        <w:rPr>
          <w:rFonts w:eastAsia="IRNazanin" w:cs="IRNazanin"/>
          <w:color w:val="111111"/>
          <w:sz w:val="28"/>
          <w:szCs w:val="28"/>
          <w:rtl w:val="true"/>
          <w:lang w:bidi="fa-IR"/>
        </w:rPr>
        <w:t>)</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مرّ الكلام في دلالتها على حرمة خروج المرأة مطلقاً؛ إذ إنّها عين ألفاظ الرواية الثالثة المارّة الذكر، وقلنا بتمامية دلالتها على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سندها فليس فيه مَنْ يتوقّف بشأنه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بنان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ثقة على الأصحّ؛ ذلك أنّ بنان بن محمّد بن عيسى هو عبد الله بن محمّد بن عيسى، وبنان لقبه</w:t>
      </w:r>
      <w:r>
        <w:rPr>
          <w:rStyle w:val="FootnoteAnchor"/>
          <w:rtl w:val="true"/>
        </w:rPr>
        <w:footnoteReference w:id="299"/>
      </w:r>
      <w:r>
        <w:rPr>
          <w:rFonts w:ascii="Amiri" w:hAnsi="Amiri" w:eastAsia="Amiri" w:cs="Amiri"/>
          <w:color w:val="111111"/>
          <w:sz w:val="28"/>
          <w:sz w:val="28"/>
          <w:szCs w:val="28"/>
          <w:rtl w:val="true"/>
          <w:lang w:bidi="ar-SA"/>
        </w:rPr>
        <w:t>، وهو أخو أحمد بن محمّد بن عيسى، كما قال الكشّي في رجاله</w:t>
      </w:r>
      <w:r>
        <w:rPr>
          <w:rStyle w:val="FootnoteAnchor"/>
          <w:rtl w:val="true"/>
        </w:rPr>
        <w:footnoteReference w:id="300"/>
      </w:r>
      <w:r>
        <w:rPr>
          <w:rFonts w:ascii="Amiri" w:hAnsi="Amiri" w:eastAsia="Amiri" w:cs="Amiri"/>
          <w:color w:val="111111"/>
          <w:sz w:val="28"/>
          <w:sz w:val="28"/>
          <w:szCs w:val="28"/>
          <w:rtl w:val="true"/>
          <w:lang w:bidi="ar-SA"/>
        </w:rPr>
        <w:t>، وله أخ آخر اسمه عبد الرحمن، كما يظهر من الكافي</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وقع الخلاف بين الأعلام فيه، فعبّر عنه بعضهم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مجهول</w:t>
      </w:r>
      <w:r>
        <w:rPr>
          <w:rFonts w:eastAsia="Amiri" w:cs="Amiri" w:ascii="Amiri" w:hAnsi="Amiri"/>
          <w:color w:val="111111"/>
          <w:sz w:val="28"/>
          <w:szCs w:val="28"/>
          <w:rtl w:val="true"/>
          <w:lang w:bidi="ar-SA"/>
        </w:rPr>
        <w:t>)</w:t>
      </w:r>
      <w:r>
        <w:rPr>
          <w:rStyle w:val="FootnoteAnchor"/>
          <w:rtl w:val="true"/>
        </w:rPr>
        <w:footnoteReference w:id="302"/>
      </w:r>
      <w:r>
        <w:rPr>
          <w:rFonts w:ascii="IRNazanin" w:hAnsi="IRNazanin" w:eastAsia="IRNazanin"/>
          <w:color w:val="111111"/>
          <w:sz w:val="28"/>
          <w:sz w:val="28"/>
          <w:szCs w:val="28"/>
          <w:rtl w:val="true"/>
          <w:lang w:bidi="fa-IR"/>
        </w:rPr>
        <w:t>، وبعض عبّر عنه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مهمل</w:t>
      </w:r>
      <w:r>
        <w:rPr>
          <w:rFonts w:eastAsia="IRNazanin" w:cs="IRNazanin"/>
          <w:color w:val="111111"/>
          <w:sz w:val="28"/>
          <w:szCs w:val="28"/>
          <w:rtl w:val="true"/>
          <w:lang w:bidi="fa-IR"/>
        </w:rPr>
        <w:t>)</w:t>
      </w:r>
      <w:r>
        <w:rPr>
          <w:rStyle w:val="FootnoteAnchor"/>
          <w:rtl w:val="true"/>
        </w:rPr>
        <w:footnoteReference w:id="303"/>
      </w:r>
      <w:r>
        <w:rPr>
          <w:rFonts w:ascii="Amiri" w:hAnsi="Amiri" w:eastAsia="Amiri" w:cs="Amiri"/>
          <w:color w:val="111111"/>
          <w:sz w:val="28"/>
          <w:sz w:val="28"/>
          <w:szCs w:val="28"/>
          <w:rtl w:val="true"/>
          <w:lang w:bidi="ar-SA"/>
        </w:rPr>
        <w:t>، وبعض وثّقه</w:t>
      </w:r>
      <w:r>
        <w:rPr>
          <w:rStyle w:val="FootnoteAnchor"/>
          <w:rtl w:val="true"/>
        </w:rPr>
        <w:footnoteReference w:id="304"/>
      </w:r>
      <w:r>
        <w:rPr>
          <w:rFonts w:ascii="Amiri" w:hAnsi="Amiri" w:eastAsia="Amiri" w:cs="Amiri"/>
          <w:color w:val="111111"/>
          <w:sz w:val="28"/>
          <w:sz w:val="28"/>
          <w:szCs w:val="28"/>
          <w:rtl w:val="true"/>
          <w:lang w:bidi="ar-SA"/>
        </w:rPr>
        <w:t>، وأمّا أعلام العصر فأكثرهم على التضعيف</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وما يمكن أن يقال في توثيقه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وروده في كامل الزيارات</w:t>
      </w:r>
      <w:r>
        <w:rPr>
          <w:rStyle w:val="FootnoteAnchor"/>
          <w:rtl w:val="true"/>
        </w:rPr>
        <w:footnoteReference w:id="306"/>
      </w:r>
      <w:r>
        <w:rPr>
          <w:rFonts w:ascii="Amiri" w:hAnsi="Amiri" w:eastAsia="Amiri" w:cs="Amiri"/>
          <w:color w:val="111111"/>
          <w:sz w:val="28"/>
          <w:sz w:val="28"/>
          <w:szCs w:val="28"/>
          <w:rtl w:val="true"/>
          <w:lang w:bidi="ar-SA"/>
        </w:rPr>
        <w:t xml:space="preserve">، والراجح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النظر القاصر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البناء على وثاقة مشايخ ابن قولويه المباشرين؛ استناداً إلى قوله في مقدّمة كامل الزيارات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علمنا أنا لا نحيط بجميع ما روي عنهم في هذا المعنى، ولا في غيره لكن ما وقع لنا من جهة الثّقات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 الله برحمته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أخرجت فيه حديثاً روي عن الشذاذ من الرجال يؤثر ذلك عنهم عن المذكورين غير المعروفين بالرواية المشهورين بالحديث والعلم، وسمّيته كتاب كامل الزيارات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الأوصاف التي ذكرها ابن قولويه لا تنطبق على كلّ الرواة وإنّما تنطبق على أكثر المباشرين، فلا بدّ من حمل كلامه في التوثيق على المباشرين فقط، فهو القدر المتيقّن من الشهادة، ولا يصحّ طرح شهادته بالكلّية؛ لأنّه خلاف كلامه صريحاً، ولا قبول كلّ الرواة والحكم بوثاقتهم؛ لوقوع بعضهم في سند لا يصل إلى المعصوم، ولوجود بعض الرجال من غير أصحابنا، بالإضافة إلى أنّ هذا التوثيق بعرضه العريض لا نظير له بين المتقدّمين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المختار لا يصحّ الاعتماد في توثيق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بنان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كامل الزيارات؛ لأنّه ليس من الرواة المباشرين</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اعتماد محمّد بن أحمد بن يحيى الأشعري عليه في الرواية عنه في كتاب نوادر الحكمة، ولم يستثنه ابن الوليد، ويبدو من النجاشي أيضاً اعتماده عليه في إيراد رواية متعلّقة بمحمّد بن سنان،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ذكر أبو عمرو في رجاله قال أبو الحسن </w:t>
      </w:r>
    </w:p>
    <w:p>
      <w:pPr>
        <w:pStyle w:val="BookText"/>
        <w:rPr/>
      </w:pPr>
      <w:r>
        <w:rPr>
          <w:rFonts w:ascii="Amiri" w:hAnsi="Amiri" w:eastAsia="Amiri" w:cs="Amiri"/>
          <w:color w:val="111111"/>
          <w:sz w:val="28"/>
          <w:sz w:val="28"/>
          <w:szCs w:val="28"/>
          <w:rtl w:val="true"/>
          <w:lang w:bidi="ar-SA"/>
        </w:rPr>
        <w:t xml:space="preserve">علي بن محمّد بن قتيبة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النيشابوري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محمّد الفضل بن 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أحلّ لكم أن ترووا أحاديث محمّد 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أيضا أنّه وجد بخطّ أبي عبد الله الشاذاني أنّي سمعت العاصمي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عبد الله بن محمّد بن عيسى الملقّب ببنان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صفوان بن يحيى بالكوفة في منزل إذ دخل علينا محمّد بن سنان فقال صفوان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ابن سنان لقد همّ أن يطير غير مرّة فقصصناه حتّى ثبت معنا</w:t>
      </w:r>
      <w:r>
        <w:rPr>
          <w:rFonts w:eastAsia="Amiri" w:cs="Amiri" w:ascii="Amiri" w:hAnsi="Amiri"/>
          <w:color w:val="111111"/>
          <w:sz w:val="28"/>
          <w:szCs w:val="28"/>
          <w:rtl w:val="true"/>
          <w:lang w:bidi="ar-SA"/>
        </w:rPr>
        <w:t>)</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الوحيد البهبهاني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رواية محمّد بن أحمد بن يحيى الأشعري عنه في نوادر الحكمة ولم يستثنه ابن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إشعار بالاعتماد عليه، بل لا يبعد الحكم بوثاقته</w:t>
      </w:r>
      <w:r>
        <w:rPr>
          <w:rFonts w:eastAsia="Amiri" w:cs="Amiri" w:ascii="Amiri" w:hAnsi="Amiri"/>
          <w:color w:val="111111"/>
          <w:sz w:val="28"/>
          <w:szCs w:val="28"/>
          <w:rtl w:val="true"/>
          <w:lang w:bidi="ar-SA"/>
        </w:rPr>
        <w:t>)</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ومثله فعل الشيخ النوري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المستدرك،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ويظهر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رواية النجاشي عنه الرواية المتعلّقة بمحمّد 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اعتماد النجاشي عليه وبنائه على قوله، ومن جميع ذلك يمكن استظهار وثاقته</w:t>
      </w:r>
      <w:r>
        <w:rPr>
          <w:rFonts w:eastAsia="Amiri" w:cs="Amiri" w:ascii="Amiri" w:hAnsi="Amiri"/>
          <w:color w:val="111111"/>
          <w:sz w:val="28"/>
          <w:szCs w:val="28"/>
          <w:rtl w:val="true"/>
          <w:lang w:bidi="ar-SA"/>
        </w:rPr>
        <w:t>)</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وقد اعترض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كاشفية الاعتماد عن التوثيق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مجرّد الاعتماد لا يكشف عن التوثيق، ولعلّهما يبنيان على أصالة العدالة كالعلّامة، وقد ذكر الصدوق في مقدّمة الفقيه أنّه يعتمد على كتابه مع عدم كشفه عن توثيق جميع رواته</w:t>
      </w:r>
      <w:r>
        <w:rPr>
          <w:rFonts w:eastAsia="Amiri" w:cs="Amiri" w:ascii="Amiri" w:hAnsi="Amiri"/>
          <w:color w:val="111111"/>
          <w:sz w:val="28"/>
          <w:szCs w:val="28"/>
          <w:rtl w:val="true"/>
          <w:lang w:bidi="ar-SA"/>
        </w:rPr>
        <w:t>)</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ومثله ما ذكره سيّدنا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افاداته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 ربّما يقال بالفرق بين رواية الكشّي عن شخص واعتماده عليه؛ إذ الاعتماد يتوقّف على الوثاقة، وإلّا فكيف يعتمد على من ليس بثقة؟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الكلام ليس بشيء؛ فقد ذكر بشأن غير واحد من الرجال أنّه كان يعتمد المراسيل أو المجاهيل كأحمد بن محمّد بن خالد، وسهل بن زياد، وبكر ابن أحمد العصري وغيرهم، فكيف يستغرب اعتماد الكشّي على غير الثقة</w:t>
      </w:r>
      <w:r>
        <w:rPr>
          <w:rFonts w:eastAsia="Amiri" w:cs="Amiri" w:ascii="Amiri" w:hAnsi="Amiri"/>
          <w:color w:val="111111"/>
          <w:sz w:val="28"/>
          <w:szCs w:val="28"/>
          <w:rtl w:val="true"/>
          <w:lang w:bidi="ar-SA"/>
        </w:rPr>
        <w:t>)</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الاعتماد وإن لم يكشف عن الوثاقة إلّا أنّه لا يبعد دلالته على الحسن، وإذا كان الاعتماد اعتماداً كثيراً فلا يبعد دلالته على التوثيق</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المشايخ الأجلّاء عنه، قال في المستدرك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بنان بن محمّد بن عيسى أخو أحمد الأشعري، يروي عنه الجليل محمّد بن يحيى</w:t>
      </w:r>
      <w:r>
        <w:rPr>
          <w:rStyle w:val="FootnoteAnchor"/>
          <w:rtl w:val="true"/>
        </w:rPr>
        <w:footnoteReference w:id="312"/>
      </w:r>
      <w:r>
        <w:rPr>
          <w:rFonts w:ascii="Amiri" w:hAnsi="Amiri" w:eastAsia="Amiri" w:cs="Amiri"/>
          <w:color w:val="111111"/>
          <w:sz w:val="28"/>
          <w:sz w:val="28"/>
          <w:szCs w:val="28"/>
          <w:rtl w:val="true"/>
          <w:lang w:bidi="ar-SA"/>
        </w:rPr>
        <w:t>، ومحمّد بن علي بن محبوب</w:t>
      </w:r>
      <w:r>
        <w:rPr>
          <w:rStyle w:val="FootnoteAnchor"/>
          <w:rtl w:val="true"/>
        </w:rPr>
        <w:footnoteReference w:id="313"/>
      </w:r>
      <w:r>
        <w:rPr>
          <w:rFonts w:ascii="IRNazanin" w:hAnsi="IRNazanin" w:eastAsia="IRNazanin"/>
          <w:color w:val="111111"/>
          <w:sz w:val="28"/>
          <w:sz w:val="28"/>
          <w:szCs w:val="28"/>
          <w:rtl w:val="true"/>
          <w:lang w:bidi="fa-IR"/>
        </w:rPr>
        <w:t>، ومحمّد بن الحسن الصفّار</w:t>
      </w:r>
      <w:r>
        <w:rPr>
          <w:rStyle w:val="FootnoteAnchor"/>
          <w:rtl w:val="true"/>
        </w:rPr>
        <w:footnoteReference w:id="314"/>
      </w:r>
      <w:r>
        <w:rPr>
          <w:rFonts w:ascii="Amiri" w:hAnsi="Amiri" w:eastAsia="Amiri" w:cs="Amiri"/>
          <w:color w:val="111111"/>
          <w:sz w:val="28"/>
          <w:sz w:val="28"/>
          <w:szCs w:val="28"/>
          <w:rtl w:val="true"/>
          <w:lang w:bidi="ar-SA"/>
        </w:rPr>
        <w:t>، وعبد اللَّه بن جعفر الحميري</w:t>
      </w:r>
      <w:r>
        <w:rPr>
          <w:rStyle w:val="FootnoteAnchor"/>
          <w:rtl w:val="true"/>
        </w:rPr>
        <w:footnoteReference w:id="315"/>
      </w:r>
      <w:r>
        <w:rPr>
          <w:rFonts w:ascii="Amiri" w:hAnsi="Amiri" w:eastAsia="Amiri" w:cs="Amiri"/>
          <w:color w:val="111111"/>
          <w:sz w:val="28"/>
          <w:sz w:val="28"/>
          <w:szCs w:val="28"/>
          <w:rtl w:val="true"/>
          <w:lang w:bidi="ar-SA"/>
        </w:rPr>
        <w:t>، وأحمد بن إدريس</w:t>
      </w:r>
      <w:r>
        <w:rPr>
          <w:rStyle w:val="FootnoteAnchor"/>
          <w:rtl w:val="true"/>
        </w:rPr>
        <w:footnoteReference w:id="316"/>
      </w:r>
      <w:r>
        <w:rPr>
          <w:rFonts w:ascii="Amiri" w:hAnsi="Amiri" w:eastAsia="Amiri" w:cs="Amiri"/>
          <w:color w:val="111111"/>
          <w:sz w:val="28"/>
          <w:sz w:val="28"/>
          <w:szCs w:val="28"/>
          <w:rtl w:val="true"/>
          <w:lang w:bidi="ar-SA"/>
        </w:rPr>
        <w:t>، وسعد بن عبد اللَّه</w:t>
      </w:r>
      <w:r>
        <w:rPr>
          <w:rStyle w:val="FootnoteAnchor"/>
          <w:rtl w:val="true"/>
        </w:rPr>
        <w:footnoteReference w:id="317"/>
      </w:r>
      <w:r>
        <w:rPr>
          <w:rFonts w:ascii="Amiri" w:hAnsi="Amiri" w:eastAsia="Amiri" w:cs="Amiri"/>
          <w:color w:val="111111"/>
          <w:sz w:val="28"/>
          <w:sz w:val="28"/>
          <w:szCs w:val="28"/>
          <w:rtl w:val="true"/>
          <w:lang w:bidi="ar-SA"/>
        </w:rPr>
        <w:t>، وعلي بن إبراهيم</w:t>
      </w:r>
      <w:r>
        <w:rPr>
          <w:rStyle w:val="FootnoteAnchor"/>
          <w:rtl w:val="true"/>
        </w:rPr>
        <w:footnoteReference w:id="318"/>
      </w:r>
      <w:r>
        <w:rPr>
          <w:rFonts w:ascii="Amiri" w:hAnsi="Amiri" w:eastAsia="Amiri" w:cs="Amiri"/>
          <w:color w:val="111111"/>
          <w:sz w:val="28"/>
          <w:sz w:val="28"/>
          <w:szCs w:val="28"/>
          <w:rtl w:val="true"/>
          <w:lang w:bidi="ar-SA"/>
        </w:rPr>
        <w:t>، وهؤلاء الأثبات عيون الطائفة</w:t>
      </w:r>
      <w:r>
        <w:rPr>
          <w:rFonts w:eastAsia="Amiri" w:cs="Amiri" w:ascii="Amiri" w:hAnsi="Amiri"/>
          <w:color w:val="111111"/>
          <w:sz w:val="28"/>
          <w:szCs w:val="28"/>
          <w:rtl w:val="true"/>
          <w:lang w:bidi="ar-SA"/>
        </w:rPr>
        <w:t>)</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مشايخ الإجازة، ولا يبعد إفادتها للحسن، كما قال في تنقيح المقال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أقلّ ما يفيده كونه شيخ الإجازة كونه من الحسان</w:t>
      </w:r>
      <w:r>
        <w:rPr>
          <w:rFonts w:eastAsia="Amiri" w:cs="Amiri" w:ascii="Amiri" w:hAnsi="Amiri"/>
          <w:color w:val="111111"/>
          <w:sz w:val="28"/>
          <w:szCs w:val="28"/>
          <w:rtl w:val="true"/>
          <w:lang w:bidi="ar-SA"/>
        </w:rPr>
        <w:t>)</w:t>
      </w:r>
      <w:r>
        <w:rPr>
          <w:rStyle w:val="FootnoteAnchor"/>
          <w:rtl w:val="true"/>
        </w:rPr>
        <w:footnoteReference w:id="320"/>
      </w:r>
      <w:r>
        <w:rPr>
          <w:rFonts w:ascii="Amiri" w:hAnsi="Amiri" w:eastAsia="Amiri" w:cs="Amiri"/>
          <w:color w:val="111111"/>
          <w:sz w:val="28"/>
          <w:sz w:val="28"/>
          <w:szCs w:val="28"/>
          <w:rtl w:val="true"/>
          <w:lang w:bidi="ar-SA"/>
        </w:rPr>
        <w:t>، وقد بنى غير واحد من الأعلام على كفاية شيخوخة الإجازة في الوثاقة، كما في الحدائق</w:t>
      </w:r>
      <w:r>
        <w:rPr>
          <w:rStyle w:val="FootnoteAnchor"/>
          <w:rtl w:val="true"/>
        </w:rPr>
        <w:footnoteReference w:id="321"/>
      </w:r>
      <w:r>
        <w:rPr>
          <w:rFonts w:ascii="Amiri" w:hAnsi="Amiri" w:eastAsia="Amiri" w:cs="Amiri"/>
          <w:color w:val="111111"/>
          <w:sz w:val="28"/>
          <w:sz w:val="28"/>
          <w:szCs w:val="28"/>
          <w:rtl w:val="true"/>
          <w:lang w:bidi="ar-SA"/>
        </w:rPr>
        <w:t>، ومصباح الفقيه</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وتقريبها أنّ المشايخ الأجلّاء الثقات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كالنجاشي والطوسي وأمثالهما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يبعد ذهابهم إلى شخص لأجل استجازته بالرواية وهو غير محرز الوثاقة عندهم، وكأنّ شيخوخة الإجازة توثيق فعلي عملي، لا لفظي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أخيه أحمد بن محمّد بن عيسى عنه، وهو شيخ القمّيين وفقيههم ومن المعروفين بالتشدّد مع الرواة الضعفاء والمتساهلين بالنقل، فلو كان بنان ضعيفاً أو متساهلاً لكان أحرى بالتشدّد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ما يفيده هذا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وأمّا التوثيق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فمحصّل الكلام في بنان أنّه إن تمّ بعض تلك الوجوه على التوثيق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فنحكم بوثاقته، وإن لم تتمّ فإنّ جميعها تورث الاطمئنان باعتباره، والسكون إلى روايته، وبذلك لا يصحّ البناء على ضعفه بدعوى عدم وجود ما يدلّ على توثيقه، وحصر أمارات التوثيق بكونه وارداً في كامل الزيارات</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وربّما يتوهّم أنّ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ورد فيه اللعن، وهو أمارة الضعف، </w:t>
      </w:r>
    </w:p>
    <w:p>
      <w:pPr>
        <w:pStyle w:val="BookText"/>
        <w:rPr/>
      </w:pPr>
      <w:r>
        <w:rPr>
          <w:rFonts w:ascii="Amiri" w:hAnsi="Amiri" w:eastAsia="Amiri" w:cs="Amiri"/>
          <w:color w:val="111111"/>
          <w:sz w:val="28"/>
          <w:sz w:val="28"/>
          <w:szCs w:val="28"/>
          <w:rtl w:val="true"/>
          <w:lang w:bidi="ar-SA"/>
        </w:rPr>
        <w:t>فكيف يبنى على حسنه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بيان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قد روى الكشّي ما لفظه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أبو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بنان يَكذب على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فأذاقه اللّه حرّ الحديد، وكان المغيرة بن سعيد يَكذب على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فأذاقه اللّه حرّ الحديد، وكان محمّد بن بشير يَكذب على أبي الحسن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فأذاقه اللّه حرّ الحديد، وكان أبو الخطّاب يَكذب على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فأذاقه اللّه حرّ الحديد، والذي يَكذب عَلَيَّ محمّد بن فرات</w:t>
      </w:r>
      <w:r>
        <w:rPr>
          <w:rFonts w:eastAsia="IRNazanin" w:cs="IRNazanin"/>
          <w:color w:val="111111"/>
          <w:sz w:val="28"/>
          <w:szCs w:val="28"/>
          <w:rtl w:val="true"/>
          <w:lang w:bidi="fa-IR"/>
        </w:rPr>
        <w:t>)</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أيضاً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حدّثني الحسين بن الحسن بن بندار، ومحمّد بن قولويه القمّيان، عن سعد بن عبد اللّه بن أبي خلف، عن يعقوب بن يزيد، عن ابن أبي عمير، عن ابن بكير، عن زرارة،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بنان التبّان، وإنّ بناناً لعنه اللّه كان يكذّب على أبي، أشهد أنّ أبي كان عبداً صالحاً</w:t>
      </w:r>
      <w:r>
        <w:rPr>
          <w:rFonts w:eastAsia="IRNazanin" w:cs="IRNazanin"/>
          <w:color w:val="111111"/>
          <w:sz w:val="28"/>
          <w:szCs w:val="28"/>
          <w:rtl w:val="true"/>
          <w:lang w:bidi="fa-IR"/>
        </w:rPr>
        <w:t>)</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ولكن يدفع هذا التوهّم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لدينا رجلين، كلاهما يسمّى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 مقتضى ما مرّ كون عبد اللّه بن محمّد بن عيسى في طبقة أخيه أحمد بن محمّد بن عيسى، وأحمد بن محمّد بن عيسى من رجال الرضا والجواد والهادي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Style w:val="FootnoteAnchor"/>
          <w:rtl w:val="true"/>
        </w:rPr>
        <w:footnoteReference w:id="326"/>
      </w:r>
      <w:r>
        <w:rPr>
          <w:rFonts w:ascii="IRNazanin" w:hAnsi="IRNazanin" w:eastAsia="IRNazanin"/>
          <w:color w:val="111111"/>
          <w:sz w:val="28"/>
          <w:sz w:val="28"/>
          <w:szCs w:val="28"/>
          <w:rtl w:val="true"/>
          <w:lang w:bidi="fa-IR"/>
        </w:rPr>
        <w:t>، بل روى عبد اللّه بن محمّد ابن عيسى عن عليّ بن مهزيار فيما رواه الكشّي في ترجمة محمّد بن إسماعيل بن بزيع، عن عليّ بن محمّد، عن بنان بن محمّد، عن عليّ بن مهزيار، عن محمّد بن إسماعيل بن بزيع،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يأمر لي بقميص من قمصه أعدّه لكفني، فبعث </w:t>
      </w:r>
      <w:bookmarkStart w:id="264" w:name="pg9142_80664"/>
    </w:p>
    <w:p>
      <w:pPr>
        <w:pStyle w:val="BookText"/>
        <w:rPr/>
      </w:pPr>
      <w:bookmarkEnd w:id="264"/>
      <w:r>
        <w:rPr>
          <w:rFonts w:ascii="Amiri" w:hAnsi="Amiri" w:eastAsia="Amiri" w:cs="Amiri"/>
          <w:color w:val="111111"/>
          <w:sz w:val="28"/>
          <w:sz w:val="28"/>
          <w:szCs w:val="28"/>
          <w:rtl w:val="true"/>
          <w:lang w:bidi="ar-SA"/>
        </w:rPr>
        <w:t>به إليّ،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أصنع به جعلت فداك؟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انزع أزراره</w:t>
      </w:r>
      <w:r>
        <w:rPr>
          <w:rFonts w:eastAsia="Amiri" w:cs="Amiri" w:ascii="Amiri" w:hAnsi="Amiri"/>
          <w:color w:val="111111"/>
          <w:sz w:val="28"/>
          <w:szCs w:val="28"/>
          <w:rtl w:val="true"/>
          <w:lang w:bidi="ar-SA"/>
        </w:rPr>
        <w:t>)</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وعليّ بن مهزيار من أصحاب الرضا والجواد والهادي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Style w:val="FootnoteAnchor"/>
          <w:rtl w:val="true"/>
        </w:rPr>
        <w:footnoteReference w:id="328"/>
      </w:r>
      <w:r>
        <w:rPr>
          <w:rFonts w:ascii="IRNazanin" w:hAnsi="IRNazanin" w:eastAsia="IRNazanin"/>
          <w:color w:val="111111"/>
          <w:sz w:val="28"/>
          <w:sz w:val="28"/>
          <w:szCs w:val="28"/>
          <w:rtl w:val="true"/>
          <w:lang w:bidi="fa-IR"/>
        </w:rPr>
        <w:t xml:space="preserve">أيضاً، فلا مجال لوضعه الكذب على الإمام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بنان في محلّ الكلام هو غير بنان التبّان الذي ورد فيه اللعن</w:t>
      </w:r>
      <w:r>
        <w:rPr>
          <w:rFonts w:eastAsia="IRNazanin" w:cs="IRNazanin"/>
          <w:color w:val="111111"/>
          <w:sz w:val="28"/>
          <w:szCs w:val="28"/>
          <w:rtl w:val="true"/>
          <w:lang w:bidi="fa-IR"/>
        </w:rPr>
        <w:t>.</w:t>
      </w:r>
    </w:p>
    <w:p>
      <w:pPr>
        <w:pStyle w:val="Heading6"/>
        <w:numPr>
          <w:ilvl w:val="5"/>
          <w:numId w:val="1"/>
        </w:numPr>
        <w:rPr/>
      </w:pPr>
      <w:bookmarkStart w:id="265" w:name="__RefHeading___Toc3266236_2870459653"/>
      <w:bookmarkStart w:id="266" w:name="_Toc99"/>
      <w:bookmarkEnd w:id="265"/>
      <w:r>
        <w:rPr>
          <w:rtl w:val="true"/>
        </w:rPr>
        <w:t>الرواية الخامسة</w:t>
      </w:r>
      <w:bookmarkEnd w:id="266"/>
    </w:p>
    <w:p>
      <w:pPr>
        <w:pStyle w:val="BookText"/>
        <w:rPr/>
      </w:pPr>
      <w:r>
        <w:rPr>
          <w:rFonts w:ascii="IRNazanin" w:hAnsi="IRNazanin" w:eastAsia="IRNazanin"/>
          <w:color w:val="111111"/>
          <w:sz w:val="28"/>
          <w:sz w:val="28"/>
          <w:szCs w:val="28"/>
          <w:rtl w:val="true"/>
          <w:lang w:bidi="fa-IR"/>
        </w:rPr>
        <w:t xml:space="preserve">رواية الجعفريات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أيّما امرأة حرّة زوّجت نفسها عبداً بغير إذن مواليه، فقد أباحت فرجها، ولا صداق لها، وأيّما امرأة خرجت من بيت زوجها بغير إذنه فلا نفقة لها حتّى ترجع</w:t>
      </w:r>
      <w:r>
        <w:rPr>
          <w:rFonts w:eastAsia="IRNazanin" w:cs="IRNazanin"/>
          <w:color w:val="111111"/>
          <w:sz w:val="28"/>
          <w:szCs w:val="28"/>
          <w:rtl w:val="true"/>
          <w:lang w:bidi="fa-IR"/>
        </w:rPr>
        <w:t>)</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دلالتها على المدّعى فقد مرّ الكلام في تماميتها؛ إذ إنّها عين ما تقدّم في الرواية الثالثة، فيقع الكلام في سندها، وقد رواها صاحب الجعفريات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الأشعثيات</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ومختصر الكلام في كتاب الجعفريات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المسمّى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الأشعثيات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نظراً للمؤلّف، وهو محمّد بن محمّد بن الأشعث، وسمّي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الجعفريات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نسبة للمروي عنه، وهو الإمام جعفر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للكتاب طرقاً 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طريق الشيخ والنجاشي، وطريق التلكعبري، وما ورد في إجازة العلّامة لبني زهرة، وما وصل إلى المحدّث النوري، وما نقله المحدّث النوري عن البحار</w:t>
      </w:r>
      <w:r>
        <w:rPr>
          <w:rStyle w:val="FootnoteAnchor"/>
          <w:rtl w:val="true"/>
        </w:rPr>
        <w:footnoteReference w:id="330"/>
      </w:r>
      <w:r>
        <w:rPr>
          <w:rFonts w:ascii="Amiri" w:hAnsi="Amiri" w:eastAsia="Amiri" w:cs="Amiri"/>
          <w:color w:val="111111"/>
          <w:sz w:val="28"/>
          <w:sz w:val="28"/>
          <w:szCs w:val="28"/>
          <w:rtl w:val="true"/>
          <w:lang w:bidi="ar-SA"/>
        </w:rPr>
        <w:t xml:space="preserve">، وهذه الطرق شاملة لكلّ روايات </w:t>
      </w:r>
      <w:bookmarkStart w:id="267" w:name="pg9142_80665"/>
    </w:p>
    <w:p>
      <w:pPr>
        <w:pStyle w:val="BookText"/>
        <w:rPr/>
      </w:pPr>
      <w:bookmarkEnd w:id="267"/>
      <w:r>
        <w:rPr>
          <w:rFonts w:ascii="Amiri" w:hAnsi="Amiri" w:eastAsia="Amiri" w:cs="Amiri"/>
          <w:color w:val="111111"/>
          <w:sz w:val="28"/>
          <w:sz w:val="28"/>
          <w:szCs w:val="28"/>
          <w:rtl w:val="true"/>
          <w:lang w:bidi="ar-SA"/>
        </w:rPr>
        <w:t>الكتاب، وهي لا تخلو من إشكال، كما بحثت ذلك في محلّه إلّا طريق التلكعبري</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المؤلِّف فقد صرّح النجاشي بوثاقته</w:t>
      </w:r>
      <w:r>
        <w:rPr>
          <w:rStyle w:val="FootnoteAnchor"/>
          <w:rtl w:val="true"/>
        </w:rPr>
        <w:footnoteReference w:id="332"/>
      </w:r>
      <w:r>
        <w:rPr>
          <w:rFonts w:ascii="Amiri" w:hAnsi="Amiri" w:eastAsia="Amiri" w:cs="Amiri"/>
          <w:color w:val="111111"/>
          <w:sz w:val="28"/>
          <w:sz w:val="28"/>
          <w:szCs w:val="28"/>
          <w:rtl w:val="true"/>
          <w:lang w:bidi="ar-SA"/>
        </w:rPr>
        <w:t>، وأمّا باقي الرجال بين المؤلِّف والإمام فلا أقلّ من القول بحسنهم، فلا إشكال من هذه الجهة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ولكن يبقى الإشكال من جهة أخرى، وهي اعتبار النسخة الواصلة إلينا من هذا الكتاب، والراجح في النظر القاصر هو الاعتبار؛ استناداً إلى ما ذكره المحدّث النوري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وأمّا نحن فعثرنا عليه في الكتب التي جاء بها بعض السادة من أهل العلم من بلاد الهند، وكان مع قرب الإسناد، ومسائل علي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وكتاب سليم في مجلّد، والحمد لله على هذه النعمة الجليلة</w:t>
      </w:r>
      <w:r>
        <w:rPr>
          <w:rFonts w:eastAsia="IRNazanin" w:cs="IRNazanin"/>
          <w:color w:val="111111"/>
          <w:sz w:val="28"/>
          <w:szCs w:val="28"/>
          <w:rtl w:val="true"/>
          <w:lang w:bidi="fa-IR"/>
        </w:rPr>
        <w:t>).</w:t>
      </w:r>
    </w:p>
    <w:p>
      <w:pPr>
        <w:pStyle w:val="Heading6"/>
        <w:numPr>
          <w:ilvl w:val="5"/>
          <w:numId w:val="1"/>
        </w:numPr>
        <w:rPr/>
      </w:pPr>
      <w:bookmarkStart w:id="268" w:name="__RefHeading___Toc3266238_2870459653"/>
      <w:bookmarkStart w:id="269" w:name="_Toc100"/>
      <w:bookmarkEnd w:id="268"/>
      <w:r>
        <w:rPr>
          <w:rtl w:val="true"/>
        </w:rPr>
        <w:t>الرواية السادسة</w:t>
      </w:r>
      <w:bookmarkEnd w:id="269"/>
    </w:p>
    <w:p>
      <w:pPr>
        <w:pStyle w:val="BookText"/>
        <w:rPr/>
      </w:pPr>
      <w:r>
        <w:rPr>
          <w:rFonts w:ascii="IRNazanin" w:hAnsi="IRNazanin" w:eastAsia="IRNazanin"/>
          <w:color w:val="111111"/>
          <w:sz w:val="28"/>
          <w:sz w:val="28"/>
          <w:szCs w:val="28"/>
          <w:rtl w:val="true"/>
          <w:lang w:bidi="fa-IR"/>
        </w:rPr>
        <w:t>رواية الدعائم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أيّما امرأة خرجت من بيت زوجها بغير إذنه فلا نفقة لها حتّى ترجع</w:t>
      </w:r>
      <w:r>
        <w:rPr>
          <w:rFonts w:eastAsia="IRNazanin" w:cs="IRNazanin"/>
          <w:color w:val="111111"/>
          <w:sz w:val="28"/>
          <w:szCs w:val="28"/>
          <w:rtl w:val="true"/>
          <w:lang w:bidi="fa-IR"/>
        </w:rPr>
        <w:t>)</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والكلام فيها عين ما تقدّم في الروايات المتقدّمة من جهة دلالتها، وأمّا من جهة السند فهي مرسلة، ولكن لا يضرّ في المقام؛ لاستفاضة مضمونها</w:t>
      </w:r>
      <w:r>
        <w:rPr>
          <w:rFonts w:eastAsia="Amiri" w:cs="Amiri" w:ascii="Amiri" w:hAnsi="Amiri"/>
          <w:color w:val="111111"/>
          <w:sz w:val="28"/>
          <w:szCs w:val="28"/>
          <w:rtl w:val="true"/>
          <w:lang w:bidi="ar-SA"/>
        </w:rPr>
        <w:t>.</w:t>
      </w:r>
    </w:p>
    <w:p>
      <w:pPr>
        <w:pStyle w:val="Heading6"/>
        <w:numPr>
          <w:ilvl w:val="5"/>
          <w:numId w:val="1"/>
        </w:numPr>
        <w:rPr/>
      </w:pPr>
      <w:bookmarkStart w:id="270" w:name="__RefHeading___Toc3266240_2870459653"/>
      <w:bookmarkStart w:id="271" w:name="_Toc101"/>
      <w:bookmarkEnd w:id="270"/>
      <w:r>
        <w:rPr>
          <w:rtl w:val="true"/>
        </w:rPr>
        <w:t>الرواية السابعة</w:t>
      </w:r>
      <w:bookmarkEnd w:id="271"/>
    </w:p>
    <w:p>
      <w:pPr>
        <w:pStyle w:val="BookText"/>
        <w:rPr/>
      </w:pPr>
      <w:r>
        <w:rPr>
          <w:rFonts w:ascii="Amiri" w:hAnsi="Amiri" w:eastAsia="Amiri" w:cs="Amiri"/>
          <w:color w:val="111111"/>
          <w:sz w:val="28"/>
          <w:sz w:val="28"/>
          <w:szCs w:val="28"/>
          <w:rtl w:val="true"/>
          <w:lang w:bidi="ar-SA"/>
        </w:rPr>
        <w:t>رواية علي بن جعفر في مسائله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وسألته عن المرأة ألها أن تخرج بغير إذن زوجها؟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والرواية ظاهرة في المدّعى؛ لمكان النهي الظاهر في الحرمة، كما ثبت في محلّه، </w:t>
      </w:r>
      <w:bookmarkStart w:id="272" w:name="pg9142_80666"/>
    </w:p>
    <w:p>
      <w:pPr>
        <w:pStyle w:val="BookText"/>
        <w:rPr/>
      </w:pPr>
      <w:bookmarkEnd w:id="272"/>
      <w:r>
        <w:rPr>
          <w:rFonts w:ascii="Amiri" w:hAnsi="Amiri" w:eastAsia="Amiri" w:cs="Amiri"/>
          <w:color w:val="111111"/>
          <w:sz w:val="28"/>
          <w:sz w:val="28"/>
          <w:szCs w:val="28"/>
          <w:rtl w:val="true"/>
          <w:lang w:bidi="ar-SA"/>
        </w:rPr>
        <w:t>وإنّما الكلام في سندها؛ إذ إنّ الراوي لها هو عليّ بن جعفر في مسائله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والكلام إنّما هو في الاعتماد على كتاب مسائل علي بن جعفر أو 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الحكم بجلالة علي بن جعفر ووثاقته بلا 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أنّ النسخة الواصلة إلينا من هذا الكتاب هي التي عثر عليها صاحبا البحار والوسائل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وربّما يصعب الاطمئنان بأنّ الواصل إليهما هو كتاب علي بن جعفر نفسه من دون زيادة أو نقصان، ولذا اختلفت كلماتهم في اعتبار النسخة وعدمها، وتحقيق الحال في محلّه</w:t>
      </w:r>
      <w:r>
        <w:rPr>
          <w:rFonts w:eastAsia="Amiri" w:cs="Amiri" w:ascii="Amiri" w:hAnsi="Amiri"/>
          <w:color w:val="111111"/>
          <w:sz w:val="28"/>
          <w:szCs w:val="28"/>
          <w:rtl w:val="true"/>
          <w:lang w:bidi="ar-SA"/>
        </w:rPr>
        <w:t>.</w:t>
      </w:r>
    </w:p>
    <w:p>
      <w:pPr>
        <w:pStyle w:val="Heading6"/>
        <w:numPr>
          <w:ilvl w:val="5"/>
          <w:numId w:val="1"/>
        </w:numPr>
        <w:rPr/>
      </w:pPr>
      <w:bookmarkStart w:id="273" w:name="__RefHeading___Toc3266242_2870459653"/>
      <w:bookmarkStart w:id="274" w:name="_Toc102"/>
      <w:bookmarkEnd w:id="273"/>
      <w:r>
        <w:rPr>
          <w:rtl w:val="true"/>
        </w:rPr>
        <w:t>الرواية الثامنة</w:t>
      </w:r>
      <w:bookmarkEnd w:id="274"/>
    </w:p>
    <w:p>
      <w:pPr>
        <w:pStyle w:val="BookText"/>
        <w:rPr/>
      </w:pPr>
      <w:r>
        <w:rPr>
          <w:rFonts w:ascii="IRNazanin" w:hAnsi="IRNazanin" w:eastAsia="IRNazanin"/>
          <w:color w:val="111111"/>
          <w:sz w:val="28"/>
          <w:sz w:val="28"/>
          <w:szCs w:val="28"/>
          <w:rtl w:val="true"/>
          <w:lang w:bidi="fa-IR"/>
        </w:rPr>
        <w:t xml:space="preserve">ما رواه الشيخ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الفقيه عن الحسين بن زيد،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 المناهي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ونهى أن تخرج المرأة من بيتها بغير إذن زوجها فإن خرجت لعنها كلّ ملك في السماء، وكلّ شيء تمرّ عليه من الجن والإنس حتّى ترجع إلى بيتها، ونهى أن تتزيّن لغير زوجها فإن فعلت كان حقّاً على الله عزّ وجلّ أن يحرقها بالنار</w:t>
      </w:r>
      <w:r>
        <w:rPr>
          <w:rFonts w:eastAsia="IRNazanin" w:cs="IRNazanin"/>
          <w:color w:val="111111"/>
          <w:sz w:val="28"/>
          <w:szCs w:val="28"/>
          <w:rtl w:val="true"/>
          <w:lang w:bidi="fa-IR"/>
        </w:rPr>
        <w:t>)</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وسندها لا يخلو من إشكال؛ لجهالة شعيب، وضعف طريق الصدوق إليه</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ودلالتها على المنع واضحة؛ لعنوان النهي إلّا أن يكسر ذلك الظهور بقرينة، ولا قرينة في المقام</w:t>
      </w:r>
      <w:r>
        <w:rPr>
          <w:rFonts w:eastAsia="Amiri" w:cs="Amiri" w:ascii="Amiri" w:hAnsi="Amiri"/>
          <w:color w:val="111111"/>
          <w:sz w:val="28"/>
          <w:szCs w:val="28"/>
          <w:rtl w:val="true"/>
          <w:lang w:bidi="ar-SA"/>
        </w:rPr>
        <w:t>.</w:t>
      </w:r>
    </w:p>
    <w:p>
      <w:pPr>
        <w:pStyle w:val="Heading6"/>
        <w:numPr>
          <w:ilvl w:val="5"/>
          <w:numId w:val="1"/>
        </w:numPr>
        <w:rPr/>
      </w:pPr>
      <w:bookmarkStart w:id="275" w:name="__RefHeading___Toc3266244_2870459653"/>
      <w:bookmarkStart w:id="276" w:name="_Toc103"/>
      <w:bookmarkEnd w:id="275"/>
      <w:r>
        <w:rPr>
          <w:rtl w:val="true"/>
        </w:rPr>
        <w:t>الرواية التاسعة</w:t>
      </w:r>
      <w:bookmarkEnd w:id="276"/>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جاءت امرأة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ما حقّ الزوج على المرأة؟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أكثر من ذلك،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فخبرني عن شيء منه،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لها أن تصوم إلّا بإذنه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تطوّعاً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تخرج من بيتها إلّا </w:t>
      </w:r>
    </w:p>
    <w:p>
      <w:pPr>
        <w:pStyle w:val="BookText"/>
        <w:rPr/>
      </w:pPr>
      <w:r>
        <w:rPr>
          <w:rFonts w:ascii="Amiri" w:hAnsi="Amiri" w:eastAsia="Amiri" w:cs="Amiri"/>
          <w:color w:val="111111"/>
          <w:sz w:val="28"/>
          <w:sz w:val="28"/>
          <w:szCs w:val="28"/>
          <w:rtl w:val="true"/>
          <w:lang w:bidi="ar-SA"/>
        </w:rPr>
        <w:t>بإذنه، وعليها أن تطيّب بأطيب طيبها، وتلبس أحسن ثيابها، وتزيّن بأحسن زينتها، وتعرض نفسها عليه غدوة وعشية، وأكثر من ذلك حقوقه عليها</w:t>
      </w:r>
      <w:r>
        <w:rPr>
          <w:rFonts w:eastAsia="Amiri" w:cs="Amiri" w:ascii="Amiri" w:hAnsi="Amiri"/>
          <w:color w:val="111111"/>
          <w:sz w:val="28"/>
          <w:szCs w:val="28"/>
          <w:rtl w:val="true"/>
          <w:lang w:bidi="ar-SA"/>
        </w:rPr>
        <w:t>)</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ودلالة الرواية على المنع واضحة، ولا مقيّد لإطلاقها في المنع ولو لم يكن منافياً لحقّ الاستمتاع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الكلام في سندها؛ فإنّ فيها الجاموراني والبطائني والعرزمي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البطائني فهو علي بن أبي حمزة، وفساد عقيدته أمر واضح، فهو من رؤوس الواقفة، ولكن فساد عقيدته لا يضرّ بوثاقته لو كان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هناك أمارات في تضعيفه كما أنّ هناك أمارات في توثيقه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أمارات التضعيف فهي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الكشّي روايات كثيرة في لعنه، وهذا شاهد على ضعفه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يونس بن عبد الرحمن،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مات عليّ بن أبي 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دخل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ففزعت من ذلك،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أنّه سئل عن الإمام بعد موسى أبي،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أعرف إماماً بعده، 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فضرب في قبره ضربة اشتعل قبره ناراً</w:t>
      </w:r>
      <w:r>
        <w:rPr>
          <w:rFonts w:eastAsia="IRNazanin" w:cs="IRNazanin"/>
          <w:color w:val="111111"/>
          <w:sz w:val="28"/>
          <w:szCs w:val="28"/>
          <w:rtl w:val="true"/>
          <w:lang w:bidi="fa-IR"/>
        </w:rPr>
        <w:t>)</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أصحابنا أنّ أبا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بعد موت ابن أبي حمزة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إنّه أقعد في قبره، فسئل عن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بأسمائهم حتّى انتهى إلي فسئل فوقف، فضرب </w:t>
      </w:r>
    </w:p>
    <w:p>
      <w:pPr>
        <w:pStyle w:val="BookText"/>
        <w:rPr/>
      </w:pPr>
      <w:r>
        <w:rPr>
          <w:rFonts w:ascii="Amiri" w:hAnsi="Amiri" w:eastAsia="Amiri" w:cs="Amiri"/>
          <w:color w:val="111111"/>
          <w:sz w:val="28"/>
          <w:sz w:val="28"/>
          <w:szCs w:val="28"/>
          <w:rtl w:val="true"/>
          <w:lang w:bidi="ar-SA"/>
        </w:rPr>
        <w:t>على رأسه ضربة امتلأ قبره ناراً</w:t>
      </w:r>
      <w:r>
        <w:rPr>
          <w:rFonts w:eastAsia="Amiri" w:cs="Amiri" w:ascii="Amiri" w:hAnsi="Amiri"/>
          <w:color w:val="111111"/>
          <w:sz w:val="28"/>
          <w:szCs w:val="28"/>
          <w:rtl w:val="true"/>
          <w:lang w:bidi="ar-SA"/>
        </w:rPr>
        <w:t>)</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الغضائري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لعنه الله، أصل الوقف، وأشد الخلق عداوة للولي من بعد أبي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الشيخ الطوسي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فهذا الخبر رواه ابن أبي حمزة، وهو مطعون عليه، وهو واقفي</w:t>
      </w:r>
      <w:r>
        <w:rPr>
          <w:rFonts w:eastAsia="Amiri" w:cs="Amiri" w:ascii="Amiri" w:hAnsi="Amiri"/>
          <w:color w:val="111111"/>
          <w:sz w:val="28"/>
          <w:szCs w:val="28"/>
          <w:rtl w:val="true"/>
          <w:lang w:bidi="ar-SA"/>
        </w:rPr>
        <w:t>)</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أمارات التوثيق فهي عديدة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الطوسي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عملت الطائفة بأخبار الفطحية مثل عبد الله بن بكير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بن أبي حمزة</w:t>
      </w:r>
      <w:r>
        <w:rPr>
          <w:rFonts w:eastAsia="Amiri" w:cs="Amiri" w:ascii="Amiri" w:hAnsi="Amiri"/>
          <w:color w:val="111111"/>
          <w:sz w:val="28"/>
          <w:szCs w:val="28"/>
          <w:rtl w:val="true"/>
          <w:lang w:bidi="ar-SA"/>
        </w:rPr>
        <w:t>)</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في أسانيد تفسير القمّي</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المشايخ الثلاثة وأصحاب الإجماع</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كثرة رواية أصحاب الكتب الأربعة عنه</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ابن الغضائري في ابن علي بن أبي حمزة البطائني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وأبوه أوثق منه</w:t>
      </w:r>
      <w:r>
        <w:rPr>
          <w:rFonts w:eastAsia="Amiri" w:cs="Amiri" w:ascii="Amiri" w:hAnsi="Amiri"/>
          <w:color w:val="111111"/>
          <w:sz w:val="28"/>
          <w:szCs w:val="28"/>
          <w:rtl w:val="true"/>
          <w:lang w:bidi="ar-SA"/>
        </w:rPr>
        <w:t>)</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والحاصل وقوع التعارض بين أمارات التضعيف وأمارات التوثيق، ويمكن رفعه بأحد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الذمّ من جهة انحرافه العقائدي، وهذا لا يضرّ بصدقه في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الروايات في غير الإمامة والولاية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فيحمل المدح والعمل برواياته من جهة وثاقته وصدق لهجته، وأنّ انحرافه العقائدي لا يضرّ، كما هو الحال في بعض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التعارض من خلال العمل بالروايات التي قبل الوقف، فنأخذ بها مع العلم أنّها كذلك، وأمّا بعده أو في حالة الشكّ فلا نأخذ بها، وهو القول بالتفصيل، وهو المتعيّن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الجاموراني فهو محمّد بن أحمد الجاموراني، وقد ضعّفه القمّيون، واستثناه ابن الوليد</w:t>
      </w:r>
      <w:r>
        <w:rPr>
          <w:rStyle w:val="FootnoteAnchor"/>
          <w:rtl w:val="true"/>
        </w:rPr>
        <w:footnoteReference w:id="347"/>
      </w:r>
      <w:r>
        <w:rPr>
          <w:rFonts w:ascii="Amiri" w:hAnsi="Amiri" w:eastAsia="Amiri" w:cs="Amiri"/>
          <w:color w:val="111111"/>
          <w:sz w:val="28"/>
          <w:sz w:val="28"/>
          <w:szCs w:val="28"/>
          <w:rtl w:val="true"/>
          <w:lang w:bidi="ar-SA"/>
        </w:rPr>
        <w:t>، وليس هناك ما يدلّ على اعتباره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العرزمي فهو عمرو بن جبير العرزمي، وهو من أصحاب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ولم يرد فيه قدح أو مدح في كتب الرجال، فهو مجهول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قد يقال بحسنه على تأمّل؛ لروايته بعض الروايات الدالّة على عظمة ولاية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تتمّ الرواية سنداً</w:t>
      </w:r>
      <w:r>
        <w:rPr>
          <w:rFonts w:eastAsia="Amiri" w:cs="Amiri" w:ascii="Amiri" w:hAnsi="Amiri"/>
          <w:color w:val="111111"/>
          <w:sz w:val="28"/>
          <w:szCs w:val="28"/>
          <w:rtl w:val="true"/>
          <w:lang w:bidi="ar-SA"/>
        </w:rPr>
        <w:t xml:space="preserve">. </w:t>
      </w:r>
      <w:bookmarkStart w:id="277" w:name="pg9142_80670"/>
    </w:p>
    <w:p>
      <w:pPr>
        <w:pStyle w:val="Heading6"/>
        <w:numPr>
          <w:ilvl w:val="5"/>
          <w:numId w:val="1"/>
        </w:numPr>
        <w:rPr/>
      </w:pPr>
      <w:bookmarkStart w:id="278" w:name="__RefHeading___Toc3266246_2870459653"/>
      <w:bookmarkStart w:id="279" w:name="_Toc104"/>
      <w:bookmarkEnd w:id="277"/>
      <w:bookmarkEnd w:id="278"/>
      <w:r>
        <w:rPr>
          <w:rtl w:val="true"/>
        </w:rPr>
        <w:t>الرواية العاشرة</w:t>
      </w:r>
      <w:bookmarkEnd w:id="279"/>
    </w:p>
    <w:p>
      <w:pPr>
        <w:pStyle w:val="BookText"/>
        <w:rPr/>
      </w:pPr>
      <w:r>
        <w:rPr>
          <w:rFonts w:ascii="Amiri" w:hAnsi="Amiri" w:eastAsia="Amiri" w:cs="Amiri"/>
          <w:color w:val="111111"/>
          <w:sz w:val="28"/>
          <w:sz w:val="28"/>
          <w:szCs w:val="28"/>
          <w:rtl w:val="true"/>
          <w:lang w:bidi="ar-SA"/>
        </w:rPr>
        <w:t xml:space="preserve">ما وجده المحدّث النوري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مجموعة عتيقة بخطّ بعض العلماء، ورواه في المستدرك بإسناده عن ابن محبوب عن رجل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 بعثني بالحقّ نبياً ما من امرأة تخرج من بيتها بغير إذن زوجها تحضر عرساً إلّا أنزل الله عليها أربعين لعنة عن يمينها، وأربعين لعنة عن شمالها، وترد اللعنة عليها من قدامها فتغمرها، حتّى تغرق في لعنة الله من فوق رأسها إلى قدمها</w:t>
      </w:r>
      <w:r>
        <w:rPr>
          <w:rFonts w:eastAsia="Amiri" w:cs="Amiri" w:ascii="Amiri" w:hAnsi="Amiri"/>
          <w:color w:val="111111"/>
          <w:sz w:val="28"/>
          <w:szCs w:val="28"/>
          <w:rtl w:val="true"/>
          <w:lang w:bidi="ar-SA"/>
        </w:rPr>
        <w:t>)</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والحديث مرسل وإن كانت دلالته على المنع واضحة، بعد تجريد الرواية عن خصوصية الخروج للعرس وإن كان احتمال الخصوصية قائماً بسبب وجود الاختلاط في العرس عادة</w:t>
      </w:r>
      <w:r>
        <w:rPr>
          <w:rFonts w:eastAsia="Amiri" w:cs="Amiri" w:ascii="Amiri" w:hAnsi="Amiri"/>
          <w:color w:val="111111"/>
          <w:sz w:val="28"/>
          <w:szCs w:val="28"/>
          <w:rtl w:val="true"/>
          <w:lang w:bidi="ar-SA"/>
        </w:rPr>
        <w:t>.</w:t>
      </w:r>
    </w:p>
    <w:p>
      <w:pPr>
        <w:pStyle w:val="Heading5"/>
        <w:numPr>
          <w:ilvl w:val="4"/>
          <w:numId w:val="1"/>
        </w:numPr>
        <w:rPr/>
      </w:pPr>
      <w:bookmarkStart w:id="280" w:name="__RefHeading___Toc3266248_2870459653"/>
      <w:bookmarkStart w:id="281" w:name="_Toc105"/>
      <w:bookmarkEnd w:id="280"/>
      <w:r>
        <w:rPr>
          <w:rtl w:val="true"/>
        </w:rPr>
        <w:t>الطائفة الثانية</w:t>
      </w:r>
      <w:r>
        <w:rPr>
          <w:rtl w:val="true"/>
        </w:rPr>
        <w:t xml:space="preserve">: </w:t>
      </w:r>
      <w:r>
        <w:rPr>
          <w:rtl w:val="true"/>
        </w:rPr>
        <w:t>روايات حجّ المرأة</w:t>
      </w:r>
      <w:bookmarkEnd w:id="281"/>
    </w:p>
    <w:p>
      <w:pPr>
        <w:pStyle w:val="Heading6"/>
        <w:numPr>
          <w:ilvl w:val="5"/>
          <w:numId w:val="1"/>
        </w:numPr>
        <w:rPr/>
      </w:pPr>
      <w:bookmarkStart w:id="282" w:name="__RefHeading___Toc3266250_2870459653"/>
      <w:bookmarkStart w:id="283" w:name="_Toc106"/>
      <w:bookmarkEnd w:id="282"/>
      <w:r>
        <w:rPr>
          <w:rtl w:val="true"/>
        </w:rPr>
        <w:t>اشارة</w:t>
      </w:r>
      <w:bookmarkEnd w:id="283"/>
    </w:p>
    <w:p>
      <w:pPr>
        <w:pStyle w:val="BookText"/>
        <w:rPr/>
      </w:pPr>
      <w:r>
        <w:rPr>
          <w:rFonts w:ascii="Amiri" w:hAnsi="Amiri" w:eastAsia="Amiri" w:cs="Amiri"/>
          <w:color w:val="111111"/>
          <w:sz w:val="28"/>
          <w:sz w:val="28"/>
          <w:szCs w:val="28"/>
          <w:rtl w:val="true"/>
          <w:lang w:bidi="ar-SA"/>
        </w:rPr>
        <w:t>وهي مجموعة من الروايات وردت في حجّ المرأة حجّة الإسلام وغير حجّة الإسلام من عدم اشتراط إذن الزوج في الأوّل دون الآخر</w:t>
      </w:r>
      <w:r>
        <w:rPr>
          <w:rFonts w:eastAsia="Amiri" w:cs="Amiri" w:ascii="Amiri" w:hAnsi="Amiri"/>
          <w:color w:val="111111"/>
          <w:sz w:val="28"/>
          <w:szCs w:val="28"/>
          <w:rtl w:val="true"/>
          <w:lang w:bidi="ar-SA"/>
        </w:rPr>
        <w:t>.</w:t>
      </w:r>
    </w:p>
    <w:p>
      <w:pPr>
        <w:pStyle w:val="Heading6"/>
        <w:numPr>
          <w:ilvl w:val="5"/>
          <w:numId w:val="1"/>
        </w:numPr>
        <w:rPr/>
      </w:pPr>
      <w:bookmarkStart w:id="284" w:name="__RefHeading___Toc3266252_2870459653"/>
      <w:bookmarkStart w:id="285" w:name="_Toc107"/>
      <w:bookmarkEnd w:id="284"/>
      <w:r>
        <w:rPr>
          <w:rtl w:val="true"/>
        </w:rPr>
        <w:t>الرواية الأولى</w:t>
      </w:r>
      <w:bookmarkEnd w:id="285"/>
    </w:p>
    <w:p>
      <w:pPr>
        <w:pStyle w:val="BookText"/>
        <w:rPr/>
      </w:pPr>
      <w:r>
        <w:rPr>
          <w:rFonts w:ascii="IRNazanin" w:hAnsi="IRNazanin" w:eastAsia="IRNazanin"/>
          <w:color w:val="111111"/>
          <w:sz w:val="28"/>
          <w:sz w:val="28"/>
          <w:szCs w:val="28"/>
          <w:rtl w:val="true"/>
          <w:lang w:bidi="fa-IR"/>
        </w:rPr>
        <w:t xml:space="preserve">صحیح محمّد بن مسلم،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امرأة لم تحجّ ولها زوج فأبى أن يأذن لها في الحجّ فغاب زوجها فهل لها أن تحجّ؟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طاعة له عليها في حجّة الإسلام</w:t>
      </w:r>
      <w:r>
        <w:rPr>
          <w:rFonts w:eastAsia="IRNazanin" w:cs="IRNazanin"/>
          <w:color w:val="111111"/>
          <w:sz w:val="28"/>
          <w:szCs w:val="28"/>
          <w:rtl w:val="true"/>
          <w:lang w:bidi="fa-IR"/>
        </w:rPr>
        <w:t>)</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والظاهر من سوق السؤال فيها ارتكاز لزوم طاعتها لزوجها في عدم خروجها من بيته إلّا بإذنه مطلقاً في ذهن السائل الذي هو محمّد بن مسلم المعدود من أجلّة فقهاء أصحاب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طاعة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كأنّه أقرّه على ذلك، وإلّا </w:t>
      </w:r>
      <w:bookmarkStart w:id="286" w:name="pg9142_80671"/>
    </w:p>
    <w:p>
      <w:pPr>
        <w:pStyle w:val="BookText"/>
        <w:rPr/>
      </w:pPr>
      <w:bookmarkEnd w:id="286"/>
      <w:r>
        <w:rPr>
          <w:rFonts w:ascii="Amiri" w:hAnsi="Amiri" w:eastAsia="Amiri" w:cs="Amiri"/>
          <w:color w:val="111111"/>
          <w:sz w:val="28"/>
          <w:sz w:val="28"/>
          <w:szCs w:val="28"/>
          <w:rtl w:val="true"/>
          <w:lang w:bidi="ar-SA"/>
        </w:rPr>
        <w:t>لكان بإمكانه أن يقول للسائل لا تجب طاعة الزوج أصلاً، ويجوز لها الخروج في حجّة الإسلام وغيره أذن لها أو لم يأذن</w:t>
      </w:r>
      <w:r>
        <w:rPr>
          <w:rFonts w:eastAsia="Amiri" w:cs="Amiri" w:ascii="Amiri" w:hAnsi="Amiri"/>
          <w:color w:val="111111"/>
          <w:sz w:val="28"/>
          <w:szCs w:val="28"/>
          <w:rtl w:val="true"/>
          <w:lang w:bidi="ar-SA"/>
        </w:rPr>
        <w:t>.</w:t>
      </w:r>
    </w:p>
    <w:p>
      <w:pPr>
        <w:pStyle w:val="Heading6"/>
        <w:numPr>
          <w:ilvl w:val="5"/>
          <w:numId w:val="1"/>
        </w:numPr>
        <w:rPr/>
      </w:pPr>
      <w:bookmarkStart w:id="287" w:name="__RefHeading___Toc3266254_2870459653"/>
      <w:bookmarkStart w:id="288" w:name="_Toc108"/>
      <w:bookmarkEnd w:id="287"/>
      <w:r>
        <w:rPr>
          <w:rtl w:val="true"/>
        </w:rPr>
        <w:t>الرواية الثانية</w:t>
      </w:r>
      <w:bookmarkEnd w:id="288"/>
    </w:p>
    <w:p>
      <w:pPr>
        <w:pStyle w:val="BookText"/>
        <w:rPr/>
      </w:pPr>
      <w:r>
        <w:rPr>
          <w:rFonts w:ascii="IRNazanin" w:hAnsi="IRNazanin" w:eastAsia="IRNazanin"/>
          <w:color w:val="111111"/>
          <w:sz w:val="28"/>
          <w:sz w:val="28"/>
          <w:szCs w:val="28"/>
          <w:rtl w:val="true"/>
          <w:lang w:bidi="fa-IR"/>
        </w:rPr>
        <w:t>موثّق إسحاق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وسألته عن المرأة الموسرة قد حجّت حجّة الإسلام فتقول لزوجها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أحجّني من مالي أله أن يمنعها؟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 عليك أعظم من حقّك عليّ في هذا</w:t>
      </w:r>
      <w:r>
        <w:rPr>
          <w:rFonts w:eastAsia="IRNazanin" w:cs="IRNazanin"/>
          <w:color w:val="111111"/>
          <w:sz w:val="28"/>
          <w:szCs w:val="28"/>
          <w:rtl w:val="true"/>
          <w:lang w:bidi="fa-IR"/>
        </w:rPr>
        <w:t>)</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فالرواية تصرّح بحقّ الزوج بمنع زوجته من الخروج للحجّ المندوب؛ لأنّ خروجها تضييع لحقّه، والحال أنّ حقّه أعظم من حقّها، والرواية مطلقة، لا مقيّد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الصدوق عن إسحاق بن عمّار وفيه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فتقول لزوجها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أحجّني مرّة أخرى أله أن يمنعها؟</w:t>
      </w:r>
      <w:r>
        <w:rPr>
          <w:rFonts w:eastAsia="Amiri" w:cs="Amiri" w:ascii="Amiri" w:hAnsi="Amiri"/>
          <w:color w:val="111111"/>
          <w:sz w:val="28"/>
          <w:szCs w:val="28"/>
          <w:rtl w:val="true"/>
          <w:lang w:bidi="ar-SA"/>
        </w:rPr>
        <w:t>)</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89" w:name="__RefHeading___Toc3266256_2870459653"/>
      <w:bookmarkStart w:id="290" w:name="_Toc109"/>
      <w:bookmarkEnd w:id="289"/>
      <w:r>
        <w:rPr>
          <w:rtl w:val="true"/>
        </w:rPr>
        <w:t>الرواية الثالثة</w:t>
      </w:r>
      <w:bookmarkEnd w:id="290"/>
    </w:p>
    <w:p>
      <w:pPr>
        <w:pStyle w:val="BookText"/>
        <w:rPr/>
      </w:pPr>
      <w:r>
        <w:rPr>
          <w:rFonts w:ascii="IRNazanin" w:hAnsi="IRNazanin" w:eastAsia="IRNazanin"/>
          <w:color w:val="111111"/>
          <w:sz w:val="28"/>
          <w:sz w:val="28"/>
          <w:szCs w:val="28"/>
          <w:rtl w:val="true"/>
          <w:lang w:bidi="fa-IR"/>
        </w:rPr>
        <w:t>ما جاء في المقنعة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وسئل عن المرأة تجب عليها حجّة الإسلام يمنعها زوجها من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أعليها الامتناع؟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للزوج منعها من حجّة الإسلام، وإن خالفته وخرجت لم يكن عليها حرج</w:t>
      </w:r>
      <w:r>
        <w:rPr>
          <w:rFonts w:eastAsia="IRNazanin" w:cs="IRNazanin"/>
          <w:color w:val="111111"/>
          <w:sz w:val="28"/>
          <w:szCs w:val="28"/>
          <w:rtl w:val="true"/>
          <w:lang w:bidi="fa-IR"/>
        </w:rPr>
        <w:t>)</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والمستفاد من تصريح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بنفي حقّ الزوج في منعها من حجّ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بضميمة ما نقله العلّامة عن بعض من دعوى إجماع علمائنا على اشتراط إذنه في الحجّ المندوب</w:t>
      </w:r>
      <w:r>
        <w:rPr>
          <w:rStyle w:val="FootnoteAnchor"/>
          <w:rtl w:val="true"/>
        </w:rPr>
        <w:footnoteReference w:id="3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مورد الحج الواجب استثناء من القاعدة العامّة في عدم جواز </w:t>
      </w:r>
      <w:bookmarkStart w:id="291" w:name="pg9142_80672"/>
    </w:p>
    <w:p>
      <w:pPr>
        <w:pStyle w:val="BookText"/>
        <w:rPr/>
      </w:pPr>
      <w:bookmarkEnd w:id="291"/>
      <w:r>
        <w:rPr>
          <w:rFonts w:ascii="Amiri" w:hAnsi="Amiri" w:eastAsia="Amiri" w:cs="Amiri"/>
          <w:color w:val="111111"/>
          <w:sz w:val="28"/>
          <w:sz w:val="28"/>
          <w:szCs w:val="28"/>
          <w:rtl w:val="true"/>
          <w:lang w:bidi="ar-SA"/>
        </w:rPr>
        <w:t>خروجها إلّا بإذنه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ويشترط إذن الزوج في الحجّ المندوب إجماعاً على ما حكى عن التذكرة، ونسبه في المدارك إلى علمائنا أجمع، وعن 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نعلم فيه خلافاً بين أهل العلم</w:t>
      </w:r>
      <w:r>
        <w:rPr>
          <w:rFonts w:eastAsia="Amiri" w:cs="Amiri" w:ascii="Amiri" w:hAnsi="Amiri"/>
          <w:color w:val="111111"/>
          <w:sz w:val="28"/>
          <w:szCs w:val="28"/>
          <w:rtl w:val="true"/>
          <w:lang w:bidi="ar-SA"/>
        </w:rPr>
        <w:t>)</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2" w:name="__RefHeading___Toc3266258_2870459653"/>
      <w:bookmarkStart w:id="293" w:name="_Toc110"/>
      <w:bookmarkEnd w:id="292"/>
      <w:r>
        <w:rPr>
          <w:rtl w:val="true"/>
        </w:rPr>
        <w:t>الطائفة الثالثة</w:t>
      </w:r>
      <w:r>
        <w:rPr>
          <w:rtl w:val="true"/>
        </w:rPr>
        <w:t xml:space="preserve">: </w:t>
      </w:r>
      <w:r>
        <w:rPr>
          <w:rtl w:val="true"/>
        </w:rPr>
        <w:t>روايات حبس وستر المرأة</w:t>
      </w:r>
      <w:bookmarkEnd w:id="293"/>
    </w:p>
    <w:p>
      <w:pPr>
        <w:pStyle w:val="BookText"/>
        <w:rPr/>
      </w:pPr>
      <w:r>
        <w:rPr>
          <w:rFonts w:ascii="Amiri" w:hAnsi="Amiri" w:eastAsia="Amiri" w:cs="Amiri"/>
          <w:color w:val="111111"/>
          <w:sz w:val="28"/>
          <w:sz w:val="28"/>
          <w:szCs w:val="28"/>
          <w:rtl w:val="true"/>
          <w:lang w:bidi="ar-SA"/>
        </w:rPr>
        <w:t xml:space="preserve">وقد تمسّك بها بعض أساتيذنا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افاداته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ما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ورد في روايات مستفيضة</w:t>
      </w:r>
      <w:r>
        <w:rPr>
          <w:rStyle w:val="FootnoteAnchor"/>
          <w:rtl w:val="true"/>
        </w:rPr>
        <w:footnoteReference w:id="356"/>
      </w:r>
      <w:r>
        <w:rPr>
          <w:rFonts w:ascii="Amiri" w:hAnsi="Amiri" w:eastAsia="Amiri" w:cs="Amiri"/>
          <w:color w:val="111111"/>
          <w:sz w:val="28"/>
          <w:sz w:val="28"/>
          <w:szCs w:val="28"/>
          <w:rtl w:val="true"/>
          <w:lang w:bidi="ar-SA"/>
        </w:rPr>
        <w:t>من الأمر بحبس النساء في البيوت، وسترهن بذلك، وهي وإن كان مفادها بلحاظ تدبير الرجل كحكم من الآداب إلّا أنّ مقتضاه بدلالة الاقتضاء ولايته على ذلك، وأنّ أمر خرُوجها بيد الزوج مطلقاً</w:t>
      </w:r>
      <w:r>
        <w:rPr>
          <w:rFonts w:eastAsia="Amiri" w:cs="Amiri" w:ascii="Amiri" w:hAnsi="Amiri"/>
          <w:color w:val="111111"/>
          <w:sz w:val="28"/>
          <w:szCs w:val="28"/>
          <w:rtl w:val="true"/>
          <w:lang w:bidi="ar-SA"/>
        </w:rPr>
        <w:t>)</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وردت في ذلك أخبار كثيرة، منها ما هو تامّ سنداً، وهي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معتبرة عبد الرحمن بن سيابة،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خلق حوّاءَ من آدم، فهمّة النساء في الرجال، فحصّنوهنّ في البيوت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صحيح غياث بن إبراهيم،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المرأة خلقت من الرجل و إنّما همّتها في الرجال فاحبسوا نساءكم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صحيح هشام بن سالم،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 عيّ وعورة فاستروا العورة بالبيوت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كلامه مواقع للنظر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ظاهر هذه النصوص وجوب طاعة المرأة لزوجها فيما لو أمرها بالقرار في البيت أو نهاها عن الخروج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حرمة خروجها من البيت بغير إذنه مطلقاً ولو لم ينهها عن الخروج بحيث يجب عليها الاستئذان من الزوج للخروج مطلقاً، فلا يستفاد من هذه النصوص،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الروايات أقرب للمنحى الأخلاقي الوقائي منه إلى المعنى التحريمي الفقهي، كما هو محلّ الكلام، ولم أعهد أحداً من الفقهاء أفتى بلزوم الحبس استناداً إلى هذه الروايات، بل في كلمات بعض الأعلام ما يخالف ذلك</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النصوص معارضة بما دلّ على جواز الخروج بوقار وسكينة والتزام، كما هو سيرة نساء الأنبياء والأئمّة، كما بيّنا ذلك تفصيلاً في 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مشي النساء إلى كربلاء</w:t>
      </w:r>
      <w:r>
        <w:rPr>
          <w:rFonts w:eastAsia="Amiri" w:cs="Amiri" w:ascii="Amiri" w:hAnsi="Amiri"/>
          <w:color w:val="111111"/>
          <w:sz w:val="28"/>
          <w:szCs w:val="28"/>
          <w:rtl w:val="true"/>
          <w:lang w:bidi="ar-SA"/>
        </w:rPr>
        <w:t>)</w:t>
      </w:r>
      <w:r>
        <w:rPr>
          <w:rStyle w:val="FootnoteAnchor"/>
          <w:rtl w:val="true"/>
        </w:rPr>
        <w:footnoteReference w:id="359"/>
      </w:r>
      <w:r>
        <w:rPr>
          <w:rFonts w:ascii="Amiri" w:hAnsi="Amiri" w:eastAsia="Amiri" w:cs="Amiri"/>
          <w:color w:val="111111"/>
          <w:sz w:val="28"/>
          <w:sz w:val="28"/>
          <w:szCs w:val="28"/>
          <w:rtl w:val="true"/>
          <w:lang w:bidi="ar-SA"/>
        </w:rPr>
        <w:t>، حيث ذكرنا عدّة أدلّة منافية لإطلاق الحبس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ما يمكن أن يستدلّ به لجواز خروجها من دون إذنه إن لم يناف حقّه فهو</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الأدلّة المتقدّمة الدالّة على المنع من الخروج بدون إذنه وإن كانت ظاهرة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الإطلاق إلّا أنّه لا محيص من تقييده بصورة الخروج المنافي لحقّه؛ وذلك بالنظر إلى ما تقدّم نقله عن السيّد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افاداته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الحكم بجواز خروجها مشروطاً بإذنه مطلقاً موجب للحكم على الزوجة بالسجن في داخل البيت </w:t>
      </w:r>
    </w:p>
    <w:p>
      <w:pPr>
        <w:pStyle w:val="BookText"/>
        <w:rPr/>
      </w:pPr>
      <w:r>
        <w:rPr>
          <w:rFonts w:ascii="Amiri" w:hAnsi="Amiri" w:eastAsia="Amiri" w:cs="Amiri"/>
          <w:color w:val="111111"/>
          <w:sz w:val="28"/>
          <w:sz w:val="28"/>
          <w:szCs w:val="28"/>
          <w:rtl w:val="true"/>
          <w:lang w:bidi="ar-SA"/>
        </w:rPr>
        <w:t>وعدم السماح لها بالخروج منه إلّا بموافقة الزوج الذي يمكن أن يحكّم في ذلك أهواءه، ورغباته الشخصية من دون رعاية وضع الزوجة ومصلحتها، وفي ذلك مهانة شديدة لها، وحطّ من كرامتها الإنسانية، ولا يُظن أن يحكم الشارع المقدّس بمثل ذلك</w:t>
      </w:r>
      <w:r>
        <w:rPr>
          <w:rFonts w:eastAsia="Amiri" w:cs="Amiri" w:ascii="Amiri" w:hAnsi="Amiri"/>
          <w:color w:val="111111"/>
          <w:sz w:val="28"/>
          <w:szCs w:val="28"/>
          <w:rtl w:val="true"/>
          <w:lang w:bidi="ar-SA"/>
        </w:rPr>
        <w:t>)</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تقدّم أنّ مثل ذلك لا يشكل قرينة على تقييد إطلاق الأدلّة المتقدّمة</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 xml:space="preserve">. </w:t>
      </w:r>
      <w:bookmarkStart w:id="294" w:name="pg9142_80675"/>
    </w:p>
    <w:p>
      <w:pPr>
        <w:pStyle w:val="Heading3"/>
        <w:numPr>
          <w:ilvl w:val="2"/>
          <w:numId w:val="1"/>
        </w:numPr>
        <w:rPr/>
      </w:pPr>
      <w:bookmarkStart w:id="295" w:name="__RefHeading___Toc3266260_2870459653"/>
      <w:bookmarkStart w:id="296" w:name="_Toc111"/>
      <w:bookmarkEnd w:id="294"/>
      <w:bookmarkEnd w:id="295"/>
      <w:r>
        <w:rPr>
          <w:rtl w:val="true"/>
        </w:rPr>
        <w:t>محصّل البحث</w:t>
      </w:r>
      <w:bookmarkEnd w:id="296"/>
    </w:p>
    <w:p>
      <w:pPr>
        <w:pStyle w:val="BookText"/>
        <w:rPr/>
      </w:pPr>
      <w:r>
        <w:rPr>
          <w:rFonts w:ascii="Amiri" w:hAnsi="Amiri" w:eastAsia="Amiri" w:cs="Amiri"/>
          <w:color w:val="111111"/>
          <w:sz w:val="28"/>
          <w:sz w:val="28"/>
          <w:szCs w:val="28"/>
          <w:rtl w:val="true"/>
          <w:lang w:bidi="ar-SA"/>
        </w:rPr>
        <w:t>تبيّن ممّا مرّ تمامية القول بحرمة خروج الزوجة بلا إذن الزوج سواء أكان الخروج منافياً لحقّه أم لا، كما هو الرأي المشهور؛ استناداً إلى بعض الروايات المتقدّمة، وأنّ ضعف بعضها سنداً أو دلالة لا يضرّ، فمقتضى الصناعة هو الإفتاء بعدم الخروج مطلقاً إلّا بإذنه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ولكن يستثنى من هذا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دلّت جملة من النصوص على ذلك في ما لو توفّرت جميع الشرائط المعتبرة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فيجوز لها ذلك وإن رفض الزوج خروجها إليه، سواء كانت الاستطاعة قبل الزواج أو بعده</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القول بتوسعة ذلك لغير الحجّ بإلغاء الخصوصية، والقول بجواز الخروج من دون إذنه لكلّ واجب توقّف أداؤه على خروجها، كما لو أرادت أداء الصلاة عند ضيق الوقت ولم يوجد في بيتها ما تتطهّر به، أو ما شابهها من شروط صحّة الصلاة، فإنّه يجوز لها الخروج بقدر ما توفّر الشرط المفقود</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مورد يكون امتثال حرمة الخروج من دون إذن الزوج فيه مؤدّياً إلى تفويت امتثال واجب أهم من الحرمة، أو مؤدّياً إلى الوقوع في حرام يكون الاجتناب </w:t>
      </w:r>
    </w:p>
    <w:p>
      <w:pPr>
        <w:pStyle w:val="BookText"/>
        <w:rPr/>
      </w:pPr>
      <w:r>
        <w:rPr>
          <w:rFonts w:ascii="Amiri" w:hAnsi="Amiri" w:eastAsia="Amiri" w:cs="Amiri"/>
          <w:color w:val="111111"/>
          <w:sz w:val="28"/>
          <w:sz w:val="28"/>
          <w:szCs w:val="28"/>
          <w:rtl w:val="true"/>
          <w:lang w:bidi="ar-SA"/>
        </w:rPr>
        <w:t>عنه كذلك، كما لو توقّف حفظ نفسها أو نفس محترمة أخرى على خروجها من المنزل، أو كان بقاؤها في المنزل مؤدّياً إلى ابتلائها بحرام يكون الاجتناب عنه أولى وأهم من بقائها</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والحمد لله ربِّ العالمين، والصّلاة والسّلام على محمّد وآله الطاهرين</w:t>
      </w:r>
      <w:r>
        <w:rPr>
          <w:rFonts w:eastAsia="Amiri" w:cs="Amiri" w:ascii="Amiri" w:hAnsi="Amiri"/>
          <w:color w:val="111111"/>
          <w:sz w:val="28"/>
          <w:szCs w:val="28"/>
          <w:rtl w:val="true"/>
          <w:lang w:bidi="ar-SA"/>
        </w:rPr>
        <w:t>.</w:t>
      </w:r>
      <w:bookmarkStart w:id="297" w:name="pg9142_80677"/>
    </w:p>
    <w:p>
      <w:pPr>
        <w:pStyle w:val="Heading3"/>
        <w:numPr>
          <w:ilvl w:val="2"/>
          <w:numId w:val="1"/>
        </w:numPr>
        <w:rPr/>
      </w:pPr>
      <w:bookmarkStart w:id="298" w:name="__RefHeading___Toc3266262_2870459653"/>
      <w:bookmarkStart w:id="299" w:name="_Toc112"/>
      <w:bookmarkEnd w:id="297"/>
      <w:bookmarkEnd w:id="298"/>
      <w:r>
        <w:rPr>
          <w:rtl w:val="true"/>
        </w:rPr>
        <w:t>مصادر البحث</w:t>
      </w:r>
      <w:bookmarkEnd w:id="299"/>
    </w:p>
    <w:p>
      <w:pPr>
        <w:pStyle w:val="BookText"/>
        <w:rPr/>
      </w:pP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الأبواب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الطائفة أبو جعفر 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جواد القيّوميّ،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 النشر الإسلاميّ التابع لجماعة المدرّسين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lang w:bidi="ar-SA"/>
        </w:rPr>
        <w:t>1427</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أجوبة مسائل ورسائل في مختلف فنون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ابن إدريس محمّد بن منصور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598</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مهدي الموسويّ الخرسان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p>
    <w:p>
      <w:pPr>
        <w:pStyle w:val="BookText"/>
        <w:rPr/>
      </w:pPr>
      <w:r>
        <w:rPr>
          <w:rFonts w:eastAsia="Times New Roman" w:cs="Times New Roman" w:ascii="Times New Roman" w:hAnsi="Times New Roman"/>
          <w:color w:val="111111"/>
          <w:sz w:val="28"/>
          <w:szCs w:val="28"/>
          <w:lang w:val="en-US" w:bidi="en-US"/>
        </w:rPr>
        <w:t>1429</w:t>
      </w:r>
      <w:r>
        <w:rPr>
          <w:rFonts w:ascii="Times New Roman" w:hAnsi="Times New Roman" w:eastAsia="Times New Roman" w:cs="Times New Roman"/>
          <w:color w:val="111111"/>
          <w:sz w:val="28"/>
          <w:sz w:val="28"/>
          <w:szCs w:val="28"/>
          <w:rtl w:val="true"/>
          <w:lang w:val="en-US" w:bidi="en-US"/>
        </w:rPr>
        <w:t>ﻫ</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اختيار معرفة الرجال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تعليقة المير داماد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الطائفة أبو جعفر 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المير داماد محمّد باقر الحسينيّ الأسترآباديّ،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اختيار معرفة الرجال المشتهر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الطائفة أبو جعفر 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حسن مصطفوي،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نشر دانشكاه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مشهد، </w:t>
      </w:r>
      <w:r>
        <w:rPr>
          <w:rFonts w:eastAsia="Amiri" w:cs="Amiri" w:ascii="Amiri" w:hAnsi="Amiri"/>
          <w:color w:val="111111"/>
          <w:sz w:val="28"/>
          <w:szCs w:val="28"/>
          <w:lang w:bidi="ar-SA"/>
        </w:rPr>
        <w:t>1490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الاستبصار فيما أختلف من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الطائفة أبو جعفر 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1390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أصول علم الرجال بين النظريّة والتطبيق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تقرير بحث الشيخ مسلم الداوريّ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افاداته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الشيخ محمّد عليّ المعلّم،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نمونة، تاريخ الطبع والنشر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الأنوار اللوامع في شرح مفاتيح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حسين بن محمّد آل عصفور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1216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محسن آل عصفور،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البحوث الفقهيّة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إيضاح الدلائل في شرح الوسائل، تقريرات بحث الشيخ مسلم الداوريّ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افاداته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بقلم السيّد عبّاس الحسينيّ والشيخ محمّد البناي،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مطبعة الظهور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بحوث في القواعد الفقهيّة، تقرير بحث الشيخ محمّد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بقلم الشيخ محمّد رضا الساعدي،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المتّقين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لبنان، تاريخ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1432</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بحوث في شرح مناسك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تقرير أبحاث السيّد محمّد رضا السيستانيّ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افاداته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بقلم الشيخ أمجد رياض والشيخ نزار يوسف،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دار المؤرّخ العربيّ،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lang w:bidi="ar-SA"/>
        </w:rPr>
        <w:t>1437</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تذكرة 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حسن بن يوسف بن المطهّر الحلّيّ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الأولى،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تعاليق مبسوطة على العروة الوثقى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إسحاق الفيّاض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انتشارات محلّاتيّ،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مكان الطبع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تعليقة على منهج المقال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الوحيد البهبهانيّ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1205</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نحو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تصحيح وتعليق وتقديم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طيّب الموسويّ الجزائريّ،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دار الكتاب للطباعة والنشر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 ط</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سنة الطبع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الطائفة أبو جعفر 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الجعفريّات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الأشعثيّات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محمّد بن الأشعث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 ق</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نينوى الحديثة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الكلام في شرح شرائع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محمّد حسن النجفيّ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1266</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حقّقه وعلّق عليه الشيخ عباس القوچانيّ، نهض بمشروعه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علي الآخونديّ،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الإسلاميّة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خورشيد، ط</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 الناضرة في أحكام العترة الطاهرة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يوسف بن أحمد آل عصفور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1186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تقي الإيروانيّ، السيد عبد الرزّاق المقرّم،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 النشر الإسلاميّ التابع لجماعة المدرّسين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خاتمة مستدرك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المحدّث الميرزا حسين النوريّ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الأولى،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خلاصة الأقوال في معرفة أحوال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أبو منصور الحسن بن يوسف ابن المطهّر الأسديّ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المشتهر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الحلّيّ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المطبعة الحيدريّة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lang w:bidi="ar-SA"/>
        </w:rPr>
        <w:t>1381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حنيفة النعمان بن محمّد بن منصور التميميّ المغربيّ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الثانية،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ذخيرة المعاد في شرح 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محمّد باقر السبزواريّ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1090</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لإحياء التراث</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ابن الغضائريّ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الحسين بن عبيد الله بن إبراهيم أبي الحسن الواسطيّ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الغضائريّ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450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رضا الجلاليّ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روضة المتّقين في شرح من لا يحضره الفقيه، الشيخ محمّد تقي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المجلسيّ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1070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حسين الموسويّ الكرمانيّ،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فرهنكي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زبدة البيان في أحكام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أحمد بن محمّد 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993</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باقر البهبوديّ،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الجعفريّة لإحياء الآثار الجعفريّة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 الحاوي لتحرير الفتاوي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أبو جعفر محمّد بن منصور بن أحمد بن إدريس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598</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 النشر الإسلاميّ التابع لجماعة المدرّسين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صراط النجاة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أبو القاسم الموسويّ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 نشر المنتخب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العدّة في أصول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الطائفة أبو جعفر 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رضا الأنصاريّ القمّي،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الطائفة أبو جعفر 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عباد الله الطهرانيّ، الشيخ عليّ أحمد ناصح،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المعارف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بهمن،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تاريخ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قطب الدين سعيد بن عبد الله الراونديّ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573</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أحمد الحسينيّ،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السيّد المرعشيّ النجفيّ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فهرست أسماء مصنّفي الشيعة المشتهر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أبو العبّاس أحمد بن عليّ النجاشيّ الأسديّ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450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موسى الشبيريّ الزنجانيّ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مكتب النشر الإسلاميّ التابع لجماعة المدرّسين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الطائفة أبو جعفر 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صادق بحر العلوم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الرضويّة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الفوائد الرجاليّة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مهدي بحر العلوم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1212</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صادق بحر العلوم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السيّد حسين بحر العلوم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الفوائد الرجاليّة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باقر الوحيد البهبهانيّ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1205</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قاعدة لا ضرر ولا ضرار، السيّد عليّ الحسينيّ السيستانيّ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 العالی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 سماحة السيد السيستانيّ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الأولى،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قبسات من علم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أبحاث السيّد محمّد رضا السيستانيّ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افاداته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جمعها ونظّمها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البكّاء، دار المؤرّخ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1437</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القضاء في الفقه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كاظم الحائريّ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العلوم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أبو جعفر محمّد بن يعقوب بن إسحاق الكلينيّ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تصحيح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أكبر الغفّاري،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حيدري،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العرفان في فقه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جمال الدين المقداد بن عبد الله السيوريّ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826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انتشارات مرتضوي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1425</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الفضل جمال الدين محمّد بن مكرم ابن منظور الإفريقيّ المصريّ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711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فارس،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مباني منهاج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تقي الطباطبائيّ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1437</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عباس حاجياني، منشورات قلم الشرق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1426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مجلّة الإصلاح الحسينيّ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لسنة </w:t>
      </w:r>
      <w:r>
        <w:rPr>
          <w:rFonts w:eastAsia="Amiri" w:cs="Amiri" w:ascii="Amiri" w:hAnsi="Amiri"/>
          <w:color w:val="111111"/>
          <w:sz w:val="28"/>
          <w:szCs w:val="28"/>
          <w:lang w:bidi="ar-SA"/>
        </w:rPr>
        <w:t>2016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الفائدة والبرهان في شرح إرشاد الأذهان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أحمد بن محمّد الأردبيليّ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993</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الحاج آغا مجتبى العراقيّ، الشيخ علي پناه الاشتهارديّ، الحاج آغا حسين اليزدي الأصفهانيّ،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الإسلاميّ التابعة لجماعة المدرّسين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الأولى،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مرآة العقول في شرح أخبار آل الرسول، الشيخ محمّد باقر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1111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هاشم الرسولي،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الإسلاميّة،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مروي،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المرأة حقوقها وأدوارها في ظلّ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رضا الساعدي، 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الصدرين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بغداد، تاريخ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1427</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مسالك الأفهام إلى تنقيح شرائع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زين الدين بن عليّ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المشتهر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المعارف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بهمن،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 علي بن جعفر ومستدركاتها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الأولى،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مسائل معاصرة في فقه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سعيد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الهلال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lang w:bidi="ar-SA"/>
        </w:rPr>
        <w:t>1427</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مستدرك الوسائل ومستنبط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الميرزا حسين النوريّ الطبرسيّ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لإحياء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الأولى،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 علم رجال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عليّ النمازيّ الشاهروديّ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المؤلّف،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مستمسك العروة الوثقى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محسن الطباطبائيّ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1390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دار التفسير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آغا رضا بن محمّد هادي 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1322</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المؤسّسة الجعفريّة لإحياء التراث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الهدى في شرح العروة الوثقى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الميرزا محمّد تقي الآملي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1391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1380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 في شرح المختصر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نجم الدين أبو القاسم جعفر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المشتهر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المحقّق الحلّيّ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676</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محقّقين،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مدرسة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الأولى،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رجال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أبو القاسم الموسويّ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أبو عبد الله محمّد بن محمّد العكبريّ البغداديّ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مؤتمر ألفية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قم،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ملاذ الأخيار في شرح تهذيب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باقر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1111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مهدي الرجائي،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السيّد المرعشيّ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الخيّام،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بن عليّ بن بابويه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 النشر الإسلاميّ التابع لجماعة المدرّسين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منتهى المقال في أحوال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محمّد بن إسماعيل المازندرانيّ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1216</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الأولى،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الصالحين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سماحة السيّد عليّ الحسينيّ السيستانيّ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 العالی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 سماحة السيّد السيستانيّ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الخامسة،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منهاج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محمود الهاشمي الشاهروديّ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الفقه،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السادسة، </w:t>
      </w:r>
      <w:r>
        <w:rPr>
          <w:rFonts w:eastAsia="Amiri" w:cs="Amiri" w:ascii="Amiri" w:hAnsi="Amiri"/>
          <w:color w:val="111111"/>
          <w:sz w:val="28"/>
          <w:szCs w:val="28"/>
          <w:lang w:bidi="ar-SA"/>
        </w:rPr>
        <w:t>1433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الصالحين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حسين وحيد الخراسانيّ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مدرسة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الخامسة، </w:t>
      </w:r>
      <w:r>
        <w:rPr>
          <w:rFonts w:eastAsia="IRNazanin" w:cs="IRNazanin"/>
          <w:color w:val="111111"/>
          <w:sz w:val="28"/>
          <w:szCs w:val="28"/>
          <w:lang w:bidi="fa-IR"/>
        </w:rPr>
        <w:t>1428</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منهاج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إسحاق الفيّاض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 سماحة الشيخ محمّد إسحاق الفيّاض،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مهذّب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عبد الأعلى السبزواريّ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w:t>
      </w:r>
    </w:p>
    <w:p>
      <w:pPr>
        <w:pStyle w:val="BookText"/>
        <w:rPr/>
      </w:pPr>
      <w:r>
        <w:rPr>
          <w:rFonts w:ascii="Amiri" w:hAnsi="Amiri" w:eastAsia="Amiri" w:cs="Amiri"/>
          <w:color w:val="111111"/>
          <w:sz w:val="28"/>
          <w:sz w:val="28"/>
          <w:szCs w:val="28"/>
          <w:rtl w:val="true"/>
          <w:lang w:bidi="ar-SA"/>
        </w:rPr>
        <w:t xml:space="preserve">المنار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الأقدم القاضي عبد العزيز بن البرّاج الطرابلسيّ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481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وإعداد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سيّد الشهداء العلمية بإشراف الشيخ جعفر السبحانيّ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افاداته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التابعة لجماعة المدرّسين بقمّ المشرّفة،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موسوعة الإمام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أبو القاسم الموسويّ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إحياء آثار الإمام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قم،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الشيعة إلى تحصيل مسائل الشريعة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محمّد بن الحسن الحرّ العامليّ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الأولى،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المنع من الإنجاب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رضا السيستانيّ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افاداته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نشر وطبع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المؤرّخ العربيّ،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lang w:bidi="ar-SA"/>
        </w:rPr>
        <w:t>1433</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0" w:name="pg9142_80687"/>
      <w:bookmarkStart w:id="301" w:name="pg9142_80687"/>
      <w:bookmarkEnd w:id="301"/>
    </w:p>
    <w:p>
      <w:pPr>
        <w:pStyle w:val="Heading2"/>
        <w:numPr>
          <w:ilvl w:val="1"/>
          <w:numId w:val="1"/>
        </w:numPr>
        <w:rPr/>
      </w:pPr>
      <w:bookmarkStart w:id="302" w:name="pg9142_80687"/>
      <w:bookmarkStart w:id="303" w:name="__RefHeading___Toc3266264_2870459653"/>
      <w:bookmarkStart w:id="304" w:name="_Toc113"/>
      <w:bookmarkEnd w:id="302"/>
      <w:bookmarkEnd w:id="303"/>
      <w:r>
        <w:rPr>
          <w:rtl w:val="true"/>
        </w:rPr>
        <w:t xml:space="preserve">السيرة العقلائية </w:t>
      </w:r>
      <w:r>
        <w:rPr>
          <w:rtl w:val="true"/>
        </w:rPr>
        <w:t>(</w:t>
      </w:r>
      <w:r>
        <w:rPr>
          <w:rtl w:val="true"/>
        </w:rPr>
        <w:t>الحلقة الأولى</w:t>
      </w:r>
      <w:r>
        <w:rPr>
          <w:rtl w:val="true"/>
        </w:rPr>
        <w:t xml:space="preserve">) - </w:t>
      </w:r>
      <w:r>
        <w:rPr>
          <w:rtl w:val="true"/>
        </w:rPr>
        <w:t xml:space="preserve">الشيخ نجم الترابي </w:t>
      </w:r>
      <w:r>
        <w:rPr>
          <w:rtl w:val="true"/>
        </w:rPr>
        <w:t>(</w:t>
      </w:r>
      <w:r>
        <w:rPr>
          <w:rtl w:val="true"/>
        </w:rPr>
        <w:t>دام عزه</w:t>
      </w:r>
      <w:r>
        <w:rPr>
          <w:rtl w:val="true"/>
        </w:rPr>
        <w:t>)</w:t>
      </w:r>
      <w:bookmarkEnd w:id="304"/>
    </w:p>
    <w:p>
      <w:pPr>
        <w:pStyle w:val="Heading3"/>
        <w:numPr>
          <w:ilvl w:val="2"/>
          <w:numId w:val="1"/>
        </w:numPr>
        <w:rPr/>
      </w:pPr>
      <w:bookmarkStart w:id="305" w:name="__RefHeading___Toc3266266_2870459653"/>
      <w:bookmarkStart w:id="306" w:name="_Toc114"/>
      <w:bookmarkEnd w:id="305"/>
      <w:r>
        <w:rPr>
          <w:rtl w:val="true"/>
        </w:rPr>
        <w:t>اشارة</w:t>
      </w:r>
      <w:bookmarkEnd w:id="306"/>
    </w:p>
    <w:p>
      <w:pPr>
        <w:pStyle w:val="BookText"/>
        <w:rPr/>
      </w:pPr>
      <w:r>
        <w:rPr>
          <w:rFonts w:ascii="Amiri" w:hAnsi="Amiri" w:eastAsia="Amiri" w:cs="Amiri"/>
          <w:color w:val="111111"/>
          <w:sz w:val="28"/>
          <w:sz w:val="28"/>
          <w:szCs w:val="28"/>
          <w:rtl w:val="true"/>
          <w:lang w:bidi="ar-SA"/>
        </w:rPr>
        <w:t>لا غنى عن البحث في المسيرة العقلائية في الفقه والأصول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كونها تعد جذراً استدلالياً لمباحث وقواعد مهمة كمباحث الطهارة والمعاملات، وحجية الأمارات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الموارد</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البحث يسلّط الضوء على طرق إثبات الشيرة والاستدلال بها وشروطه، ومدلولها وحدوده</w:t>
      </w:r>
      <w:r>
        <w:rPr>
          <w:rFonts w:eastAsia="Amiri" w:cs="Amiri" w:ascii="Amiri" w:hAnsi="Amiri"/>
          <w:color w:val="111111"/>
          <w:sz w:val="28"/>
          <w:szCs w:val="28"/>
          <w:rtl w:val="true"/>
          <w:lang w:bidi="ar-SA"/>
        </w:rPr>
        <w:t xml:space="preserve">. </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 xml:space="preserve">غير خافية أهمية هذا البحث في الفقه والأصول على أهل هذين العلمين، ففي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تدخل السيرة العقلائية في الاستدلال على أهم الأمارات كالاطمئنان، والظهور، وخبر الواحد، وأيضاً يستدل بها على قاعدة قبح العقاب بلا بيان، وعلى منجزية العلم الإجمالي عند من يراهما عقلائيين لا عقليين، وكذلك تدخل في بحث الاستصحاب، إلى غير ذلك من الموارد</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في الفقه فتدخل السيرة في عامة المباحث ذات الجذور العقلائية، كمبحث الطهارة ومباحث المعاملات فما أكثر الفروع والقواعد الفقهية التي تدخل السيرة في الاستدلال عليها كقاعدة الإحسان، وقاعدة الإقرار والحق لمن سبق، وقاعدة السلطنة التي تسلّط المالك على ماله بنحو كامل، وقاعدة اليد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سماع قول اليد فيما تحتها، وقاعدة على اليد ما أخذت حتى تؤدّي إلى غير ذلك من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وتتأكد هذه الأهمية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عظم الاعتماد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نتيجة لوضوح عدم اعتبار جملة من الأدلة التي كانت هي المدرك لعديد من المسائل الفقهية والأصولية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ونوقع الكلام في هذا البحث على النحو 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مقدمة في تحديد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السيرة العقلائية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تقسيمات السيرة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طريقة الاستدلال بالسيرة على إثبات الحكم الشرعي إثباتاً ونفياً، ويتضمن ستة 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موقف من الشارع المقدس تجاه السيرة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الاطلاع على هذا الموقف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معاصرة السيرة لوجود الشارع، ويتضمن طرق إثبات المعاصرة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امتداد السيرة إلى دائرة الأحكام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إمكان الردع عنها عقلاً وعرفاً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الارتداع عند الردع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مدلول السيرة، وفيه جانبان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المقدار الممضى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مدلولها من حيث التكليف والوضع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حجية السيرة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الموقف والحدود فيها إذا وردت أدلة لفظية متوافقة مع</w:t>
      </w:r>
    </w:p>
    <w:p>
      <w:pPr>
        <w:pStyle w:val="BookText"/>
        <w:rPr/>
      </w:pPr>
      <w:r>
        <w:rPr>
          <w:rFonts w:ascii="Amiri" w:hAnsi="Amiri" w:eastAsia="Amiri" w:cs="Amiri"/>
          <w:color w:val="111111"/>
          <w:sz w:val="28"/>
          <w:sz w:val="28"/>
          <w:szCs w:val="28"/>
          <w:rtl w:val="true"/>
          <w:lang w:bidi="ar-SA"/>
        </w:rPr>
        <w:t>السيرة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المقارنة بين السيرة العقلائية وسيرة المتشرعة البحتة</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خاتمة في السيرة المتعرضة لموضوع الحكم أو متعلقه ونحوهما</w:t>
      </w:r>
      <w:r>
        <w:rPr>
          <w:rFonts w:eastAsia="Amiri" w:cs="Amiri" w:ascii="Amiri" w:hAnsi="Amiri"/>
          <w:color w:val="111111"/>
          <w:sz w:val="28"/>
          <w:szCs w:val="28"/>
          <w:rtl w:val="true"/>
          <w:lang w:bidi="ar-SA"/>
        </w:rPr>
        <w:t xml:space="preserve">. </w:t>
      </w:r>
      <w:bookmarkStart w:id="307" w:name="pg9142_80691"/>
    </w:p>
    <w:p>
      <w:pPr>
        <w:pStyle w:val="Heading3"/>
        <w:numPr>
          <w:ilvl w:val="2"/>
          <w:numId w:val="1"/>
        </w:numPr>
        <w:rPr/>
      </w:pPr>
      <w:bookmarkStart w:id="308" w:name="__RefHeading___Toc3266268_2870459653"/>
      <w:bookmarkStart w:id="309" w:name="_Toc115"/>
      <w:bookmarkEnd w:id="307"/>
      <w:bookmarkEnd w:id="308"/>
      <w:r>
        <w:rPr>
          <w:rtl w:val="true"/>
        </w:rPr>
        <w:t>مقدمة</w:t>
      </w:r>
      <w:r>
        <w:rPr>
          <w:rtl w:val="true"/>
        </w:rPr>
        <w:t xml:space="preserve">: </w:t>
      </w:r>
      <w:r>
        <w:rPr>
          <w:rtl w:val="true"/>
        </w:rPr>
        <w:t xml:space="preserve">تحديد مصطلح </w:t>
      </w:r>
      <w:r>
        <w:rPr>
          <w:rtl w:val="true"/>
        </w:rPr>
        <w:t>(</w:t>
      </w:r>
      <w:r>
        <w:rPr>
          <w:rtl w:val="true"/>
        </w:rPr>
        <w:t>السيرة العقلائية</w:t>
      </w:r>
      <w:r>
        <w:rPr>
          <w:rtl w:val="true"/>
        </w:rPr>
        <w:t>)</w:t>
      </w:r>
      <w:bookmarkEnd w:id="309"/>
    </w:p>
    <w:p>
      <w:pPr>
        <w:pStyle w:val="Heading4"/>
        <w:numPr>
          <w:ilvl w:val="3"/>
          <w:numId w:val="1"/>
        </w:numPr>
        <w:rPr/>
      </w:pPr>
      <w:bookmarkStart w:id="310" w:name="__RefHeading___Toc3266270_2870459653"/>
      <w:bookmarkStart w:id="311" w:name="_Toc116"/>
      <w:bookmarkEnd w:id="310"/>
      <w:r>
        <w:rPr>
          <w:rtl w:val="true"/>
        </w:rPr>
        <w:t>اشارة</w:t>
      </w:r>
      <w:bookmarkEnd w:id="311"/>
    </w:p>
    <w:p>
      <w:pPr>
        <w:pStyle w:val="BookText"/>
        <w:rPr/>
      </w:pPr>
      <w:r>
        <w:rPr>
          <w:rFonts w:ascii="Amiri" w:hAnsi="Amiri" w:eastAsia="Amiri" w:cs="Amiri"/>
          <w:color w:val="111111"/>
          <w:sz w:val="28"/>
          <w:sz w:val="28"/>
          <w:szCs w:val="28"/>
          <w:rtl w:val="true"/>
          <w:lang w:bidi="ar-SA"/>
        </w:rPr>
        <w:t>إن لفظ السيرة مجرداً عن أي إضافة يطلق على سيرة المسلمين، وأما الذي يطلق على سيرة العقلاء فهو التعبير بطريقة العقلاء أو بنائهم أو بناء العرف العام</w:t>
      </w:r>
      <w:r>
        <w:rPr>
          <w:rStyle w:val="FootnoteAnchor"/>
          <w:rtl w:val="true"/>
        </w:rPr>
        <w:footnoteReference w:id="364"/>
      </w:r>
      <w:r>
        <w:rPr>
          <w:rFonts w:ascii="Amiri" w:hAnsi="Amiri" w:eastAsia="Amiri" w:cs="Amiri"/>
          <w:color w:val="111111"/>
          <w:sz w:val="28"/>
          <w:sz w:val="28"/>
          <w:szCs w:val="28"/>
          <w:rtl w:val="true"/>
          <w:lang w:bidi="ar-SA"/>
        </w:rPr>
        <w:t>، وفي هذه الأزمنة تميز السيرة بما تضاف إليه، فتارة تضاف إلى المتشرعة وأخرى إلى العقلاء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وعبر عن السيرة عموماً بتعابير متعدّدة، فذكر أنها سلوك وعمل اجتماعي عام في مقابل السلوك الفردي الخاص </w:t>
      </w:r>
      <w:r>
        <w:rPr>
          <w:rStyle w:val="FootnoteAnchor"/>
          <w:rtl w:val="true"/>
        </w:rPr>
        <w:footnoteReference w:id="365"/>
      </w:r>
      <w:r>
        <w:rPr>
          <w:rFonts w:ascii="Amiri" w:hAnsi="Amiri" w:eastAsia="Amiri" w:cs="Amiri"/>
          <w:color w:val="111111"/>
          <w:sz w:val="28"/>
          <w:sz w:val="28"/>
          <w:szCs w:val="28"/>
          <w:rtl w:val="true"/>
          <w:lang w:bidi="ar-SA"/>
        </w:rPr>
        <w:t xml:space="preserve">، وذكر أنها استمرار عادة الناس وتبانيهم العملي على فعل شيء أو تركه </w:t>
      </w:r>
      <w:r>
        <w:rPr>
          <w:rStyle w:val="FootnoteAnchor"/>
          <w:rtl w:val="true"/>
        </w:rPr>
        <w:footnoteReference w:id="366"/>
      </w:r>
      <w:r>
        <w:rPr>
          <w:rFonts w:ascii="Amiri" w:hAnsi="Amiri" w:eastAsia="Amiri" w:cs="Amiri"/>
          <w:color w:val="111111"/>
          <w:sz w:val="28"/>
          <w:sz w:val="28"/>
          <w:szCs w:val="28"/>
          <w:rtl w:val="true"/>
          <w:lang w:bidi="ar-SA"/>
        </w:rPr>
        <w:t xml:space="preserve">، ونحو ذلك من التعابير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المراد من العقلاء في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سيرة العقلاء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قيدان</w:t>
      </w:r>
      <w:r>
        <w:rPr>
          <w:rFonts w:eastAsia="Amiri" w:cs="Amiri" w:ascii="Amiri" w:hAnsi="Amiri"/>
          <w:color w:val="111111"/>
          <w:sz w:val="28"/>
          <w:szCs w:val="28"/>
          <w:rtl w:val="true"/>
          <w:lang w:bidi="ar-SA"/>
        </w:rPr>
        <w:t>:</w:t>
      </w:r>
    </w:p>
    <w:p>
      <w:pPr>
        <w:pStyle w:val="Heading4"/>
        <w:numPr>
          <w:ilvl w:val="3"/>
          <w:numId w:val="1"/>
        </w:numPr>
        <w:rPr/>
      </w:pPr>
      <w:bookmarkStart w:id="312" w:name="__RefHeading___Toc3266272_2870459653"/>
      <w:bookmarkStart w:id="313" w:name="_Toc117"/>
      <w:bookmarkEnd w:id="312"/>
      <w:r>
        <w:rPr>
          <w:rtl w:val="true"/>
        </w:rPr>
        <w:t>القيد الأول</w:t>
      </w:r>
      <w:r>
        <w:rPr>
          <w:rtl w:val="true"/>
        </w:rPr>
        <w:t xml:space="preserve">: </w:t>
      </w:r>
      <w:r>
        <w:rPr>
          <w:rtl w:val="true"/>
        </w:rPr>
        <w:t>أن يكون السلوك من جميع العقلاء</w:t>
      </w:r>
      <w:bookmarkEnd w:id="313"/>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ويراد بهذا القيد أن السلوك العقلاني غير متوقف على نحلة أو ملة أو ثقافة أو زمان أو مكان خاص، بل الكل على اختلافهم بهذه النواحي يصدر منهم هذا السلوك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وينبغي أن يعمم لما إذا كان صدوره بالقوة بأن كانت قريحة العقلاء مما تقتضيه ولكن موضوعه غير متحقق في الخارج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يراد من جميع العقلاء معناه المطابقي؛ لامتناع أو صعوبة إحرازه أولاً، ولعدم دخالته في حجية السيرة ثانياً؛ إذ يكفي في اتخاذ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موقفاً تجاهها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والتي هي بمرأى ومسمع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يشكل هذا السلوك ظاهرة عامةً في المجتمع، وهي تحصل من سلوك الأكثر، بل يكفي عدداً معتداً به لتحصل مثل هكذا ظاهرة سلوكية عامة </w:t>
      </w:r>
      <w:r>
        <w:rPr>
          <w:rStyle w:val="FootnoteAnchor"/>
          <w:rtl w:val="true"/>
        </w:rPr>
        <w:footnoteReference w:id="368"/>
      </w:r>
      <w:r>
        <w:rPr>
          <w:rFonts w:ascii="Amiri" w:hAnsi="Amiri" w:eastAsia="Amiri" w:cs="Amiri"/>
          <w:color w:val="111111"/>
          <w:sz w:val="28"/>
          <w:sz w:val="28"/>
          <w:szCs w:val="28"/>
          <w:rtl w:val="true"/>
          <w:lang w:bidi="ar-SA"/>
        </w:rPr>
        <w:t>قد تشكل خطراً على الأغراض المولوية فيردع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ذكر صحيح، ولكن قد يراد من هذا القيد الانتفاع به في إثبات أن السيرة المتحققة في زماننا معاصرةٌ لزمان المعصوم على ما سيأتي في طرق إثبات المعاصرة، وعلى هذا يكون هذا القيد دخيلاً في الحجية بنحو أو بآخر</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يضاف إلى ذلك أنه يمكن إحراز القيد المذكور بتوسيط بعض المقدمات العقلية، كقضية أن الاتفاقي لا يكون أكثرياً ولا دائمياً، فإذا أحرزنا جريان كثير من الناس المختلفة ظروفهم على سلوك محدد نستطيع أن نقول إنه معلول لنكتة عقلائية واحدة موجودة عند عامة العقلاء، فيُفترض جريان العقلاء وفق تلك النكتة فعلاً أو 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من خلال نظرية حساب الاحتمالات المفيدة عادة بل دائماً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للاطمئنان، إلا إذا أدخلنا الفكرة التي أفادها السيد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العقل يلفظ القيم الصغيرة ويقفز من الاطمئنان إلى اليقين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bookmarkStart w:id="314" w:name="pg9142_80693"/>
    </w:p>
    <w:p>
      <w:pPr>
        <w:pStyle w:val="Heading4"/>
        <w:numPr>
          <w:ilvl w:val="3"/>
          <w:numId w:val="1"/>
        </w:numPr>
        <w:rPr/>
      </w:pPr>
      <w:bookmarkStart w:id="315" w:name="__RefHeading___Toc3266274_2870459653"/>
      <w:bookmarkStart w:id="316" w:name="_Toc118"/>
      <w:bookmarkEnd w:id="314"/>
      <w:bookmarkEnd w:id="315"/>
      <w:r>
        <w:rPr>
          <w:rtl w:val="true"/>
        </w:rPr>
        <w:t>القيد الثاني</w:t>
      </w:r>
      <w:r>
        <w:rPr>
          <w:rtl w:val="true"/>
        </w:rPr>
        <w:t xml:space="preserve">: </w:t>
      </w:r>
      <w:r>
        <w:rPr>
          <w:rtl w:val="true"/>
        </w:rPr>
        <w:t>أن يكون السلوك للعقلاء بما هم عقلاء</w:t>
      </w:r>
      <w:bookmarkEnd w:id="316"/>
    </w:p>
    <w:p>
      <w:pPr>
        <w:pStyle w:val="BookText"/>
        <w:rPr/>
      </w:pPr>
      <w:r>
        <w:rPr>
          <w:rFonts w:ascii="Amiri" w:hAnsi="Amiri" w:eastAsia="Amiri" w:cs="Amiri"/>
          <w:color w:val="111111"/>
          <w:sz w:val="28"/>
          <w:sz w:val="28"/>
          <w:szCs w:val="28"/>
          <w:rtl w:val="true"/>
          <w:lang w:bidi="ar-SA"/>
        </w:rPr>
        <w:t>القيد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السلوك للعقلاء بما هم عقلاء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ويحتمل استفادته من القيد الأوّل وإرادته منه، والمهم أن هذا القيد يراد به خصوص السلوك الناشئ من قرائح العقلاء الارتكازية، كما سيأتي في 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فتحصل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سيرة العقلاء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المصطلح الأصولي يراد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سلوك عام يصدر من جميع العقلاء بما هم 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تحديد للسيرة العقلائية العملية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تطلق السيرة العقلائية وتقيّد بالارتكازية </w:t>
      </w:r>
      <w:r>
        <w:rPr>
          <w:rStyle w:val="FootnoteAnchor"/>
          <w:rtl w:val="true"/>
        </w:rPr>
        <w:footnoteReference w:id="370"/>
      </w:r>
      <w:r>
        <w:rPr>
          <w:rFonts w:ascii="Amiri" w:hAnsi="Amiri" w:eastAsia="Amiri" w:cs="Amiri"/>
          <w:color w:val="111111"/>
          <w:sz w:val="28"/>
          <w:sz w:val="28"/>
          <w:szCs w:val="28"/>
          <w:rtl w:val="true"/>
          <w:lang w:bidi="ar-SA"/>
        </w:rPr>
        <w:t>في مقابل العملية، وسيأتي ذكرها في تقسيمات السيرة العقلائية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سيرة المتشرعة فيراد بها سلوك عام يصدر من فئة من الناس لا من جميعهم، بل بما هم متشرعة ومنتمون إلى دين أو مذهب، لا بما هم 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وبعض الأعلام المتأخرين </w:t>
      </w:r>
      <w:r>
        <w:rPr>
          <w:rStyle w:val="FootnoteAnchor"/>
          <w:rtl w:val="true"/>
        </w:rPr>
        <w:footnoteReference w:id="371"/>
      </w:r>
      <w:r>
        <w:rPr>
          <w:rFonts w:ascii="Amiri" w:hAnsi="Amiri" w:eastAsia="Amiri" w:cs="Amiri"/>
          <w:color w:val="111111"/>
          <w:sz w:val="28"/>
          <w:sz w:val="28"/>
          <w:szCs w:val="28"/>
          <w:rtl w:val="true"/>
          <w:lang w:bidi="ar-SA"/>
        </w:rPr>
        <w:t>ذكروا اصطلاحات أُخرى للسيرة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سيرة المتشرعة بالمعنى الأخص وأراد بها ما كان تشرعهم حيثية تعليلية للسلوك الخارجي حدوثاً وبقاء، وذلك بأن يكون مورد السيرة مسألة شرعية بحتة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سيرة المتشرعة بالمعنى الأعم، وهي ما مارسها المتشرعة بالفعل في دائرة الأحكام الشرعية وكانت مما تقتضيها القريحة العقلائية، فكان هناك تشرع وقريحة عقلائية، سواء كانت هذه الممارسة لمكان تشرعهم بأن سألوا الشارع واستأذنوا منه فأذن، أو بمقتضى عقلائيتهم ولكنّ الشارع لم يردع عن هذا السلوك، ففي كلا النحوين تكون السيرة ابتداءً وحدوثاً عقلائية، وبقاء متشرعية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السيرة العقلائية بالمعنى الأخص، وهي ما لم تمتد ويجر عليها المتشرعة في دائرة الأحكام الشرعية بالفعل، وإنما في معرض الامتداد بمقتضى الطبع والعادة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سيأتي توضيحه م، وعند إطلاق هؤلاء الأعلام للسيرة العقلائية يريدون به هذا المعنى</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ليست مجرد اصطلاحات، وإنما يترتب عليها اختلاف في ملاك الحجية والشرائط المعتبرة فيها كما سيتضح في طي الأبحاث القادمة</w:t>
      </w:r>
      <w:r>
        <w:rPr>
          <w:rFonts w:eastAsia="Amiri" w:cs="Amiri" w:ascii="Amiri" w:hAnsi="Amiri"/>
          <w:color w:val="111111"/>
          <w:sz w:val="28"/>
          <w:szCs w:val="28"/>
          <w:rtl w:val="true"/>
          <w:lang w:bidi="ar-SA"/>
        </w:rPr>
        <w:t xml:space="preserve">. </w:t>
      </w:r>
      <w:bookmarkStart w:id="317" w:name="pg9142_80695"/>
    </w:p>
    <w:p>
      <w:pPr>
        <w:pStyle w:val="Heading3"/>
        <w:numPr>
          <w:ilvl w:val="2"/>
          <w:numId w:val="1"/>
        </w:numPr>
        <w:rPr/>
      </w:pPr>
      <w:bookmarkStart w:id="318" w:name="__RefHeading___Toc3266276_2870459653"/>
      <w:bookmarkStart w:id="319" w:name="_Toc119"/>
      <w:bookmarkEnd w:id="317"/>
      <w:bookmarkEnd w:id="318"/>
      <w:r>
        <w:rPr>
          <w:rtl w:val="true"/>
        </w:rPr>
        <w:t>الفصل الأول</w:t>
      </w:r>
      <w:r>
        <w:rPr>
          <w:rtl w:val="true"/>
        </w:rPr>
        <w:t xml:space="preserve">: </w:t>
      </w:r>
      <w:r>
        <w:rPr>
          <w:rtl w:val="true"/>
        </w:rPr>
        <w:t>في تقسيمات السيرة العقلائية</w:t>
      </w:r>
      <w:bookmarkEnd w:id="319"/>
    </w:p>
    <w:p>
      <w:pPr>
        <w:pStyle w:val="Heading4"/>
        <w:numPr>
          <w:ilvl w:val="3"/>
          <w:numId w:val="1"/>
        </w:numPr>
        <w:rPr/>
      </w:pPr>
      <w:bookmarkStart w:id="320" w:name="__RefHeading___Toc3266278_2870459653"/>
      <w:bookmarkStart w:id="321" w:name="_Toc120"/>
      <w:bookmarkEnd w:id="320"/>
      <w:r>
        <w:rPr>
          <w:rtl w:val="true"/>
        </w:rPr>
        <w:t>التقسيم الأول</w:t>
      </w:r>
      <w:bookmarkEnd w:id="321"/>
    </w:p>
    <w:p>
      <w:pPr>
        <w:pStyle w:val="BookText"/>
        <w:rPr/>
      </w:pPr>
      <w:r>
        <w:rPr>
          <w:rFonts w:ascii="Amiri" w:hAnsi="Amiri" w:eastAsia="Amiri" w:cs="Amiri"/>
          <w:color w:val="111111"/>
          <w:sz w:val="28"/>
          <w:sz w:val="28"/>
          <w:szCs w:val="28"/>
          <w:rtl w:val="true"/>
          <w:lang w:bidi="ar-SA"/>
        </w:rPr>
        <w:t>انقسام السيرة باعتبار مقتضي السلوك الخارجي إلى مقتضي أصيل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ويعبر عنه بالطبيعي أيضاً، وإلى مقتض مكتسب وطارئ على النفس الإنسانية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الأصيل فنعني به القضايا المودعة في فطرة الإنسان والمرتكزة في ذهنه، والمعبر عنها بقريحة 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المكتسب فهو ما عدا ذلك، فقد تترسّخ في النفس بعض القضايا جرّاء الشرائع التي يؤمن بها الشخص أو العادات والتقاليد والأعراف الاجتماعية، أو الرؤى والأفكار، أو فتاوى الفقهاء، أو التربية أو الدعاية، أو غيرها</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التقسيم مبتن على ما هو المعروف من أن الله تعالى أودع في باطن الإنسان وقطرته تلك القضايا، وإلا فلو قلنا إنها تحصل بمرور الزمن ومن خلال التجارب والسلوك فإنه لا يصح التقسيم المذكور؛ إذ كلا القسمين سيكون من قبيل المقتضي المكتسب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صير روتها سلوكاً خارجياً منوط بتحقق موضوعها خارجاً، وفرق بين كينونتها في باطن الإنسان وصيرورتها سلوكاً خارجياً، فالثاني إنما يحصل بمرور </w:t>
      </w:r>
    </w:p>
    <w:p>
      <w:pPr>
        <w:pStyle w:val="BookText"/>
        <w:rPr/>
      </w:pPr>
      <w:r>
        <w:rPr>
          <w:rFonts w:ascii="IRNazanin" w:hAnsi="IRNazanin" w:eastAsia="IRNazanin"/>
          <w:color w:val="111111"/>
          <w:sz w:val="28"/>
          <w:sz w:val="28"/>
          <w:szCs w:val="28"/>
          <w:rtl w:val="true"/>
          <w:lang w:bidi="fa-IR"/>
        </w:rPr>
        <w:t>الزمن دون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ويفترق القسمان في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ميزان المقتضي والارتكاز الأصيل هو أن يكون موجوداً عند عامة العقلاء بخلاف المقتضي المكتسب، فإنّه يختلف باختلاف الظروف؛ لأنه معلول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والقسم الأول هو موضوع الأبحاث القادمة وإن أمكن اكتشاف الحكم الشرعي من القسم الثاني إذا استجمع شرائطه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سيأتي في أحد طرق إثبات المعاصرة أنها مبتنية على وحدة النكتة بين عامة العقلاء مهما اختلفت الأزمنة والمجتمعات وهذا إنما يتأتى في القسم الأول دون الثاني، وعلى أساس أن المقتضيات العقلائية لا تتكون بالتدريج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يختلف القسمان في طريقة الكشف عن الحكم الشرعي على بعض المباني، حيث اعتبر في القسم الأوّل كون الإمضاء وعدمه بمثابة المانع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مقتضي الحجية 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المقتضي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حاجة إلى جعل وإمضاء شرعي بخلافه في القسم الثاني حيث اعتبر الإمضاء للحجية على هذا المبنى</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نستظهره من كلمات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القسم الأول تكون ارتكازيته من أصل وجودها في فطرة الإنسان، وأما القسم الثاني فتحصل ارتكازيته بمرور الزمن من كثرة الممارسة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أفاده السيد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القسم الأول لو شدّ أحد الأفراد عن </w:t>
      </w:r>
      <w:bookmarkStart w:id="322" w:name="pg9142_80697"/>
    </w:p>
    <w:p>
      <w:pPr>
        <w:pStyle w:val="BookText"/>
        <w:rPr/>
      </w:pPr>
      <w:bookmarkEnd w:id="322"/>
      <w:r>
        <w:rPr>
          <w:rFonts w:ascii="Amiri" w:hAnsi="Amiri" w:eastAsia="Amiri" w:cs="Amiri"/>
          <w:color w:val="111111"/>
          <w:sz w:val="28"/>
          <w:sz w:val="28"/>
          <w:szCs w:val="28"/>
          <w:rtl w:val="true"/>
          <w:lang w:bidi="ar-SA"/>
        </w:rPr>
        <w:t xml:space="preserve">الطريقة المعتمدة فيه كان مورداً للملامة أو الاستغراب والسؤال ونحو ذلك من قبل العقلاء بحسب اختلاف الموارد وأما في القسم الثاني فلا يلام المخالف لطريقته أو يُسأل عن أنه كيف لم يدرك النكتة العامة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يختلف القسمان في المقدار الممضى، ففي القسم الأول يتأتى التساؤل من أنه هل هو بحدود النكتة المرتكزة أو بحدود الجري الخارجي، وقد لا يتأتى ذلك في القسم الثاني ولو في بعض المناشئ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وبهذه الفوارق يصح هذا التقسيم، ويكون ذا قيمة، وهكذا التقسيمات القادمة</w:t>
      </w:r>
      <w:r>
        <w:rPr>
          <w:rFonts w:eastAsia="Amiri" w:cs="Amiri" w:ascii="Amiri" w:hAnsi="Amiri"/>
          <w:color w:val="111111"/>
          <w:sz w:val="28"/>
          <w:szCs w:val="28"/>
          <w:rtl w:val="true"/>
          <w:lang w:bidi="ar-SA"/>
        </w:rPr>
        <w:t>.</w:t>
      </w:r>
    </w:p>
    <w:p>
      <w:pPr>
        <w:pStyle w:val="Heading4"/>
        <w:numPr>
          <w:ilvl w:val="3"/>
          <w:numId w:val="1"/>
        </w:numPr>
        <w:rPr/>
      </w:pPr>
      <w:bookmarkStart w:id="323" w:name="__RefHeading___Toc3266280_2870459653"/>
      <w:bookmarkStart w:id="324" w:name="_Toc121"/>
      <w:bookmarkEnd w:id="323"/>
      <w:r>
        <w:rPr>
          <w:rtl w:val="true"/>
        </w:rPr>
        <w:t>التقسيم الثاني</w:t>
      </w:r>
      <w:bookmarkEnd w:id="324"/>
    </w:p>
    <w:p>
      <w:pPr>
        <w:pStyle w:val="BookText"/>
        <w:rPr/>
      </w:pPr>
      <w:r>
        <w:rPr>
          <w:rFonts w:ascii="Amiri" w:hAnsi="Amiri" w:eastAsia="Amiri" w:cs="Amiri"/>
          <w:color w:val="111111"/>
          <w:sz w:val="28"/>
          <w:sz w:val="28"/>
          <w:szCs w:val="28"/>
          <w:rtl w:val="true"/>
          <w:lang w:bidi="ar-SA"/>
        </w:rPr>
        <w:t xml:space="preserve">انقسام السيرة باعتبار دائرة السلوك الخارجي،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يمتد بالفعل إلى دائرة الأحكام الشرعية، بأن جرى المتشرعة على وفقه فيها،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لا يمتد بالفعل</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تقدم أن هذين القسمين يختلفان في ملاك الحجية على رأي المحقق العراقي والسيد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 xml:space="preserve">) </w:t>
      </w:r>
      <w:r>
        <w:rPr>
          <w:rStyle w:val="FootnoteAnchor"/>
          <w:rtl w:val="true"/>
        </w:rPr>
        <w:footnoteReference w:id="376"/>
      </w:r>
      <w:r>
        <w:rPr>
          <w:rFonts w:ascii="Amiri" w:hAnsi="Amiri" w:eastAsia="Amiri" w:cs="Amiri"/>
          <w:color w:val="111111"/>
          <w:sz w:val="28"/>
          <w:sz w:val="28"/>
          <w:szCs w:val="28"/>
          <w:rtl w:val="true"/>
          <w:lang w:bidi="ar-SA"/>
        </w:rPr>
        <w:t>، فالسيرة الممتدة تكشف عن موقف الشارع كشف المعلول عن علته كسيرة المتشرعة البحتة، فلا يعقل فيها احتمال الردع حتى نحتاج إلى إحراز عدمه، بخلافه في السيرة غير الممتدة بالفعل إلى دائرة الأحكام الشرعية</w:t>
      </w:r>
      <w:r>
        <w:rPr>
          <w:rFonts w:eastAsia="Amiri" w:cs="Amiri" w:ascii="Amiri" w:hAnsi="Amiri"/>
          <w:color w:val="111111"/>
          <w:sz w:val="28"/>
          <w:szCs w:val="28"/>
          <w:rtl w:val="true"/>
          <w:lang w:bidi="ar-SA"/>
        </w:rPr>
        <w:t xml:space="preserve">. </w:t>
      </w:r>
      <w:bookmarkStart w:id="325" w:name="pg9142_80698"/>
    </w:p>
    <w:p>
      <w:pPr>
        <w:pStyle w:val="Heading4"/>
        <w:numPr>
          <w:ilvl w:val="3"/>
          <w:numId w:val="1"/>
        </w:numPr>
        <w:rPr/>
      </w:pPr>
      <w:bookmarkStart w:id="326" w:name="__RefHeading___Toc3266282_2870459653"/>
      <w:bookmarkStart w:id="327" w:name="_Toc122"/>
      <w:bookmarkEnd w:id="325"/>
      <w:bookmarkEnd w:id="326"/>
      <w:r>
        <w:rPr>
          <w:rtl w:val="true"/>
        </w:rPr>
        <w:t>التقسيم الثالث</w:t>
      </w:r>
      <w:bookmarkEnd w:id="327"/>
    </w:p>
    <w:p>
      <w:pPr>
        <w:pStyle w:val="BookText"/>
        <w:rPr/>
      </w:pPr>
      <w:r>
        <w:rPr>
          <w:rFonts w:ascii="Amiri" w:hAnsi="Amiri" w:eastAsia="Amiri" w:cs="Amiri"/>
          <w:color w:val="111111"/>
          <w:sz w:val="28"/>
          <w:sz w:val="28"/>
          <w:szCs w:val="28"/>
          <w:rtl w:val="true"/>
          <w:lang w:bidi="ar-SA"/>
        </w:rPr>
        <w:t xml:space="preserve">انقسامها باعتبار مجرى السيرة،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مجراها الحكم الشرعي إثباتاً ونفياً،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موضوع الحكم الشرعي أو متعلقه، أو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ويختلف هذان القسمان في أن الأوّل يحتاج إلى الإمضاء الشرعي دون الثاني، كما سيأتي</w:t>
      </w:r>
      <w:r>
        <w:rPr>
          <w:rFonts w:eastAsia="Amiri" w:cs="Amiri" w:ascii="Amiri" w:hAnsi="Amiri"/>
          <w:color w:val="111111"/>
          <w:sz w:val="28"/>
          <w:szCs w:val="28"/>
          <w:rtl w:val="true"/>
          <w:lang w:bidi="ar-SA"/>
        </w:rPr>
        <w:t>.</w:t>
      </w:r>
    </w:p>
    <w:p>
      <w:pPr>
        <w:pStyle w:val="Heading4"/>
        <w:numPr>
          <w:ilvl w:val="3"/>
          <w:numId w:val="1"/>
        </w:numPr>
        <w:rPr/>
      </w:pPr>
      <w:bookmarkStart w:id="328" w:name="__RefHeading___Toc3266284_2870459653"/>
      <w:bookmarkStart w:id="329" w:name="_Toc123"/>
      <w:bookmarkEnd w:id="328"/>
      <w:r>
        <w:rPr>
          <w:rtl w:val="true"/>
        </w:rPr>
        <w:t>التقسيم الرابع</w:t>
      </w:r>
      <w:bookmarkEnd w:id="329"/>
    </w:p>
    <w:p>
      <w:pPr>
        <w:pStyle w:val="BookText"/>
        <w:rPr/>
      </w:pPr>
      <w:r>
        <w:rPr>
          <w:rFonts w:ascii="Amiri" w:hAnsi="Amiri" w:eastAsia="Amiri" w:cs="Amiri"/>
          <w:color w:val="111111"/>
          <w:sz w:val="28"/>
          <w:sz w:val="28"/>
          <w:szCs w:val="28"/>
          <w:rtl w:val="true"/>
          <w:lang w:bidi="ar-SA"/>
        </w:rPr>
        <w:t>انقسام السيرة العقلائية باعتبار مساواة السلوك الخارجي للارتكاز وعدمه، فتنقسم إلى ما يكون السلوك الخارجي مساوياً لنكتتها الارتكازية، وإلى ما يكون السلوك جرياً على إحدى حصص الارتكاز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والبحث المعروف بأن المقدار الممضى هل هو بحدود النكتة الارتكازية وأوسع من الجري الخارجي أو لا إنما يتأتى في القسم الثاني</w:t>
      </w:r>
      <w:r>
        <w:rPr>
          <w:rFonts w:eastAsia="Amiri" w:cs="Amiri" w:ascii="Amiri" w:hAnsi="Amiri"/>
          <w:color w:val="111111"/>
          <w:sz w:val="28"/>
          <w:szCs w:val="28"/>
          <w:rtl w:val="true"/>
          <w:lang w:bidi="ar-SA"/>
        </w:rPr>
        <w:t>.</w:t>
      </w:r>
    </w:p>
    <w:p>
      <w:pPr>
        <w:pStyle w:val="Heading4"/>
        <w:numPr>
          <w:ilvl w:val="3"/>
          <w:numId w:val="1"/>
        </w:numPr>
        <w:rPr/>
      </w:pPr>
      <w:bookmarkStart w:id="330" w:name="__RefHeading___Toc3266286_2870459653"/>
      <w:bookmarkStart w:id="331" w:name="_Toc124"/>
      <w:bookmarkEnd w:id="330"/>
      <w:r>
        <w:rPr>
          <w:rtl w:val="true"/>
        </w:rPr>
        <w:t>التقسيم الخامس</w:t>
      </w:r>
      <w:bookmarkEnd w:id="331"/>
    </w:p>
    <w:p>
      <w:pPr>
        <w:pStyle w:val="Heading5"/>
        <w:numPr>
          <w:ilvl w:val="4"/>
          <w:numId w:val="1"/>
        </w:numPr>
        <w:rPr/>
      </w:pPr>
      <w:bookmarkStart w:id="332" w:name="__RefHeading___Toc3266288_2870459653"/>
      <w:bookmarkStart w:id="333" w:name="_Toc125"/>
      <w:bookmarkEnd w:id="332"/>
      <w:r>
        <w:rPr>
          <w:rtl w:val="true"/>
        </w:rPr>
        <w:t>اشارة</w:t>
      </w:r>
      <w:bookmarkEnd w:id="333"/>
    </w:p>
    <w:p>
      <w:pPr>
        <w:pStyle w:val="BookText"/>
        <w:rPr/>
      </w:pPr>
      <w:r>
        <w:rPr>
          <w:rFonts w:ascii="Amiri" w:hAnsi="Amiri" w:eastAsia="Amiri" w:cs="Amiri"/>
          <w:color w:val="111111"/>
          <w:sz w:val="28"/>
          <w:sz w:val="28"/>
          <w:szCs w:val="28"/>
          <w:rtl w:val="true"/>
          <w:lang w:bidi="ar-SA"/>
        </w:rPr>
        <w:t>انقسام السيرة باعتبار الحكم المثبت بها، 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يراد بها إثبات حكم واقعي،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يراد بها إثبات حكم ظاهري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والسيرة في القسم الأول ينبغي أن تكون جارية بلحاظ مرحلة الواقع، بمعنى أن الموقف الذي يتخذه العقلاء في هذه السيرة يمثل موقفاً تجاه الشيء بواقعه في نظر </w:t>
      </w:r>
      <w:bookmarkStart w:id="334" w:name="pg9142_80699"/>
    </w:p>
    <w:p>
      <w:pPr>
        <w:pStyle w:val="BookText"/>
        <w:rPr/>
      </w:pPr>
      <w:bookmarkEnd w:id="334"/>
      <w:r>
        <w:rPr>
          <w:rFonts w:ascii="Amiri" w:hAnsi="Amiri" w:eastAsia="Amiri" w:cs="Amiri"/>
          <w:color w:val="111111"/>
          <w:sz w:val="28"/>
          <w:sz w:val="28"/>
          <w:szCs w:val="28"/>
          <w:rtl w:val="true"/>
          <w:lang w:bidi="ar-SA"/>
        </w:rPr>
        <w:t>العقلاء، لا أنه بسبب الشك في أمر واقعي وفي مرحلة متأخرة عن هذا الشك، كالسيرة على إناطة جواز التصرف في مال الغير بطيب نفسه ولو لم يأذن لفظياً، والسيرة على تملك المباحات الأولية بالحيازة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السيرة في القسم الثاني فإن مجراها مرحلة الظاهر وعند الشك في أمر واقعي، كالسيرة على الأخذ بخبر الثقة في مورد ما، والاكتفاء بالظن الحاصل من قوله عند عدم العلم بحال ذاك المورد بواقعه والسيرة على الأخذ بظاهر الكلام عند عدم العلم بمراد المتكلم والاكتفاء بهكذا 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ويختلف هذان القسمان في كيفية الاستدلال بالسيرة العقلائية على الحكم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هناك حيثية في سيرة المتشرعة وهي كونهم منتمين إلى دين ومذهب، كما أن فيهم حيثية أنهم عقلاء، وما تستدعيه عقلائيتهم بلحاظ مرحلة الواقع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ممتداً إلى دائرة الأحكام الشرعية؛ لأنه ما من أمر واقعي إلا وله في لوح الواقع ونفس الأمر التشريعي حكم واقعي تكليفي أو وضعي، ومن ثم أي تصرف وسلوك بلحاظ هذه المرحلة هو ممتد إلى دائرة الأحكام الشرعية بالفعل، فإذا لم يكن ذاك التصرف مطابقاً لموقف الشارع فإنه يجب أن يردع عنه، فإذا لم يردع فهذا يعني المطابقة والإمضاء، وبذلك نستكشف الحكم الشرعي، هذا كله بلحاظ مرحلة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بلحاظ مرحلة الظاهر فهناك صور ثلاثة لهذه السيرة التي يراد الاستدلال بها على الحكم الشرعي الظاهري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كحجية خبر الثقة والظهور شرعاً</w:t>
      </w:r>
      <w:r>
        <w:rPr>
          <w:rFonts w:eastAsia="Amiri" w:cs="Amiri" w:ascii="Amiri" w:hAnsi="Amiri"/>
          <w:color w:val="111111"/>
          <w:sz w:val="28"/>
          <w:szCs w:val="28"/>
          <w:rtl w:val="true"/>
          <w:lang w:bidi="ar-SA"/>
        </w:rPr>
        <w:t>:</w:t>
      </w:r>
    </w:p>
    <w:p>
      <w:pPr>
        <w:pStyle w:val="Heading5"/>
        <w:numPr>
          <w:ilvl w:val="4"/>
          <w:numId w:val="1"/>
        </w:numPr>
        <w:rPr/>
      </w:pPr>
      <w:bookmarkStart w:id="335" w:name="__RefHeading___Toc3266290_2870459653"/>
      <w:bookmarkStart w:id="336" w:name="_Toc126"/>
      <w:bookmarkEnd w:id="335"/>
      <w:r>
        <w:rPr>
          <w:rtl w:val="true"/>
        </w:rPr>
        <w:t>الصورة الأولى</w:t>
      </w:r>
      <w:bookmarkEnd w:id="336"/>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يُستدلّ على حجية خبر الثقة والظهور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بسيرة </w:t>
      </w:r>
      <w:bookmarkStart w:id="337" w:name="pg9142_80700"/>
    </w:p>
    <w:p>
      <w:pPr>
        <w:pStyle w:val="BookText"/>
        <w:rPr/>
      </w:pPr>
      <w:bookmarkEnd w:id="337"/>
      <w:r>
        <w:rPr>
          <w:rFonts w:ascii="Amiri" w:hAnsi="Amiri" w:eastAsia="Amiri" w:cs="Amiri"/>
          <w:color w:val="111111"/>
          <w:sz w:val="28"/>
          <w:sz w:val="28"/>
          <w:szCs w:val="28"/>
          <w:rtl w:val="true"/>
          <w:lang w:bidi="ar-SA"/>
        </w:rPr>
        <w:t>العقلاء على الأخذ بخبر الثقة وبالظهور في دائرة الأحكام الشرعية بالفعل لأي سبب كان، فهنا يأتي الكلام المتقدم في القسم الأول من أنه إذا لم يكن الوصول إلى مراده من خلال ظهور كلامه، وأخذ أحكامه من أخبار الثقة مرضياً عنده فعليه أن يردع، فإذا لم يردع فهذا يعني أنه راضي، ومن ثم تثبت حجية خبر ال الثقة والظهور شرعاً</w:t>
      </w:r>
      <w:r>
        <w:rPr>
          <w:rFonts w:eastAsia="Amiri" w:cs="Amiri" w:ascii="Amiri" w:hAnsi="Amiri"/>
          <w:color w:val="111111"/>
          <w:sz w:val="28"/>
          <w:szCs w:val="28"/>
          <w:rtl w:val="true"/>
          <w:lang w:bidi="ar-SA"/>
        </w:rPr>
        <w:t>.</w:t>
      </w:r>
    </w:p>
    <w:p>
      <w:pPr>
        <w:pStyle w:val="Heading5"/>
        <w:numPr>
          <w:ilvl w:val="4"/>
          <w:numId w:val="1"/>
        </w:numPr>
        <w:rPr/>
      </w:pPr>
      <w:bookmarkStart w:id="338" w:name="__RefHeading___Toc3266292_2870459653"/>
      <w:bookmarkStart w:id="339" w:name="_Toc127"/>
      <w:bookmarkEnd w:id="338"/>
      <w:r>
        <w:rPr>
          <w:rtl w:val="true"/>
        </w:rPr>
        <w:t>الصورة الثانية</w:t>
      </w:r>
      <w:bookmarkEnd w:id="339"/>
    </w:p>
    <w:p>
      <w:pPr>
        <w:pStyle w:val="BookText"/>
        <w:rPr/>
      </w:pPr>
      <w:r>
        <w:rPr>
          <w:rFonts w:ascii="Amiri" w:hAnsi="Amiri" w:eastAsia="Amiri" w:cs="Amiri"/>
          <w:color w:val="111111"/>
          <w:sz w:val="28"/>
          <w:sz w:val="28"/>
          <w:szCs w:val="28"/>
          <w:rtl w:val="true"/>
          <w:lang w:bidi="ar-SA"/>
        </w:rPr>
        <w:t>أن يُستدل على الحجية بسيرة العقلاء على الأخذ بخبر الثقة والظهور في مجال تحصيل أغراضهم الشخصية التكوينية وفي دائرة أمورهم الحياتية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هذه الصورة يشكل الاستدلال بهكذا سيرة لإثبات الحجية؛ من جهة أن الحجية الأصولية يراد بها المنجزية والمعذرية، أو ما يفضي إليهما، وهما إنما يعقلان بالنسبة إلى الأغراض التشريعية التي فيها آمر ومأمور، لا بالنسبة إلى الأغراض</w:t>
      </w:r>
    </w:p>
    <w:p>
      <w:pPr>
        <w:pStyle w:val="BookText"/>
        <w:rPr/>
      </w:pPr>
      <w:r>
        <w:rPr>
          <w:rFonts w:ascii="Amiri" w:hAnsi="Amiri" w:eastAsia="Amiri" w:cs="Amiri"/>
          <w:color w:val="111111"/>
          <w:sz w:val="28"/>
          <w:sz w:val="28"/>
          <w:szCs w:val="28"/>
          <w:rtl w:val="true"/>
          <w:lang w:bidi="ar-SA"/>
        </w:rPr>
        <w:t>التكوينية، فلا يمكن الاستدلال بهكذا سيرة على الحجية الأصولية الشرعية</w:t>
      </w:r>
      <w:r>
        <w:rPr>
          <w:rFonts w:eastAsia="Amiri" w:cs="Amiri" w:ascii="Amiri" w:hAnsi="Amiri"/>
          <w:color w:val="111111"/>
          <w:sz w:val="28"/>
          <w:szCs w:val="28"/>
          <w:rtl w:val="true"/>
          <w:lang w:bidi="ar-SA"/>
        </w:rPr>
        <w:t>.</w:t>
      </w:r>
    </w:p>
    <w:p>
      <w:pPr>
        <w:pStyle w:val="Heading5"/>
        <w:numPr>
          <w:ilvl w:val="4"/>
          <w:numId w:val="1"/>
        </w:numPr>
        <w:rPr/>
      </w:pPr>
      <w:bookmarkStart w:id="340" w:name="__RefHeading___Toc3266294_2870459653"/>
      <w:bookmarkStart w:id="341" w:name="_Toc128"/>
      <w:bookmarkEnd w:id="340"/>
      <w:r>
        <w:rPr>
          <w:rtl w:val="true"/>
        </w:rPr>
        <w:t>الصورة الثالثة</w:t>
      </w:r>
      <w:bookmarkEnd w:id="341"/>
    </w:p>
    <w:p>
      <w:pPr>
        <w:pStyle w:val="BookText"/>
        <w:rPr/>
      </w:pPr>
      <w:r>
        <w:rPr>
          <w:rFonts w:ascii="Amiri" w:hAnsi="Amiri" w:eastAsia="Amiri" w:cs="Amiri"/>
          <w:color w:val="111111"/>
          <w:sz w:val="28"/>
          <w:sz w:val="28"/>
          <w:szCs w:val="28"/>
          <w:rtl w:val="true"/>
          <w:lang w:bidi="ar-SA"/>
        </w:rPr>
        <w:t>أن يُستدلّ على الحجية الأصولية بسيرة العقلاء على العمل بالظهور وخبر الثقة في مجال المولويات العرفية وأغراضهم التشريعية؛ حيث إن بناء العقلاء على إلزام كل من الأمر والمأمور بالظهور وبما يخبر به الثقة، ويرونه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وحقيقة هذه الصورة هي أنه لما كانت الحجية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المنجزية والمعذرية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شؤون المولى والأمر لا من شؤون المأمور، فهي ترجع إلى أن سيرة الأمرين انعقدت على أن كل آمر جعل خبر الثقة والظهور حجة فيما بينه وبين المأمور</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ويشكل على هذه الصورة بأنها لا تفوت على الشارع المقدس أغراضه حتى إذا لم يكن قد جعل الظهور وخبر الثقة حجّة بالنسبة إلى أحكامه؛ وذلك لأن هذه السيرة يمارسها كل 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منهم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نطاق أغراضه التشريعية مع مأموريه، ولا يعتني بالأغراض التشريعية للآخرين ويفترض بالأمرين والمأمورين العقلاء </w:t>
      </w:r>
    </w:p>
    <w:p>
      <w:pPr>
        <w:pStyle w:val="BookText"/>
        <w:rPr/>
      </w:pPr>
      <w:r>
        <w:rPr>
          <w:rFonts w:ascii="Amiri" w:hAnsi="Amiri" w:eastAsia="Amiri" w:cs="Amiri"/>
          <w:color w:val="111111"/>
          <w:sz w:val="28"/>
          <w:sz w:val="28"/>
          <w:szCs w:val="28"/>
          <w:rtl w:val="true"/>
          <w:lang w:bidi="ar-SA"/>
        </w:rPr>
        <w:t>أن لا يجروها في دائرة الأحكام الشرعية؛ إذ لم يثبت عندهم بحسب الفرض أن الشارع جعل أمارية الظهور وإخبار الثقة بالنسبة إلى أحكامه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وأجاب السيد الشهيد تكلل بأنه يمكن تصحيح الاستدلال بالصورتين الأخيرتين على أساس أنهما في معرض تشكيل خطر على أغراض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السيرة وإن كانت في أصلها بحدود الأغراض الشخصية التكوينية وبحدود المولويات العرفية، ولكن لما كانت سلوكاً يومياً اعتيادياً فسوف تشكل عادة وجبلة وفطرة ثانوية للإنسان بحيث يكون بابه باب العادة لا باب التعقل والتبصر، ومع تحوّل السلوك العقلائي من سلوك تبصر مدروس إلى سلوك عفوي جبلي فإنه لا يضمن بحسب الخارج أن لا يكون السير عليه أوسع من مأخذه الأولي، وهو دائرة الأغراض الشخصية والمولويات العرفية، وبعد هذا التوسع المحتمل قد يجري المتشرعة على وفق هذه العادة في الشرعيات معرضين أغراض المولى للخطر، وعندئذ ينبغي الردع عن مثل هكذا سيرة وإن لم تكن ممتدة بالفعل إلى دائرة الأحكام الشرعية في الصورتين الأخيرتين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ويلاحظ على ما ذكر</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العديد من الأعلام يبني على أن الشارع أحد العقلاء بل سيدهم</w:t>
      </w:r>
      <w:r>
        <w:rPr>
          <w:rStyle w:val="FootnoteAnchor"/>
          <w:rtl w:val="true"/>
        </w:rPr>
        <w:footnoteReference w:id="378"/>
      </w:r>
      <w:r>
        <w:rPr>
          <w:rFonts w:ascii="Amiri" w:hAnsi="Amiri" w:eastAsia="Amiri" w:cs="Amiri"/>
          <w:color w:val="111111"/>
          <w:sz w:val="28"/>
          <w:sz w:val="28"/>
          <w:szCs w:val="28"/>
          <w:rtl w:val="true"/>
          <w:lang w:bidi="ar-SA"/>
        </w:rPr>
        <w:t xml:space="preserve">، ومنهم من صرّح أن الأصل اتفاق عقلائية الشارع مع عقلائية العقلاء، وينبغي أن يبني الآخرون على ذلك، وإلا لا يكون معنى لمقولة أن الشارع أحد العقلاء وسيدهم، </w:t>
      </w:r>
    </w:p>
    <w:p>
      <w:pPr>
        <w:pStyle w:val="BookText"/>
        <w:rPr/>
      </w:pPr>
      <w:r>
        <w:rPr>
          <w:rFonts w:ascii="Amiri" w:hAnsi="Amiri" w:eastAsia="Amiri" w:cs="Amiri"/>
          <w:color w:val="111111"/>
          <w:sz w:val="28"/>
          <w:sz w:val="28"/>
          <w:szCs w:val="28"/>
          <w:rtl w:val="true"/>
          <w:lang w:bidi="ar-SA"/>
        </w:rPr>
        <w:t xml:space="preserve">وعلى هذا يمكن الاستدلال بالسيرة في الصورة الثالثة بلا حاجة إلى ما أفاده السيد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وسيأتي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مناقشة هكذا كلام، وجوابنا عليه</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غير واحد ومنهم السيد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افاداته</w:t>
      </w:r>
      <w:r>
        <w:rPr>
          <w:rFonts w:eastAsia="Amiri" w:cs="Amiri" w:ascii="Amiri" w:hAnsi="Amiri"/>
          <w:color w:val="111111"/>
          <w:sz w:val="28"/>
          <w:szCs w:val="28"/>
          <w:rtl w:val="true"/>
          <w:lang w:bidi="ar-SA"/>
        </w:rPr>
        <w:t xml:space="preserve">) </w:t>
      </w:r>
      <w:r>
        <w:rPr>
          <w:rStyle w:val="FootnoteAnchor"/>
          <w:rtl w:val="true"/>
        </w:rPr>
        <w:footnoteReference w:id="379"/>
      </w:r>
      <w:r>
        <w:rPr>
          <w:rFonts w:ascii="Amiri" w:hAnsi="Amiri" w:eastAsia="Amiri" w:cs="Amiri"/>
          <w:color w:val="111111"/>
          <w:sz w:val="28"/>
          <w:sz w:val="28"/>
          <w:szCs w:val="28"/>
          <w:rtl w:val="true"/>
          <w:lang w:bidi="ar-SA"/>
        </w:rPr>
        <w:t xml:space="preserve">من أنه لا بد من الامتداد إلى دائرة الأحكام الشرعية ولا تكفي المعرضية للامتداد، بل لا بد أن يكون الامتداد بدرجة كبيرة حتى تثبت الملازمة في 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ردع لظهر ووصل إلينا وبان</w:t>
      </w:r>
      <w:r>
        <w:rPr>
          <w:rFonts w:eastAsia="Amiri" w:cs="Amiri" w:ascii="Amiri" w:hAnsi="Amiri"/>
          <w:color w:val="111111"/>
          <w:sz w:val="28"/>
          <w:szCs w:val="28"/>
          <w:rtl w:val="true"/>
          <w:lang w:bidi="ar-SA"/>
        </w:rPr>
        <w:t xml:space="preserve">). </w:t>
      </w:r>
      <w:bookmarkStart w:id="342" w:name="pg9142_80703"/>
    </w:p>
    <w:p>
      <w:pPr>
        <w:pStyle w:val="Heading3"/>
        <w:numPr>
          <w:ilvl w:val="2"/>
          <w:numId w:val="1"/>
        </w:numPr>
        <w:rPr/>
      </w:pPr>
      <w:bookmarkStart w:id="343" w:name="__RefHeading___Toc3266296_2870459653"/>
      <w:bookmarkStart w:id="344" w:name="_Toc129"/>
      <w:bookmarkEnd w:id="342"/>
      <w:bookmarkEnd w:id="343"/>
      <w:r>
        <w:rPr>
          <w:rtl w:val="true"/>
        </w:rPr>
        <w:t>الفصل الثاني</w:t>
      </w:r>
      <w:r>
        <w:rPr>
          <w:rtl w:val="true"/>
        </w:rPr>
        <w:t xml:space="preserve">: </w:t>
      </w:r>
      <w:r>
        <w:rPr>
          <w:rtl w:val="true"/>
        </w:rPr>
        <w:t>في كيفية الاستدلال بالسيرة العقلائية على الحكم الشرعي إثباتاً ونفياً</w:t>
      </w:r>
      <w:bookmarkEnd w:id="344"/>
    </w:p>
    <w:p>
      <w:pPr>
        <w:pStyle w:val="Heading4"/>
        <w:numPr>
          <w:ilvl w:val="3"/>
          <w:numId w:val="1"/>
        </w:numPr>
        <w:rPr/>
      </w:pPr>
      <w:bookmarkStart w:id="345" w:name="__RefHeading___Toc3266298_2870459653"/>
      <w:bookmarkStart w:id="346" w:name="_Toc130"/>
      <w:bookmarkEnd w:id="345"/>
      <w:r>
        <w:rPr>
          <w:rtl w:val="true"/>
        </w:rPr>
        <w:t>اشارة</w:t>
      </w:r>
      <w:bookmarkEnd w:id="346"/>
    </w:p>
    <w:p>
      <w:pPr>
        <w:pStyle w:val="BookText"/>
        <w:rPr/>
      </w:pPr>
      <w:r>
        <w:rPr>
          <w:rFonts w:ascii="Amiri" w:hAnsi="Amiri" w:eastAsia="Amiri" w:cs="Amiri"/>
          <w:color w:val="111111"/>
          <w:sz w:val="28"/>
          <w:sz w:val="28"/>
          <w:szCs w:val="28"/>
          <w:rtl w:val="true"/>
          <w:lang w:bidi="ar-SA"/>
        </w:rPr>
        <w:t>السيرة العقلائية في حد نفسها لا تُثبت لنا حكماً شرعياً؛ لأنها بناء للعقلاء لا غير، وما حكم العقل بلزوم امتثاله هو حكم الشارع وليس حكم العقلاء، ولكن السيرة تكشف لنا عنه في ظل شروط محدّدة متى ما توفّرت هذه الشروط دلّت السيرة على الحكم الشرعي، وهذه الشروط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يثبت للشارع موقف تجاه السيرة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نطلع على ذلك الموقف؛ إذ لا ينكشف لنا الحكم بمجرد صدور الموقف واقعاً، وإنما بعد اطلاعنا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معاصرة السيرة لوجود الشارع؛ لمكان أن صدور الموقف منه تجاه السيرة يستدعي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امتداد السيرة إلى دائرة الأحكام الشرعية،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كونها في معرض الامتداد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إمكان الردع عقلاً وعرفاً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احتمال الارتداع عند الردع، وقد ذكره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سيرة </w:t>
      </w:r>
      <w:bookmarkStart w:id="347" w:name="pg9142_80704"/>
    </w:p>
    <w:p>
      <w:pPr>
        <w:pStyle w:val="BookText"/>
        <w:rPr/>
      </w:pPr>
      <w:bookmarkEnd w:id="347"/>
      <w:r>
        <w:rPr>
          <w:rFonts w:ascii="Amiri" w:hAnsi="Amiri" w:eastAsia="Amiri" w:cs="Amiri"/>
          <w:color w:val="111111"/>
          <w:sz w:val="28"/>
          <w:sz w:val="28"/>
          <w:szCs w:val="28"/>
          <w:rtl w:val="true"/>
          <w:lang w:bidi="ar-SA"/>
        </w:rPr>
        <w:t>المتشرعة</w:t>
      </w:r>
      <w:r>
        <w:rPr>
          <w:rStyle w:val="FootnoteAnchor"/>
          <w:rtl w:val="true"/>
        </w:rPr>
        <w:footnoteReference w:id="381"/>
      </w:r>
      <w:r>
        <w:rPr>
          <w:rFonts w:ascii="Amiri" w:hAnsi="Amiri" w:eastAsia="Amiri" w:cs="Amiri"/>
          <w:color w:val="111111"/>
          <w:sz w:val="28"/>
          <w:sz w:val="28"/>
          <w:szCs w:val="28"/>
          <w:rtl w:val="true"/>
          <w:lang w:bidi="ar-SA"/>
        </w:rPr>
        <w:t>، وهو يومئ بأن مناط الردع عند عدم قبول السيرة هو الأمر بالمعروف والنهي عن المنكر ولكنه شرط عام؛ فإنّ الحكيم بالحكمة العقلائية العامة لا يطلب شيئاً من أناس يعلم بعدم إجابتهم له إلا إذا كان له غرض آخر غير إطاعته وراء طلبه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وتفصيل هذه الشروط كما يلي</w:t>
      </w:r>
      <w:r>
        <w:rPr>
          <w:rFonts w:eastAsia="Amiri" w:cs="Amiri" w:ascii="Amiri" w:hAnsi="Amiri"/>
          <w:color w:val="111111"/>
          <w:sz w:val="28"/>
          <w:szCs w:val="28"/>
          <w:rtl w:val="true"/>
          <w:lang w:bidi="ar-SA"/>
        </w:rPr>
        <w:t>:</w:t>
      </w:r>
    </w:p>
    <w:p>
      <w:pPr>
        <w:pStyle w:val="Heading4"/>
        <w:numPr>
          <w:ilvl w:val="3"/>
          <w:numId w:val="1"/>
        </w:numPr>
        <w:rPr/>
      </w:pPr>
      <w:bookmarkStart w:id="348" w:name="__RefHeading___Toc3266300_2870459653"/>
      <w:bookmarkStart w:id="349" w:name="_Toc131"/>
      <w:bookmarkEnd w:id="348"/>
      <w:r>
        <w:rPr>
          <w:rtl w:val="true"/>
        </w:rPr>
        <w:t>الشرط الأول</w:t>
      </w:r>
      <w:r>
        <w:rPr>
          <w:rtl w:val="true"/>
        </w:rPr>
        <w:t xml:space="preserve">: </w:t>
      </w:r>
      <w:r>
        <w:rPr>
          <w:rtl w:val="true"/>
        </w:rPr>
        <w:t>ثبوت موقف للشارع</w:t>
      </w:r>
      <w:bookmarkEnd w:id="349"/>
    </w:p>
    <w:p>
      <w:pPr>
        <w:pStyle w:val="Heading5"/>
        <w:numPr>
          <w:ilvl w:val="4"/>
          <w:numId w:val="1"/>
        </w:numPr>
        <w:rPr/>
      </w:pPr>
      <w:bookmarkStart w:id="350" w:name="__RefHeading___Toc3266302_2870459653"/>
      <w:bookmarkStart w:id="351" w:name="_Toc132"/>
      <w:bookmarkEnd w:id="350"/>
      <w:r>
        <w:rPr>
          <w:rtl w:val="true"/>
        </w:rPr>
        <w:t>اشارة</w:t>
      </w:r>
      <w:bookmarkEnd w:id="351"/>
    </w:p>
    <w:p>
      <w:pPr>
        <w:pStyle w:val="BookText"/>
        <w:rPr/>
      </w:pPr>
      <w:r>
        <w:rPr>
          <w:rFonts w:ascii="Amiri" w:hAnsi="Amiri" w:eastAsia="Amiri" w:cs="Amiri"/>
          <w:color w:val="111111"/>
          <w:sz w:val="28"/>
          <w:sz w:val="28"/>
          <w:szCs w:val="28"/>
          <w:rtl w:val="true"/>
          <w:lang w:bidi="ar-SA"/>
        </w:rPr>
        <w:t xml:space="preserve">إن موقف الشارع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على سبيل التصريح بالإمضاء أو الردع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على سبيل السكوت وعدم الردع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والأغلب هو الثاني، وبحث السيرة إنما هو معقود لأجله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كلام في دلالة التصريح على الردع أو الإمضاء، وإنما الكلام في كفاية دلالة السكوت وعدم الردع بمجرده على الإمضاء وعدم كفايته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والسائد أن السكوت وعدم الردع دال على الإمضاء، ويعبر عن ذلك بقضية شرطية مفادها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لم يرضَ لردع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وإزاء هذه القضية اتجاهات ثلاثة</w:t>
      </w:r>
      <w:r>
        <w:rPr>
          <w:rFonts w:eastAsia="Amiri" w:cs="Amiri" w:ascii="Amiri" w:hAnsi="Amiri"/>
          <w:color w:val="111111"/>
          <w:sz w:val="28"/>
          <w:szCs w:val="28"/>
          <w:rtl w:val="true"/>
          <w:lang w:bidi="ar-SA"/>
        </w:rPr>
        <w:t>:</w:t>
      </w:r>
    </w:p>
    <w:p>
      <w:pPr>
        <w:pStyle w:val="Heading5"/>
        <w:numPr>
          <w:ilvl w:val="4"/>
          <w:numId w:val="1"/>
        </w:numPr>
        <w:rPr/>
      </w:pPr>
      <w:bookmarkStart w:id="352" w:name="__RefHeading___Toc3266304_2870459653"/>
      <w:bookmarkStart w:id="353" w:name="_Toc133"/>
      <w:bookmarkEnd w:id="352"/>
      <w:r>
        <w:rPr>
          <w:rtl w:val="true"/>
        </w:rPr>
        <w:t>الاتجاه الأول</w:t>
      </w:r>
      <w:bookmarkEnd w:id="353"/>
    </w:p>
    <w:p>
      <w:pPr>
        <w:pStyle w:val="Heading6"/>
        <w:numPr>
          <w:ilvl w:val="5"/>
          <w:numId w:val="1"/>
        </w:numPr>
        <w:rPr/>
      </w:pPr>
      <w:bookmarkStart w:id="354" w:name="__RefHeading___Toc3266306_2870459653"/>
      <w:bookmarkStart w:id="355" w:name="_Toc134"/>
      <w:bookmarkEnd w:id="354"/>
      <w:r>
        <w:rPr>
          <w:rtl w:val="true"/>
        </w:rPr>
        <w:t>اشارة</w:t>
      </w:r>
      <w:bookmarkEnd w:id="355"/>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الاتجاه الأول</w:t>
      </w:r>
      <w:r>
        <w:rPr>
          <w:rStyle w:val="FootnoteAnchor"/>
          <w:rtl w:val="true"/>
        </w:rPr>
        <w:footnoteReference w:id="3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السيرة العقلائية الممتدة إلى دائرة الأحكام الشرعية وإلى غير الممتدة، حيث ذكرت ثلاث صور</w:t>
      </w:r>
      <w:r>
        <w:rPr>
          <w:rFonts w:eastAsia="Amiri" w:cs="Amiri" w:ascii="Amiri" w:hAnsi="Amiri"/>
          <w:color w:val="111111"/>
          <w:sz w:val="28"/>
          <w:szCs w:val="28"/>
          <w:rtl w:val="true"/>
          <w:lang w:bidi="ar-SA"/>
        </w:rPr>
        <w:t xml:space="preserve">: </w:t>
      </w:r>
      <w:bookmarkStart w:id="356" w:name="pg9142_80705"/>
    </w:p>
    <w:p>
      <w:pPr>
        <w:pStyle w:val="Heading6"/>
        <w:numPr>
          <w:ilvl w:val="5"/>
          <w:numId w:val="1"/>
        </w:numPr>
        <w:rPr/>
      </w:pPr>
      <w:bookmarkStart w:id="357" w:name="__RefHeading___Toc3266308_2870459653"/>
      <w:bookmarkStart w:id="358" w:name="_Toc135"/>
      <w:bookmarkEnd w:id="356"/>
      <w:bookmarkEnd w:id="357"/>
      <w:r>
        <w:rPr>
          <w:rtl w:val="true"/>
        </w:rPr>
        <w:t>الصورة الأولى</w:t>
      </w:r>
      <w:bookmarkEnd w:id="358"/>
    </w:p>
    <w:p>
      <w:pPr>
        <w:pStyle w:val="BookText"/>
        <w:rPr/>
      </w:pPr>
      <w:r>
        <w:rPr>
          <w:rFonts w:ascii="Amiri" w:hAnsi="Amiri" w:eastAsia="Amiri" w:cs="Amiri"/>
          <w:color w:val="111111"/>
          <w:sz w:val="28"/>
          <w:sz w:val="28"/>
          <w:szCs w:val="28"/>
          <w:rtl w:val="true"/>
          <w:lang w:bidi="ar-SA"/>
        </w:rPr>
        <w:t>السيرة العقلائية غير الممتدة إلى الأحكام الشرعية إلا أنها في معرض الامتداد</w:t>
      </w:r>
      <w:r>
        <w:rPr>
          <w:rFonts w:eastAsia="Amiri" w:cs="Amiri" w:ascii="Amiri" w:hAnsi="Amiri"/>
          <w:color w:val="111111"/>
          <w:sz w:val="28"/>
          <w:szCs w:val="28"/>
          <w:rtl w:val="true"/>
          <w:lang w:bidi="ar-SA"/>
        </w:rPr>
        <w:t>.</w:t>
      </w:r>
    </w:p>
    <w:p>
      <w:pPr>
        <w:pStyle w:val="Heading6"/>
        <w:numPr>
          <w:ilvl w:val="5"/>
          <w:numId w:val="1"/>
        </w:numPr>
        <w:rPr/>
      </w:pPr>
      <w:bookmarkStart w:id="359" w:name="__RefHeading___Toc3266310_2870459653"/>
      <w:bookmarkStart w:id="360" w:name="_Toc136"/>
      <w:bookmarkEnd w:id="359"/>
      <w:r>
        <w:rPr>
          <w:rtl w:val="true"/>
        </w:rPr>
        <w:t>الصورة الثانية</w:t>
      </w:r>
      <w:bookmarkEnd w:id="360"/>
    </w:p>
    <w:p>
      <w:pPr>
        <w:pStyle w:val="BookText"/>
        <w:rPr/>
      </w:pPr>
      <w:r>
        <w:rPr>
          <w:rFonts w:ascii="Amiri" w:hAnsi="Amiri" w:eastAsia="Amiri" w:cs="Amiri"/>
          <w:color w:val="111111"/>
          <w:sz w:val="28"/>
          <w:sz w:val="28"/>
          <w:szCs w:val="28"/>
          <w:rtl w:val="true"/>
          <w:lang w:bidi="ar-SA"/>
        </w:rPr>
        <w:t xml:space="preserve">السيرة العقلانية الممتدة إلى دائرة الأحكام الشرعية، بحيث يكون جري المتشرعة إنّما هو لأجل النكتة العقلائية ولو من جهة استحكامها وشدّة سيطرتها على العقلاء، بحيث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شعورياً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أجروها في دائرة الأحكام الشرعية</w:t>
      </w:r>
      <w:r>
        <w:rPr>
          <w:rFonts w:eastAsia="Amiri" w:cs="Amiri" w:ascii="Amiri" w:hAnsi="Amiri"/>
          <w:color w:val="111111"/>
          <w:sz w:val="28"/>
          <w:szCs w:val="28"/>
          <w:rtl w:val="true"/>
          <w:lang w:bidi="ar-SA"/>
        </w:rPr>
        <w:t>.</w:t>
      </w:r>
    </w:p>
    <w:p>
      <w:pPr>
        <w:pStyle w:val="Heading6"/>
        <w:numPr>
          <w:ilvl w:val="5"/>
          <w:numId w:val="1"/>
        </w:numPr>
        <w:rPr/>
      </w:pPr>
      <w:bookmarkStart w:id="361" w:name="__RefHeading___Toc3266312_2870459653"/>
      <w:bookmarkStart w:id="362" w:name="_Toc137"/>
      <w:bookmarkEnd w:id="361"/>
      <w:r>
        <w:rPr>
          <w:rtl w:val="true"/>
        </w:rPr>
        <w:t>الصورة الثالثة</w:t>
      </w:r>
      <w:bookmarkEnd w:id="362"/>
    </w:p>
    <w:p>
      <w:pPr>
        <w:pStyle w:val="BookText"/>
        <w:rPr/>
      </w:pPr>
      <w:r>
        <w:rPr>
          <w:rFonts w:ascii="Amiri" w:hAnsi="Amiri" w:eastAsia="Amiri" w:cs="Amiri"/>
          <w:color w:val="111111"/>
          <w:sz w:val="28"/>
          <w:sz w:val="28"/>
          <w:szCs w:val="28"/>
          <w:rtl w:val="true"/>
          <w:lang w:bidi="ar-SA"/>
        </w:rPr>
        <w:t>السيرة العقلائية الممتدة إلى دائرة الأحكام الشرعية ولكن لا من جهة النكتة العقلائية، وإنما لأجل كونهم متشرعة استأذنوا من المشرع في العمل بهكذا سيرة في دائرة أحكامه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أصحاب هذا الاتجاه أنه في الصورة الأخيرة لا نحتاج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يرض لردع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الموقف صريح في إجراء ما تقتضيه النكتة العقلائية في دائرة الأحكام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الصورتين الأوليتين فلا بد لهما من هذه القضية، وإثبات أن عدم الردع دال على الإمضاء</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ذكر السيد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الصورتين الأخيرتين في دورته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وأوضحها المقرر في الهامش، ولكن في دورته الأخيرة لم يفصل واقتصر على الصورة الثالثة، وكأنهما محتملتان ثبوتاً، ولكن إثباتاً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القدر المتيقن هي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حصل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وثوق بأن السائد هي الصورة الثالثة، فأفاد في مقام إثباتها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النزعة العقلائية وإن كانت تقتضي الجري على طبقها إلا أن المتشرعة حيث إنهم متشرعون فاحتمال أنهم جميعاً قد غفلوا عن حكم المسألة شرعاً وانساقوا وراء طباعهم العقلائية من </w:t>
      </w:r>
      <w:bookmarkStart w:id="363" w:name="pg9142_80706"/>
    </w:p>
    <w:p>
      <w:pPr>
        <w:pStyle w:val="BookText"/>
        <w:rPr/>
      </w:pPr>
      <w:bookmarkEnd w:id="363"/>
      <w:r>
        <w:rPr>
          <w:rFonts w:ascii="Amiri" w:hAnsi="Amiri" w:eastAsia="Amiri" w:cs="Amiri"/>
          <w:color w:val="111111"/>
          <w:sz w:val="28"/>
          <w:sz w:val="28"/>
          <w:szCs w:val="28"/>
          <w:rtl w:val="true"/>
          <w:lang w:bidi="ar-SA"/>
        </w:rPr>
        <w:t>دون سؤال واستفسار أو تفهم للموقف الشرعي ولو روحاً في مسألة داخلة في محل ابتلائهم كثيراً، منفي بحساب الاحتمالات</w:t>
      </w:r>
      <w:r>
        <w:rPr>
          <w:rFonts w:eastAsia="Amiri" w:cs="Amiri" w:ascii="Amiri" w:hAnsi="Amiri"/>
          <w:color w:val="111111"/>
          <w:sz w:val="28"/>
          <w:szCs w:val="28"/>
          <w:rtl w:val="true"/>
          <w:lang w:bidi="ar-SA"/>
        </w:rPr>
        <w:t xml:space="preserve">)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4" w:name="__RefHeading___Toc3266314_2870459653"/>
      <w:bookmarkStart w:id="365" w:name="_Toc138"/>
      <w:bookmarkEnd w:id="364"/>
      <w:r>
        <w:rPr>
          <w:rtl w:val="true"/>
        </w:rPr>
        <w:t>الاتجاه الثاني</w:t>
      </w:r>
      <w:bookmarkEnd w:id="365"/>
    </w:p>
    <w:p>
      <w:pPr>
        <w:pStyle w:val="BookText"/>
        <w:rPr/>
      </w:pPr>
      <w:r>
        <w:rPr>
          <w:rFonts w:ascii="Amiri" w:hAnsi="Amiri" w:eastAsia="Amiri" w:cs="Amiri"/>
          <w:color w:val="111111"/>
          <w:sz w:val="28"/>
          <w:sz w:val="28"/>
          <w:szCs w:val="28"/>
          <w:rtl w:val="true"/>
          <w:lang w:bidi="ar-SA"/>
        </w:rPr>
        <w:t xml:space="preserve">ما ذكره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التفصيل بين المعاملات وغيرها، فذكر أنه في غير المعاملات يكفي عدم الردع لثبوت الإمضاء، وأما في المعاملات فلم يستبعد الحاجة إلى الإمضاء؛ لأنها من الأمور الاعتبارية التي تتوقف صحتها على اعتبارها، ولو كان المعتبر غير الشارع فلا بد من إمضاء ذلك ولو بالعموم أو الإطلاق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6" w:name="__RefHeading___Toc3266316_2870459653"/>
      <w:bookmarkStart w:id="367" w:name="_Toc139"/>
      <w:bookmarkEnd w:id="366"/>
      <w:r>
        <w:rPr>
          <w:rtl w:val="true"/>
        </w:rPr>
        <w:t>الاتجاه الثالث</w:t>
      </w:r>
      <w:bookmarkEnd w:id="367"/>
    </w:p>
    <w:p>
      <w:pPr>
        <w:pStyle w:val="Heading6"/>
        <w:numPr>
          <w:ilvl w:val="5"/>
          <w:numId w:val="1"/>
        </w:numPr>
        <w:rPr/>
      </w:pPr>
      <w:bookmarkStart w:id="368" w:name="__RefHeading___Toc3266318_2870459653"/>
      <w:bookmarkStart w:id="369" w:name="_Toc140"/>
      <w:bookmarkEnd w:id="368"/>
      <w:r>
        <w:rPr>
          <w:rtl w:val="true"/>
        </w:rPr>
        <w:t>اشارة</w:t>
      </w:r>
      <w:bookmarkEnd w:id="369"/>
    </w:p>
    <w:p>
      <w:pPr>
        <w:pStyle w:val="BookText"/>
        <w:rPr/>
      </w:pPr>
      <w:r>
        <w:rPr>
          <w:rFonts w:ascii="Amiri" w:hAnsi="Amiri" w:eastAsia="Amiri" w:cs="Amiri"/>
          <w:color w:val="111111"/>
          <w:sz w:val="28"/>
          <w:sz w:val="28"/>
          <w:szCs w:val="28"/>
          <w:rtl w:val="true"/>
          <w:lang w:bidi="ar-SA"/>
        </w:rPr>
        <w:t>وهو الصحيح، ونوضحه في نقاط ثلاثة</w:t>
      </w:r>
      <w:r>
        <w:rPr>
          <w:rFonts w:eastAsia="Amiri" w:cs="Amiri" w:ascii="Amiri" w:hAnsi="Amiri"/>
          <w:color w:val="111111"/>
          <w:sz w:val="28"/>
          <w:szCs w:val="28"/>
          <w:rtl w:val="true"/>
          <w:lang w:bidi="ar-SA"/>
        </w:rPr>
        <w:t>:</w:t>
      </w:r>
    </w:p>
    <w:p>
      <w:pPr>
        <w:pStyle w:val="Heading6"/>
        <w:numPr>
          <w:ilvl w:val="5"/>
          <w:numId w:val="1"/>
        </w:numPr>
        <w:rPr/>
      </w:pPr>
      <w:bookmarkStart w:id="370" w:name="__RefHeading___Toc3266320_2870459653"/>
      <w:bookmarkStart w:id="371" w:name="_Toc141"/>
      <w:bookmarkEnd w:id="370"/>
      <w:r>
        <w:rPr>
          <w:rtl w:val="true"/>
        </w:rPr>
        <w:t>النقطة الأولى</w:t>
      </w:r>
      <w:bookmarkEnd w:id="371"/>
    </w:p>
    <w:p>
      <w:pPr>
        <w:pStyle w:val="BookText"/>
        <w:rPr/>
      </w:pPr>
      <w:r>
        <w:rPr>
          <w:rFonts w:ascii="Amiri" w:hAnsi="Amiri" w:eastAsia="Amiri" w:cs="Amiri"/>
          <w:color w:val="111111"/>
          <w:sz w:val="28"/>
          <w:sz w:val="28"/>
          <w:szCs w:val="28"/>
          <w:rtl w:val="true"/>
          <w:lang w:bidi="ar-SA"/>
        </w:rPr>
        <w:t>لا وثوق عندنا في أن السيرة بمجرد كونها في معرض الامتداد يبدي الشارع موقفاً تجاهها، ولم يُعهد مثل ذلك من العقلاء إلا في موارد استثنائية لا يصح الاعتماد عليها كمنهج عام، فالقدر المتيقن هو أن الشارع يتخذ موقفاً فيما لو امتدت السيرة إلى أحكامه وعرضتها إلى الخطر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لم تكن أحكام الشارع جميعها بالغة الأهمية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بنحو يجب حفظها على كل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تتفاوت أهمية، فقد تستدعي الحفظ في حال وعدم الحفظ في حال أُخرى، ولا يعلم أن مورد السيرة من أي الحالين، فإنّه لا بد من الامتداد بصورة واسعة، ففي مثل هذه الحال نطمأن بأن الشارع يبدي موقفاً تجاه السيرة</w:t>
      </w:r>
      <w:r>
        <w:rPr>
          <w:rFonts w:eastAsia="Amiri" w:cs="Amiri" w:ascii="Amiri" w:hAnsi="Amiri"/>
          <w:color w:val="111111"/>
          <w:sz w:val="28"/>
          <w:szCs w:val="28"/>
          <w:rtl w:val="true"/>
          <w:lang w:bidi="ar-SA"/>
        </w:rPr>
        <w:t>.</w:t>
      </w:r>
    </w:p>
    <w:p>
      <w:pPr>
        <w:pStyle w:val="Heading6"/>
        <w:numPr>
          <w:ilvl w:val="5"/>
          <w:numId w:val="1"/>
        </w:numPr>
        <w:rPr/>
      </w:pPr>
      <w:bookmarkStart w:id="372" w:name="__RefHeading___Toc3266322_2870459653"/>
      <w:bookmarkStart w:id="373" w:name="_Toc142"/>
      <w:bookmarkEnd w:id="372"/>
      <w:r>
        <w:rPr>
          <w:rtl w:val="true"/>
        </w:rPr>
        <w:t>النقطة الثانية</w:t>
      </w:r>
      <w:bookmarkEnd w:id="373"/>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القدر المتيقن من الصورتين الأخيرتين هي الثانية لا الثالثة؛ </w:t>
      </w:r>
      <w:bookmarkStart w:id="374" w:name="pg9142_80707"/>
    </w:p>
    <w:p>
      <w:pPr>
        <w:pStyle w:val="BookText"/>
        <w:rPr/>
      </w:pPr>
      <w:bookmarkEnd w:id="374"/>
      <w:r>
        <w:rPr>
          <w:rFonts w:ascii="Amiri" w:hAnsi="Amiri" w:eastAsia="Amiri" w:cs="Amiri"/>
          <w:color w:val="111111"/>
          <w:sz w:val="28"/>
          <w:sz w:val="28"/>
          <w:szCs w:val="28"/>
          <w:rtl w:val="true"/>
          <w:lang w:bidi="ar-SA"/>
        </w:rPr>
        <w:t>لأنه من المحتمل جداً كون رسوخ واستحكام السيرة يفضي إلى غفلة المتشرعة عن احتمال وجود فرق بين الشارع والعقلاء، ولأجل ذلك قد لا يسألون الشارع عن رأيه، ولذا لم يصل إلينا أنهم سألوا الشارع عن جواز استفادة مراده من ظاهر كلماته، ولم يسألوا عن العمل بالاطمئنان وخبر الثقة بعناوينها، وهذا الاحتمال معتد به ومؤثر في حساب الاحتمالات المذكور، ومن ثم قد لا يحصل الاطمئنان بأن سلوك المتشرعة في القضايا العقلائية على أساس التلقي من الشارع</w:t>
      </w:r>
      <w:r>
        <w:rPr>
          <w:rFonts w:eastAsia="Amiri" w:cs="Amiri" w:ascii="Amiri" w:hAnsi="Amiri"/>
          <w:color w:val="111111"/>
          <w:sz w:val="28"/>
          <w:szCs w:val="28"/>
          <w:rtl w:val="true"/>
          <w:lang w:bidi="ar-SA"/>
        </w:rPr>
        <w:t>.</w:t>
      </w:r>
    </w:p>
    <w:p>
      <w:pPr>
        <w:pStyle w:val="Heading6"/>
        <w:numPr>
          <w:ilvl w:val="5"/>
          <w:numId w:val="1"/>
        </w:numPr>
        <w:rPr/>
      </w:pPr>
      <w:bookmarkStart w:id="375" w:name="__RefHeading___Toc3266324_2870459653"/>
      <w:bookmarkStart w:id="376" w:name="_Toc143"/>
      <w:bookmarkEnd w:id="375"/>
      <w:r>
        <w:rPr>
          <w:rtl w:val="true"/>
        </w:rPr>
        <w:t>النقطة الثالثة</w:t>
      </w:r>
      <w:bookmarkEnd w:id="376"/>
    </w:p>
    <w:p>
      <w:pPr>
        <w:pStyle w:val="Heading6"/>
        <w:numPr>
          <w:ilvl w:val="5"/>
          <w:numId w:val="1"/>
        </w:numPr>
        <w:rPr/>
      </w:pPr>
      <w:bookmarkStart w:id="377" w:name="__RefHeading___Toc3266326_2870459653"/>
      <w:bookmarkStart w:id="378" w:name="_Toc144"/>
      <w:bookmarkEnd w:id="377"/>
      <w:r>
        <w:rPr>
          <w:rtl w:val="true"/>
        </w:rPr>
        <w:t>اشارة</w:t>
      </w:r>
      <w:bookmarkEnd w:id="378"/>
    </w:p>
    <w:p>
      <w:pPr>
        <w:pStyle w:val="BookText"/>
        <w:rPr/>
      </w:pPr>
      <w:r>
        <w:rPr>
          <w:rFonts w:ascii="Amiri" w:hAnsi="Amiri" w:eastAsia="Amiri" w:cs="Amiri"/>
          <w:color w:val="111111"/>
          <w:sz w:val="28"/>
          <w:sz w:val="28"/>
          <w:szCs w:val="28"/>
          <w:rtl w:val="true"/>
          <w:lang w:bidi="ar-SA"/>
        </w:rPr>
        <w:t xml:space="preserve">عدم صحة التفصيل الذي ذكره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عدم الردع مطلقاً يكشف عن الإمضاء بلا حاجة إلى التصريح به، وذلك من خلال شرطية مفادها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يرضَ لردع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ذكرنا، ولإثبات الملازمة في هذه الشرطية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السكوت تجاه السيرة محتملات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سكوت الشارع يعبر عن عدم اعتنائه بالسيرة التي أمامه، فلا يدل السكوت لا على الإمضاء ولا على الردع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ما دام الشارع قد سكت ولم يردع فقد أمضى السيرة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سكوت الشارع وعدم تصريحه بقبول السيرة التي أمامه دال على الردع وعدم ارتضائه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والصحيح منها أوسطها</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المحتمل الثالث فهو واضح البطلان؛ لأن الغرض من الإمضاء متحقق في حال السكوت، وهو تحرّك الناس عملاً على وفقه كما هو المفروض بلا حاجة إلى الإمضاء والتصريح بالقبول وورود مثل هكذا تصريح إنما يحمل على التأكيد لا غیر</w:t>
      </w:r>
      <w:r>
        <w:rPr>
          <w:rFonts w:eastAsia="IRNazanin" w:cs="IRNazanin"/>
          <w:color w:val="111111"/>
          <w:sz w:val="28"/>
          <w:szCs w:val="28"/>
          <w:rtl w:val="true"/>
          <w:lang w:bidi="fa-IR"/>
        </w:rPr>
        <w:t xml:space="preserve">. </w:t>
      </w:r>
      <w:bookmarkStart w:id="379" w:name="pg9142_80708"/>
    </w:p>
    <w:p>
      <w:pPr>
        <w:pStyle w:val="BookText"/>
        <w:rPr/>
      </w:pPr>
      <w:bookmarkEnd w:id="379"/>
      <w:r>
        <w:rPr>
          <w:rFonts w:ascii="Amiri" w:hAnsi="Amiri" w:eastAsia="Amiri" w:cs="Amiri"/>
          <w:color w:val="111111"/>
          <w:sz w:val="28"/>
          <w:sz w:val="28"/>
          <w:szCs w:val="28"/>
          <w:rtl w:val="true"/>
          <w:lang w:bidi="ar-SA"/>
        </w:rPr>
        <w:t>هذا مضافاً إلى أنه لا مناسبة بين السكوت وعدم الرضا، بل على العكس حتى قيل إن السكوت علامة الرضا ولو في بعض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يعين الاحتمال الثاني ويبطل الاحتمال الأوّل فعدة وجوه، مفادها أنه لا يتسنى للمشرع الإسلامي، بل كل مشرع حكيم بالحكمة العقلائية العامة ولو بالنسبة لبعض الوجوه، أن لا يُبدي موقفاً تجاه السلوك الاجتماعي الذي بمرأى ومسمع منه إذا لم يكن مرضياً عن أ عنده، فلا يصح منه ما يكون بمثابة الإهمال تجاه السيرة، والوجوه هي</w:t>
      </w:r>
      <w:r>
        <w:rPr>
          <w:rFonts w:eastAsia="Amiri" w:cs="Amiri" w:ascii="Amiri" w:hAnsi="Amiri"/>
          <w:color w:val="111111"/>
          <w:sz w:val="28"/>
          <w:szCs w:val="28"/>
          <w:rtl w:val="true"/>
          <w:lang w:bidi="ar-SA"/>
        </w:rPr>
        <w:t>:</w:t>
      </w:r>
    </w:p>
    <w:p>
      <w:pPr>
        <w:pStyle w:val="Heading6"/>
        <w:numPr>
          <w:ilvl w:val="5"/>
          <w:numId w:val="1"/>
        </w:numPr>
        <w:rPr/>
      </w:pPr>
      <w:bookmarkStart w:id="380" w:name="__RefHeading___Toc3266328_2870459653"/>
      <w:bookmarkStart w:id="381" w:name="_Toc145"/>
      <w:bookmarkEnd w:id="380"/>
      <w:r>
        <w:rPr>
          <w:rtl w:val="true"/>
        </w:rPr>
        <w:t>الوجه الأول</w:t>
      </w:r>
      <w:bookmarkEnd w:id="381"/>
    </w:p>
    <w:p>
      <w:pPr>
        <w:pStyle w:val="BookText"/>
        <w:rPr/>
      </w:pPr>
      <w:r>
        <w:rPr>
          <w:rFonts w:ascii="Amiri" w:hAnsi="Amiri" w:eastAsia="Amiri" w:cs="Amiri"/>
          <w:color w:val="111111"/>
          <w:sz w:val="28"/>
          <w:sz w:val="28"/>
          <w:szCs w:val="28"/>
          <w:rtl w:val="true"/>
          <w:lang w:bidi="ar-SA"/>
        </w:rPr>
        <w:t xml:space="preserve">ما أفاده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الملزم لاتخاذ المشرع الإسلامي موقفاً تجاه السيرة هو إظهار الحق وإزاحة الباطل، فإذا لم يكن عمل العقلاء مشروعاً وجب على المشرع الإسلامي الردع عنه لأنه سيكون باطلاً ويجب إزاحته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الكلام مجمل المعالم، وقد يرجع إلى أحد الوجوه الآتية</w:t>
      </w:r>
      <w:r>
        <w:rPr>
          <w:rFonts w:eastAsia="Amiri" w:cs="Amiri" w:ascii="Amiri" w:hAnsi="Amiri"/>
          <w:color w:val="111111"/>
          <w:sz w:val="28"/>
          <w:szCs w:val="28"/>
          <w:rtl w:val="true"/>
          <w:lang w:bidi="ar-SA"/>
        </w:rPr>
        <w:t>.</w:t>
      </w:r>
    </w:p>
    <w:p>
      <w:pPr>
        <w:pStyle w:val="Heading6"/>
        <w:numPr>
          <w:ilvl w:val="5"/>
          <w:numId w:val="1"/>
        </w:numPr>
        <w:rPr/>
      </w:pPr>
      <w:bookmarkStart w:id="382" w:name="__RefHeading___Toc3266330_2870459653"/>
      <w:bookmarkStart w:id="383" w:name="_Toc146"/>
      <w:bookmarkEnd w:id="382"/>
      <w:r>
        <w:rPr>
          <w:rtl w:val="true"/>
        </w:rPr>
        <w:t>الوجه الثاني</w:t>
      </w:r>
      <w:bookmarkEnd w:id="383"/>
    </w:p>
    <w:p>
      <w:pPr>
        <w:pStyle w:val="BookText"/>
        <w:rPr/>
      </w:pPr>
      <w:r>
        <w:rPr>
          <w:rFonts w:ascii="Amiri" w:hAnsi="Amiri" w:eastAsia="Amiri" w:cs="Amiri"/>
          <w:color w:val="111111"/>
          <w:sz w:val="28"/>
          <w:sz w:val="28"/>
          <w:szCs w:val="28"/>
          <w:rtl w:val="true"/>
          <w:lang w:bidi="ar-SA"/>
        </w:rPr>
        <w:t xml:space="preserve">ما ذكره السيد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ما يدعو المشرع الإسلامي لاتخاذ موقف تجاه السيرة هو أنه آمر بالمعروف وناه عن المنكر، فإذا كان عمل العقلاء منكراً بنظر الشارع لردع عنه، فإذا لم يردع كشف ذلك عن عدم كونه منكراً بنظره المقدس </w:t>
      </w:r>
      <w:r>
        <w:rPr>
          <w:rStyle w:val="FootnoteAnchor"/>
          <w:rtl w:val="true"/>
        </w:rPr>
        <w:footnoteReference w:id="386"/>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الوجه إنما ينفع في السير العقلائية التي يُحرز توفّرها على شرائط الأمر بالمعروف والنهي عن المنكر لا مطلقاً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هذه الشرائط أن يكون الفعل منكراً في </w:t>
      </w:r>
      <w:bookmarkStart w:id="384" w:name="pg9142_80709"/>
    </w:p>
    <w:p>
      <w:pPr>
        <w:pStyle w:val="BookText"/>
        <w:rPr/>
      </w:pPr>
      <w:bookmarkEnd w:id="384"/>
      <w:r>
        <w:rPr>
          <w:rFonts w:ascii="Amiri" w:hAnsi="Amiri" w:eastAsia="Amiri" w:cs="Amiri"/>
          <w:color w:val="111111"/>
          <w:sz w:val="28"/>
          <w:sz w:val="28"/>
          <w:szCs w:val="28"/>
          <w:rtl w:val="true"/>
          <w:lang w:bidi="ar-SA"/>
        </w:rPr>
        <w:t>نظر الفاعل، مع أنه كثيراً ما يكون جاهلاً قاصراً؛ باعتبار غفلته وغلبة طبعه العقلائي، فلا يكون آثماً ليجب ردعه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وينبغي أن يراد بالمعروف ما ليس بمنكر فيشمل الجواز بالمعنى الأعم، ومن ثَمَّ على هذا الوجه تكون دلالة السيرة الممضاة على مجرد الجواز، كما أن المقدار الممضى يكون بحدود العمل الخارجي لا النكتة الارتكازية؛ لأنّ المعروف والمنكر أوصاف للعمل الخارجي</w:t>
      </w:r>
      <w:r>
        <w:rPr>
          <w:rFonts w:eastAsia="Amiri" w:cs="Amiri" w:ascii="Amiri" w:hAnsi="Amiri"/>
          <w:color w:val="111111"/>
          <w:sz w:val="28"/>
          <w:szCs w:val="28"/>
          <w:rtl w:val="true"/>
          <w:lang w:bidi="ar-SA"/>
        </w:rPr>
        <w:t>.</w:t>
      </w:r>
    </w:p>
    <w:p>
      <w:pPr>
        <w:pStyle w:val="Heading6"/>
        <w:numPr>
          <w:ilvl w:val="5"/>
          <w:numId w:val="1"/>
        </w:numPr>
        <w:rPr/>
      </w:pPr>
      <w:bookmarkStart w:id="385" w:name="__RefHeading___Toc3266332_2870459653"/>
      <w:bookmarkStart w:id="386" w:name="_Toc147"/>
      <w:bookmarkEnd w:id="385"/>
      <w:r>
        <w:rPr>
          <w:rtl w:val="true"/>
        </w:rPr>
        <w:t>الوجه الثالث</w:t>
      </w:r>
      <w:bookmarkEnd w:id="386"/>
    </w:p>
    <w:p>
      <w:pPr>
        <w:pStyle w:val="Heading6"/>
        <w:numPr>
          <w:ilvl w:val="5"/>
          <w:numId w:val="1"/>
        </w:numPr>
        <w:rPr/>
      </w:pPr>
      <w:bookmarkStart w:id="387" w:name="__RefHeading___Toc3266334_2870459653"/>
      <w:bookmarkStart w:id="388" w:name="_Toc148"/>
      <w:bookmarkEnd w:id="387"/>
      <w:r>
        <w:rPr>
          <w:rtl w:val="true"/>
        </w:rPr>
        <w:t>اشارة</w:t>
      </w:r>
      <w:bookmarkEnd w:id="388"/>
    </w:p>
    <w:p>
      <w:pPr>
        <w:pStyle w:val="BookText"/>
        <w:rPr/>
      </w:pPr>
      <w:r>
        <w:rPr>
          <w:rFonts w:ascii="Amiri" w:hAnsi="Amiri" w:eastAsia="Amiri" w:cs="Amiri"/>
          <w:color w:val="111111"/>
          <w:sz w:val="28"/>
          <w:sz w:val="28"/>
          <w:szCs w:val="28"/>
          <w:rtl w:val="true"/>
          <w:lang w:bidi="ar-SA"/>
        </w:rPr>
        <w:t xml:space="preserve">ما يظهر من كلمات المحقق الخراساني وصريح المحقق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الشارع أحد العقلاء بل رئيس العقلاء، فيكون الأصل هو البناء على ما يبني عليه العقلاء ما لم يردعهم، فلو لم نحرز الردع لا يصح الخروج عن هذا الأصل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أن السير العقلائية الناشئة من قريحة العقلاء واجدة لمقتضى الحجية فيكون حالها حال العلم بلا حاجة فيهما إلى جعل الحجية، والفارق بين العلم والسير العقلائية الارتكازية أنّ الثانية يمكن الردع عنها بخلاف العلم؛ فإنه علة تامة للحجية، ولا يقبل الردع، ويترتب عليه</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يكفي عدم إحراز الردع لمتابعة السير العقلائية، ولا نحتاج إلى إحراز عدم الردع، فإن الاحتياج إلى إحراز عدم الردع مبتن على أن الإمضاء تمام المقتضي للحجية والمحركية، وأما في هذا الوجه فإنّ الردع بمثابة المانع، فإذا لم نحرز الردع </w:t>
      </w:r>
    </w:p>
    <w:p>
      <w:pPr>
        <w:pStyle w:val="BookText"/>
        <w:rPr/>
      </w:pPr>
      <w:r>
        <w:rPr>
          <w:rFonts w:ascii="Amiri" w:hAnsi="Amiri" w:eastAsia="Amiri" w:cs="Amiri"/>
          <w:color w:val="111111"/>
          <w:sz w:val="28"/>
          <w:sz w:val="28"/>
          <w:szCs w:val="28"/>
          <w:rtl w:val="true"/>
          <w:lang w:bidi="ar-SA"/>
        </w:rPr>
        <w:t>حكم العقل بلزوم متابعة المقتضي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متابعة السير العقلائية لا يتوقف على عدم صدور الردع واقعاً بحيث نحتاج إلى إحراز عدم صدوره واقعاً من المشرع بل حتى لو احتملنا أن عدم صدور الردع لعدم قدرة المشرع على الردع يكفي في عدم ثبوت الردع عندنا، وهذا مما يحكم به العقل في مثل هذه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تصوير الوجه بحسب ما أفاده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مدظله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وأما دليله عليه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العقل يدرك حسن الاحتجاج بالقضايا الارتكازية الفطرية بين الأمر والمأمور إلا إذا ردع الأمر عن متابعتها، فلا يرى العقل أن الاحتجاج بهكذا قضايا متوقف على قبولها وإمضائها في الرتبة السابقة، بل احتجاجاتهم كاشفة عن المفروغية عن حجية هذه القضايا، وهذا ليس إلا لأن الأصل كذلك، وهذا حكم عقلي قطعي</w:t>
      </w:r>
    </w:p>
    <w:p>
      <w:pPr>
        <w:pStyle w:val="BookText"/>
        <w:rPr/>
      </w:pPr>
      <w:r>
        <w:rPr>
          <w:rFonts w:ascii="Amiri" w:hAnsi="Amiri" w:eastAsia="Amiri" w:cs="Amiri"/>
          <w:color w:val="111111"/>
          <w:sz w:val="28"/>
          <w:sz w:val="28"/>
          <w:szCs w:val="28"/>
          <w:rtl w:val="true"/>
          <w:lang w:bidi="ar-SA"/>
        </w:rPr>
        <w:t>لا أنه عقلائي ظني كي يكون متوقفاً على الإمضاء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المحقق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أن للشارع حيثيتين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حيثية أنه عاقل، بل رئيس العقلاء ومدرك للقضايا العقلية والعقلائية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حيثية أنه مشرع وجاعل للأحكام المولوية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الحيثية الأولى يكون متحد المسلك مع العقلاء، ويكون هذا بمثابة المقتضي والأصل الذي ينبغي أن يكون هو المتبع ما لم يصل إلينا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هناك أصلين فيها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الشارع بما هو عاقل يتطابق موقفه مع السير العقلائية الارتكازية</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تطابق الشارع بما هو عاقل، وبما هو شارع</w:t>
      </w:r>
      <w:r>
        <w:rPr>
          <w:rFonts w:eastAsia="Amiri" w:cs="Amiri" w:ascii="Amiri" w:hAnsi="Amiri"/>
          <w:color w:val="111111"/>
          <w:sz w:val="28"/>
          <w:szCs w:val="28"/>
          <w:rtl w:val="true"/>
          <w:lang w:bidi="ar-SA"/>
        </w:rPr>
        <w:t xml:space="preserve">. </w:t>
      </w:r>
      <w:bookmarkStart w:id="389" w:name="pg9142_80711"/>
    </w:p>
    <w:p>
      <w:pPr>
        <w:pStyle w:val="BookText"/>
        <w:rPr/>
      </w:pPr>
      <w:bookmarkEnd w:id="389"/>
      <w:r>
        <w:rPr>
          <w:rFonts w:ascii="Amiri" w:hAnsi="Amiri" w:eastAsia="Amiri" w:cs="Amiri"/>
          <w:color w:val="111111"/>
          <w:sz w:val="28"/>
          <w:sz w:val="28"/>
          <w:szCs w:val="28"/>
          <w:rtl w:val="true"/>
          <w:lang w:bidi="ar-SA"/>
        </w:rPr>
        <w:t>فتكون هناك ملازمة بين حجية شيء عند العقلاء وحجيته عند الشارع بما هو عاقل وبما هو شارع للأصلين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هذه الملازمة تعليقية لا تنجيزية فتنخرم بوصول الردع إلينا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الوجه وافر البركات في أمور عدة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يثبت مقتضي حجية الطرق العقلائية الارتكازية من دون الحاجة إلى الجعل والتعبد، ويكون هو المتبع إلى أن يصلنا الردع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الاحتياج إلى إحراز عدم الردع بل يكفي عدم وصول الردع إلينا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يكون المقدار الممضى بمقدار النكتة الارتكازية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ينفع في مدلول السيرة العقلائية كما سيأتي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ينفع في السير العقلائية بنحو الموجبة الكلية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يثبت الملازمة بين حكم العقلاء وحكم الشارع، وبينه وبين حكم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تكون الملازمة تعليقية في كل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أورد السيد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الوجه بأمرين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90" w:name="__RefHeading___Toc3266336_2870459653"/>
      <w:bookmarkStart w:id="391" w:name="_Toc149"/>
      <w:bookmarkEnd w:id="390"/>
      <w:r>
        <w:rPr>
          <w:rtl w:val="true"/>
        </w:rPr>
        <w:t>الأمر الأول</w:t>
      </w:r>
      <w:bookmarkEnd w:id="391"/>
    </w:p>
    <w:p>
      <w:pPr>
        <w:pStyle w:val="Heading6"/>
        <w:numPr>
          <w:ilvl w:val="5"/>
          <w:numId w:val="1"/>
        </w:numPr>
        <w:rPr/>
      </w:pPr>
      <w:bookmarkStart w:id="392" w:name="__RefHeading___Toc3266338_2870459653"/>
      <w:bookmarkStart w:id="393" w:name="_Toc150"/>
      <w:bookmarkEnd w:id="392"/>
      <w:r>
        <w:rPr>
          <w:rtl w:val="true"/>
        </w:rPr>
        <w:t>اشارة</w:t>
      </w:r>
      <w:bookmarkEnd w:id="393"/>
    </w:p>
    <w:p>
      <w:pPr>
        <w:pStyle w:val="BookText"/>
        <w:rPr/>
      </w:pPr>
      <w:r>
        <w:rPr>
          <w:rFonts w:ascii="Amiri" w:hAnsi="Amiri" w:eastAsia="Amiri" w:cs="Amiri"/>
          <w:color w:val="111111"/>
          <w:sz w:val="28"/>
          <w:sz w:val="28"/>
          <w:szCs w:val="28"/>
          <w:rtl w:val="true"/>
          <w:lang w:bidi="ar-SA"/>
        </w:rPr>
        <w:t>لا يمكن إحراز أن الشارع من حيث هو عاقل موافق للعقلاء بمجرد كونه أحد العقلاء؛ لقيام احتمال المخالفة معهم وذلك لسببين</w:t>
      </w:r>
      <w:r>
        <w:rPr>
          <w:rFonts w:eastAsia="Amiri" w:cs="Amiri" w:ascii="Amiri" w:hAnsi="Amiri"/>
          <w:color w:val="111111"/>
          <w:sz w:val="28"/>
          <w:szCs w:val="28"/>
          <w:rtl w:val="true"/>
          <w:lang w:bidi="ar-SA"/>
        </w:rPr>
        <w:t>:</w:t>
      </w:r>
    </w:p>
    <w:p>
      <w:pPr>
        <w:pStyle w:val="Heading6"/>
        <w:numPr>
          <w:ilvl w:val="5"/>
          <w:numId w:val="1"/>
        </w:numPr>
        <w:rPr/>
      </w:pPr>
      <w:bookmarkStart w:id="394" w:name="__RefHeading___Toc3266340_2870459653"/>
      <w:bookmarkStart w:id="395" w:name="_Toc151"/>
      <w:bookmarkEnd w:id="394"/>
      <w:r>
        <w:rPr>
          <w:rtl w:val="true"/>
        </w:rPr>
        <w:t>السبب الأول</w:t>
      </w:r>
      <w:bookmarkEnd w:id="395"/>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احتمال أن السيرة التي يجري عليها العقلاء غير عقلائية بحتة؛ لمكان تأثرهم بالعوامل غير العقلائية من العواطف والمشاعر الموجودة لديهم والمؤثرة </w:t>
      </w:r>
      <w:bookmarkStart w:id="396" w:name="pg9142_80712"/>
    </w:p>
    <w:p>
      <w:pPr>
        <w:pStyle w:val="BookText"/>
        <w:rPr/>
      </w:pPr>
      <w:bookmarkEnd w:id="396"/>
      <w:r>
        <w:rPr>
          <w:rFonts w:ascii="Amiri" w:hAnsi="Amiri" w:eastAsia="Amiri" w:cs="Amiri"/>
          <w:color w:val="111111"/>
          <w:sz w:val="28"/>
          <w:sz w:val="28"/>
          <w:szCs w:val="28"/>
          <w:rtl w:val="true"/>
          <w:lang w:bidi="ar-SA"/>
        </w:rPr>
        <w:t>في قراراتهم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ويلاحظ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السبب لا يبطل الوجه المذكور، وإنما يفتح الباب لمناقشات صغروية من أن هذا السلوك والسيرة الخارجية هل هي نابعة من قريحة العقلاء خالصة أم متأثرة بغير النكتة الارتكازية، فإذا أحرزنا الأول لا ينفع هذا الإيراد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الإيراد يتوجه على السيد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 في مقام انتقاله من السلوك الخارجي إلى إمضاء النكتة الارتكازية العقلائية؛ لاحتمال أن يكون هذا السلوك غير معلول بخصوص النكتة الارتكازية، بل بضميمة العوامل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الكلام مفروض في القرائح العامة، واحتمال وحدة الظروف منفي بحساب الاحتمالات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الاختلاف في العقلائية مفروض في كلمات الأعلام كما سيأتي في مناقشة السبب الثاني</w:t>
      </w:r>
      <w:r>
        <w:rPr>
          <w:rFonts w:eastAsia="Amiri" w:cs="Amiri" w:ascii="Amiri" w:hAnsi="Amiri"/>
          <w:color w:val="111111"/>
          <w:sz w:val="28"/>
          <w:szCs w:val="28"/>
          <w:rtl w:val="true"/>
          <w:lang w:bidi="ar-SA"/>
        </w:rPr>
        <w:t>.</w:t>
      </w:r>
    </w:p>
    <w:p>
      <w:pPr>
        <w:pStyle w:val="Heading6"/>
        <w:numPr>
          <w:ilvl w:val="5"/>
          <w:numId w:val="1"/>
        </w:numPr>
        <w:rPr/>
      </w:pPr>
      <w:bookmarkStart w:id="397" w:name="__RefHeading___Toc3266342_2870459653"/>
      <w:bookmarkStart w:id="398" w:name="_Toc152"/>
      <w:bookmarkEnd w:id="397"/>
      <w:r>
        <w:rPr>
          <w:rtl w:val="true"/>
        </w:rPr>
        <w:t>السبب الثاني</w:t>
      </w:r>
      <w:bookmarkEnd w:id="398"/>
    </w:p>
    <w:p>
      <w:pPr>
        <w:pStyle w:val="BookText"/>
        <w:rPr/>
      </w:pPr>
      <w:r>
        <w:rPr>
          <w:rFonts w:ascii="Amiri" w:hAnsi="Amiri" w:eastAsia="Amiri" w:cs="Amiri"/>
          <w:color w:val="111111"/>
          <w:sz w:val="28"/>
          <w:sz w:val="28"/>
          <w:szCs w:val="28"/>
          <w:rtl w:val="true"/>
          <w:lang w:bidi="ar-SA"/>
        </w:rPr>
        <w:t>احتمال مخالفة عقلائية الشارع مع عقلائية البشر؛ فإن مرتبة عقل الشارع أتم وأكمل من مرتبة العقل عندهم، وهذا يستلزم اتخاذه موقفاً أفضل أو أشمل من موقفهم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ويتوجه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الأكملية المذكورة مفروضة في كلمات أصحاب هذا الوجه، وإلا سيكون عند ردعه عما عند العقلاء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مشترك معهم في هذه العقلائية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متناقضاً مع نفسه، أي بين كونه عاقلاً وبين كونه شارعاً، وهو كما ترى</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فالصحيح أنه عند ردعه من حيث هو مولى تكون عقلائيته موافقة لمولويته، </w:t>
      </w:r>
      <w:bookmarkStart w:id="399" w:name="pg9142_80713"/>
    </w:p>
    <w:p>
      <w:pPr>
        <w:pStyle w:val="BookText"/>
        <w:rPr/>
      </w:pPr>
      <w:bookmarkEnd w:id="399"/>
      <w:r>
        <w:rPr>
          <w:rFonts w:ascii="Amiri" w:hAnsi="Amiri" w:eastAsia="Amiri" w:cs="Amiri"/>
          <w:color w:val="111111"/>
          <w:sz w:val="28"/>
          <w:sz w:val="28"/>
          <w:szCs w:val="28"/>
          <w:rtl w:val="true"/>
          <w:lang w:bidi="ar-SA"/>
        </w:rPr>
        <w:t>ومن ثم هي مخالفة لعقلائية البشر، وهذا لا مفسّر له إلا كون عقلائيته تامة وخالصة من العوامل الخارجية المؤثرة على النكتة الارتكازية</w:t>
      </w:r>
      <w:r>
        <w:rPr>
          <w:rFonts w:eastAsia="Amiri" w:cs="Amiri" w:ascii="Amiri" w:hAnsi="Amiri"/>
          <w:color w:val="111111"/>
          <w:sz w:val="28"/>
          <w:szCs w:val="28"/>
          <w:rtl w:val="true"/>
          <w:lang w:bidi="ar-SA"/>
        </w:rPr>
        <w:t>.</w:t>
      </w:r>
    </w:p>
    <w:p>
      <w:pPr>
        <w:pStyle w:val="Heading6"/>
        <w:numPr>
          <w:ilvl w:val="5"/>
          <w:numId w:val="1"/>
        </w:numPr>
        <w:rPr/>
      </w:pPr>
      <w:bookmarkStart w:id="400" w:name="__RefHeading___Toc3266344_2870459653"/>
      <w:bookmarkStart w:id="401" w:name="_Toc153"/>
      <w:bookmarkEnd w:id="400"/>
      <w:r>
        <w:rPr>
          <w:rtl w:val="true"/>
        </w:rPr>
        <w:t>الأمر الثاني</w:t>
      </w:r>
      <w:bookmarkEnd w:id="401"/>
    </w:p>
    <w:p>
      <w:pPr>
        <w:pStyle w:val="Heading6"/>
        <w:numPr>
          <w:ilvl w:val="5"/>
          <w:numId w:val="1"/>
        </w:numPr>
        <w:rPr/>
      </w:pPr>
      <w:bookmarkStart w:id="402" w:name="__RefHeading___Toc3266346_2870459653"/>
      <w:bookmarkStart w:id="403" w:name="_Toc154"/>
      <w:bookmarkEnd w:id="402"/>
      <w:r>
        <w:rPr>
          <w:rtl w:val="true"/>
        </w:rPr>
        <w:t>اشارة</w:t>
      </w:r>
      <w:bookmarkEnd w:id="40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الذي أورده السيد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غضضنا النظر عما ذكرناه في الأمر الأول وسلّمنا اتحاد الموافقة بين عقلائية الشارع وعقلائية البشر فهنا يوجد فرضان</w:t>
      </w:r>
      <w:r>
        <w:rPr>
          <w:rFonts w:eastAsia="Amiri" w:cs="Amiri" w:ascii="Amiri" w:hAnsi="Amiri"/>
          <w:color w:val="111111"/>
          <w:sz w:val="28"/>
          <w:szCs w:val="28"/>
          <w:rtl w:val="true"/>
          <w:lang w:bidi="ar-SA"/>
        </w:rPr>
        <w:t>:</w:t>
      </w:r>
    </w:p>
    <w:p>
      <w:pPr>
        <w:pStyle w:val="Heading6"/>
        <w:numPr>
          <w:ilvl w:val="5"/>
          <w:numId w:val="1"/>
        </w:numPr>
        <w:rPr/>
      </w:pPr>
      <w:bookmarkStart w:id="404" w:name="__RefHeading___Toc3266348_2870459653"/>
      <w:bookmarkStart w:id="405" w:name="_Toc155"/>
      <w:bookmarkEnd w:id="404"/>
      <w:r>
        <w:rPr>
          <w:rtl w:val="true"/>
        </w:rPr>
        <w:t>الفرض الأول</w:t>
      </w:r>
      <w:bookmarkEnd w:id="405"/>
    </w:p>
    <w:p>
      <w:pPr>
        <w:pStyle w:val="BookText"/>
        <w:rPr/>
      </w:pPr>
      <w:r>
        <w:rPr>
          <w:rFonts w:ascii="Amiri" w:hAnsi="Amiri" w:eastAsia="Amiri" w:cs="Amiri"/>
          <w:color w:val="111111"/>
          <w:sz w:val="28"/>
          <w:sz w:val="28"/>
          <w:szCs w:val="28"/>
          <w:rtl w:val="true"/>
          <w:lang w:bidi="ar-SA"/>
        </w:rPr>
        <w:t>أن هذه الموافقة توجب القطع بأن الشارع بما هو شارع لا يخالف العقلاء بما هم عقلاء، ويلزم من ذلك أنه لا يردع عما هم عليه، وأصحاب هذا الوجه لا يقولون بذلك بل يجعلون الأصل الأخذ بالموافقة بين عقل الشارع والعقلاء ما لم يثبت الردع</w:t>
      </w:r>
      <w:r>
        <w:rPr>
          <w:rFonts w:eastAsia="Amiri" w:cs="Amiri" w:ascii="Amiri" w:hAnsi="Amiri"/>
          <w:color w:val="111111"/>
          <w:sz w:val="28"/>
          <w:szCs w:val="28"/>
          <w:rtl w:val="true"/>
          <w:lang w:bidi="ar-SA"/>
        </w:rPr>
        <w:t>.</w:t>
      </w:r>
    </w:p>
    <w:p>
      <w:pPr>
        <w:pStyle w:val="Heading6"/>
        <w:numPr>
          <w:ilvl w:val="5"/>
          <w:numId w:val="1"/>
        </w:numPr>
        <w:rPr/>
      </w:pPr>
      <w:bookmarkStart w:id="406" w:name="__RefHeading___Toc3266350_2870459653"/>
      <w:bookmarkStart w:id="407" w:name="_Toc156"/>
      <w:bookmarkEnd w:id="406"/>
      <w:r>
        <w:rPr>
          <w:rtl w:val="true"/>
        </w:rPr>
        <w:t>الفرض الثاني</w:t>
      </w:r>
      <w:bookmarkEnd w:id="407"/>
    </w:p>
    <w:p>
      <w:pPr>
        <w:pStyle w:val="BookText"/>
        <w:rPr/>
      </w:pPr>
      <w:r>
        <w:rPr>
          <w:rFonts w:ascii="Amiri" w:hAnsi="Amiri" w:eastAsia="Amiri" w:cs="Amiri"/>
          <w:color w:val="111111"/>
          <w:sz w:val="28"/>
          <w:sz w:val="28"/>
          <w:szCs w:val="28"/>
          <w:rtl w:val="true"/>
          <w:lang w:bidi="ar-SA"/>
        </w:rPr>
        <w:t>أنه يحتمل الاختلاف بين حيثية كونه عاقلاً وحيثية كونه شارعاً، وعندئذ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التنجيز والتعذير إنما هو لحيثية كونه شارعاً ومولى وليس الحيثية كونه عاقلاً فإنه لا محرز لكون رأيه بما هو شارع عين رأيه بما هو عاقل؛ لأنه كما فرضنا يحتمل المخالفة، فلا يترتب التنجيز والتعذير الذي هو المقصود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احتمال الموافقة بين شارعية الشارع وعقلائيته موجود، بل لعل هناك ظناً بها؛ لأننا قلنا إن المخالفة محتملة غير مقطوع بها، وهذا الظن يكون أمارة على أن الشارعية والمولوية عين العقلائية فتثبت المولوية، ومن ثم التنجيز والتعذير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الظن لا دليل على حجيته إلا إذا رجع إلى الظهور الحالي في الإمضاء على أساس أحد الوجوه الأخرى</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ويلاحظ على ما أفاده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أصحاب هذا الوجه يبنون على الفرض الثاني </w:t>
      </w:r>
      <w:bookmarkStart w:id="408" w:name="pg9142_80714"/>
    </w:p>
    <w:p>
      <w:pPr>
        <w:pStyle w:val="BookText"/>
        <w:rPr/>
      </w:pPr>
      <w:bookmarkEnd w:id="408"/>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يحتملون المخالفة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قيدوا الاعتبار بعدم ثبوت الردع، إلا أنهم يرون أن الأصل هو المتابعة إلى أن يثبت الردع، ومن ثَمّ يكون الأصل هو جري الشارع بما هو عاقل على وفق رأي العقلاء، ومقتضى الأصل الآخر هو مطابقة رأي الشارع بما هو شارع لرأيه بما هو عاقل، فإذا ردع بما هو شارع كشف هذا عن اختلاف عقلائية الشارع مع عقلائية البشر، وإذا لم يردع فهذا يعني تطابق العقلائية والشارعية</w:t>
      </w:r>
      <w:r>
        <w:rPr>
          <w:rFonts w:eastAsia="Amiri" w:cs="Amiri" w:ascii="Amiri" w:hAnsi="Amiri"/>
          <w:color w:val="111111"/>
          <w:sz w:val="28"/>
          <w:szCs w:val="28"/>
          <w:rtl w:val="true"/>
          <w:lang w:bidi="ar-SA"/>
        </w:rPr>
        <w:t>.</w:t>
      </w:r>
    </w:p>
    <w:p>
      <w:pPr>
        <w:pStyle w:val="Heading6"/>
        <w:numPr>
          <w:ilvl w:val="5"/>
          <w:numId w:val="1"/>
        </w:numPr>
        <w:rPr/>
      </w:pPr>
      <w:bookmarkStart w:id="409" w:name="__RefHeading___Toc3266352_2870459653"/>
      <w:bookmarkStart w:id="410" w:name="_Toc157"/>
      <w:bookmarkEnd w:id="409"/>
      <w:r>
        <w:rPr>
          <w:rtl w:val="true"/>
        </w:rPr>
        <w:t>الوجه الرابع</w:t>
      </w:r>
      <w:bookmarkEnd w:id="410"/>
    </w:p>
    <w:p>
      <w:pPr>
        <w:pStyle w:val="BookText"/>
        <w:rPr/>
      </w:pPr>
      <w:r>
        <w:rPr>
          <w:rFonts w:ascii="Amiri" w:hAnsi="Amiri" w:eastAsia="Amiri" w:cs="Amiri"/>
          <w:color w:val="111111"/>
          <w:sz w:val="28"/>
          <w:sz w:val="28"/>
          <w:szCs w:val="28"/>
          <w:rtl w:val="true"/>
          <w:lang w:bidi="ar-SA"/>
        </w:rPr>
        <w:t xml:space="preserve">ما أفاده السيد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افاداته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عدم ردع المعصوم عن السيرة غير المرضية عنده يؤدي إلى نقض الغرض من تشريع الأحكام والذي هو تأمين الملاكات المولوية الكامنة في متعلقاتها، فلو فُرِضَ أن ما بنى عليه العقلاء وأجروه في أمورهم الشرعية مناف مع تحقيق تلك الملاكات فإنه لا بد للشارع تأميناً لتلك الملاكات من ردع العقلاء عن الإجراء المذكور، وإلا نقض غرضه، وهو قبيح عقلاً</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11" w:name="__RefHeading___Toc3266354_2870459653"/>
      <w:bookmarkStart w:id="412" w:name="_Toc158"/>
      <w:bookmarkEnd w:id="411"/>
      <w:r>
        <w:rPr>
          <w:rtl w:val="true"/>
        </w:rPr>
        <w:t>الوجه الخامس</w:t>
      </w:r>
      <w:bookmarkEnd w:id="412"/>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أفاده السيد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وظيفة المشرع الإسلامي تربية المجتمع على نهج الهي ربّاني، وهذا يستدعي إيصال الحقائق الإسلامية وتعليم الأحكام للناس وتصحيح أو تغيير ما ارتكز عند الناس من شرائع غير صحيحة، وهذه الوظيفة تخلق ظهوراً حالياً للمشرع الإسلامي على أنه ناظر إلى النكات التشريعية الكبروية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 منها النكات العقلائية الارتكازية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نفياً وإثباتاً؛ إذ بها يحصل التعليم والاستنباط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وهذا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ينفع في السير العقلائية بصورة كلية، كما أنه ينفع في المقدار الممضى بحدود النكتة الارتكازية لا بحدود الجري الخارجي، ومن ثم ينفع في مدلول السيرة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والمهم من هذه الوجوه الخمسة هي الثلاثة الأخيرة، ويمكن التعامل مع الثالث والخامس مضافاً إلى المشرع العقلائي المتعارف على أنها محتملات ثبوتية ثلاثة للمنهج الذي يكون مفسراً لطريقة المشرع الإسلامي في مقام جعله وتشريعه للأحكام،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الوجه الخامس مع ما ذكر من مناقشة الوجه الثالث فقد افترض أن المشرع الإسلامي لم يكن في مقام تشريعاته كالمشرع العقلائي المتعارف، فحتى على تقدير الاتحاد في أصل العقلائية فإنّ عقلائية الشارع أتم وأكمل من عقلائية البشر، وأعلى من جهة خلوصها عما يشوبها في البشر من العواطف والغرائز والاستقراءات الناقصة وما شابهها، ولمكان ذلك اعتبر هذا الوجه عقلائية المشرع الإسلامي مختلفة عن عقلائية المشرع العقلائي المتعارف، ولم يقبل اتحاد العقلائيتين كأصل 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ورتب على هذا التفكير والمنهج جملة من الآثار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ربط المنجزية والمعذرية بالمولوية الخاصة للمشرع الإسلامي دون القطع وما يكشف عن تكاليف المولى، وعلى إثرها أنكر البراءة العقلية وقال بحق الطاعة، وأورد على المشهور أنه يساوي بين مولوية الشارع المقدس ومولوية العقلاء</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يرتبط يبحثنا حيث بنى على عدم كون الأصل الموافقة بين عقلائية الشارع وعقلائية البشر، وبنى على أن الإمضاء من قبيل المقتضي للحجية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الوجه الثالث فقد فرض للمشرع الإسلامي منهجاً جعله منحازاً جداً إلى الجوانب العقلائية الصرفة، فهو عقل وعقلائية محضة، ولذا قد تختلف عقلائيته مع المشرع العقلائي البشري المتعارف، ومن ثَمّ قد يردع، إذ إنه في حال ردعه مولوياً لا تكون عقلائيته متوافقة مع عقلائية البشر؛ كون ذلك مناقضة بين عقلائية المشرع الإسلامي ومولويته وهو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هذان محتملان ثبوتيان يشتركان في فرض عدم التطابق بين المشرع الإسلامي والمشرع العقلائي البشري المتعارف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الثاني أقرب إليه من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والمحتمل الثالث فرض المشرع الإسلامي متطابقاً مع المشرع العقلائي المتعارف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البحث مرتبط بفلسفة وأصول التشريع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ويتراءى في النظر القاصر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واحد من الوجوه الثلاثة نظر إلى جانب من المسألة وإن كان الوجه الثالث هو المحور؛ وذلك لعدة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تقدّم في مناقشة السيد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الفارق المحتمل في العقلائية إنما هو من جهة أكملية عقلائية الشارع المقدّس وخلوصها، وهذا في الحقيقة يناسب أن يكون الأصل هو الاتحاد في العقلائية إلا في الموارد التي تقصر فيها عقلائية البشر أو يشوش عليها ما يكتنف البشر من عواطف وغرائز وأفكار، وحينئذ فلو ردع الشارع كشف ذلك عن الخلل في عقلائية البشر في تلك الموارد، كما هو الحال في القياس والربا</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خلال النظر إلى العلاقة بين التكوين والتشريع، فالله تعالى عندما خلق في الإنسان الإمكانيات البدنية والنفسية والإدراكية، فإن هذا دليل على إباحة </w:t>
      </w:r>
    </w:p>
    <w:p>
      <w:pPr>
        <w:pStyle w:val="BookText"/>
        <w:rPr/>
      </w:pPr>
      <w:r>
        <w:rPr>
          <w:rFonts w:ascii="Amiri" w:hAnsi="Amiri" w:eastAsia="Amiri" w:cs="Amiri"/>
          <w:color w:val="111111"/>
          <w:sz w:val="28"/>
          <w:sz w:val="28"/>
          <w:szCs w:val="28"/>
          <w:rtl w:val="true"/>
          <w:lang w:bidi="ar-SA"/>
        </w:rPr>
        <w:t>صرف هذه الإمكانيات؛ إذ لا معنى لخلق الإمكانية وتحريم استعمالها من أصل، فإنه تناقض بحكم العقل النظري، ونقضّ للغرض بحكم العقل العملي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هذا الصرف مباح ما لم يرد من الشارع أو العقل والعقلاء تحديده في نطاق خاص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حكي عن بعض الأعاظم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المكوّن هو المشرع فهناك عينية بين حكم العقل العملي وحكم الشرع، فيقال مثله في القضايا العقلائية الناشئة من قريحة العقلاء؛ إذ المكوّن هو المشرع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ويخرج هذا الأمر على أساس وحدة المنبع، وأما الأمر السابق فيخرج على أساس حكمة المنبع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النصوص الشريفة، ونذكر أنموذجاً واحداً منها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فبعث فيهم رسله، وواتر إليهم أنبياءه ليستأدوهم ميثاق فطرته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ويثيروا لهم دفائن العقول</w:t>
      </w:r>
      <w:r>
        <w:rPr>
          <w:rFonts w:eastAsia="IRNazanin" w:cs="IRNazanin"/>
          <w:color w:val="111111"/>
          <w:sz w:val="28"/>
          <w:szCs w:val="28"/>
          <w:rtl w:val="true"/>
          <w:lang w:bidi="fa-IR"/>
        </w:rPr>
        <w:t xml:space="preserve">) </w:t>
      </w:r>
      <w:r>
        <w:rPr>
          <w:rStyle w:val="FootnoteAnchor"/>
          <w:rtl w:val="true"/>
        </w:rPr>
        <w:footnoteReference w:id="392"/>
      </w:r>
      <w:r>
        <w:rPr>
          <w:rFonts w:ascii="Amiri" w:hAnsi="Amiri" w:eastAsia="Amiri" w:cs="Amiri"/>
          <w:color w:val="111111"/>
          <w:sz w:val="28"/>
          <w:sz w:val="28"/>
          <w:szCs w:val="28"/>
          <w:rtl w:val="true"/>
          <w:lang w:bidi="ar-SA"/>
        </w:rPr>
        <w:t>، وهذا يعني حقانية دفائن العقول وإلا لا يناسب إثارتها، وما يكون نابعاً من قريحة العقلاء من مفردات دفائن العقول</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الطريقة التي يتبعها الشارع في مقام جعله لأحكامه تتوافق مع عقلائية البشر الخالصة النابعة من قرائحهم التي أودعها الله فيهم، ولكن هذا لا يعني التطابق التام، بل الشارع له أغراضه الخاصة التي قد لا تدركها عقول البشر؛ لقصور تلك العقول أو لاكتنافها بما يشوبها من الأفكار والغرائز ونحو ذلك، وحينئذ </w:t>
      </w:r>
      <w:bookmarkStart w:id="413" w:name="pg9142_80718"/>
    </w:p>
    <w:p>
      <w:pPr>
        <w:pStyle w:val="BookText"/>
        <w:rPr/>
      </w:pPr>
      <w:bookmarkEnd w:id="413"/>
      <w:r>
        <w:rPr>
          <w:rFonts w:ascii="Amiri" w:hAnsi="Amiri" w:eastAsia="Amiri" w:cs="Amiri"/>
          <w:color w:val="111111"/>
          <w:sz w:val="28"/>
          <w:sz w:val="28"/>
          <w:szCs w:val="28"/>
          <w:rtl w:val="true"/>
          <w:lang w:bidi="ar-SA"/>
        </w:rPr>
        <w:t>قد تنتقض أغراضه من قبل العقلاء أنفسهم، فيردعهم للحفاظ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تكون القضايا العقلية والعقلائية الناشئة من قريحة العقلاء واجدة لمقتضى الحجية بلا حاجة إلى جعل، والردع والإمضاء في رتبة المانع، فالأصل مطابقة الشارع بما هو عاقل لعقلائية العقلاء، والأصل الآخر تطابق عقلائية وعقل الشارع مع مولويته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بالنسبة لموقف الشارع تجاه السيرة والذي كان الشرط الأول من الشرائط المعتبرة في كاشفية السيرة عن الحكم الشرعي، واتضح أن عدم الردع دال على الإمضاء مطلقاً في المعاملات وغيرها</w:t>
      </w:r>
      <w:r>
        <w:rPr>
          <w:rFonts w:eastAsia="Amiri" w:cs="Amiri" w:ascii="Amiri" w:hAnsi="Amiri"/>
          <w:color w:val="111111"/>
          <w:sz w:val="28"/>
          <w:szCs w:val="28"/>
          <w:rtl w:val="true"/>
          <w:lang w:bidi="ar-SA"/>
        </w:rPr>
        <w:t>.</w:t>
      </w:r>
    </w:p>
    <w:p>
      <w:pPr>
        <w:pStyle w:val="Heading4"/>
        <w:numPr>
          <w:ilvl w:val="3"/>
          <w:numId w:val="1"/>
        </w:numPr>
        <w:rPr/>
      </w:pPr>
      <w:bookmarkStart w:id="414" w:name="__RefHeading___Toc3266356_2870459653"/>
      <w:bookmarkStart w:id="415" w:name="_Toc159"/>
      <w:bookmarkEnd w:id="414"/>
      <w:r>
        <w:rPr>
          <w:rtl w:val="true"/>
        </w:rPr>
        <w:t>الشرط الثاني</w:t>
      </w:r>
      <w:r>
        <w:rPr>
          <w:rtl w:val="true"/>
        </w:rPr>
        <w:t xml:space="preserve">: </w:t>
      </w:r>
      <w:r>
        <w:rPr>
          <w:rtl w:val="true"/>
        </w:rPr>
        <w:t>الاطلاع على موقف الشارع تجاه السيرة</w:t>
      </w:r>
      <w:bookmarkEnd w:id="415"/>
    </w:p>
    <w:p>
      <w:pPr>
        <w:pStyle w:val="Heading5"/>
        <w:numPr>
          <w:ilvl w:val="4"/>
          <w:numId w:val="1"/>
        </w:numPr>
        <w:rPr/>
      </w:pPr>
      <w:bookmarkStart w:id="416" w:name="__RefHeading___Toc3266358_2870459653"/>
      <w:bookmarkStart w:id="417" w:name="_Toc160"/>
      <w:bookmarkEnd w:id="416"/>
      <w:r>
        <w:rPr>
          <w:rtl w:val="true"/>
        </w:rPr>
        <w:t>اشارة</w:t>
      </w:r>
      <w:bookmarkEnd w:id="417"/>
    </w:p>
    <w:p>
      <w:pPr>
        <w:pStyle w:val="BookText"/>
        <w:rPr/>
      </w:pPr>
      <w:r>
        <w:rPr>
          <w:rFonts w:ascii="Amiri" w:hAnsi="Amiri" w:eastAsia="Amiri" w:cs="Amiri"/>
          <w:color w:val="111111"/>
          <w:sz w:val="28"/>
          <w:sz w:val="28"/>
          <w:szCs w:val="28"/>
          <w:rtl w:val="true"/>
          <w:lang w:bidi="ar-SA"/>
        </w:rPr>
        <w:t>من الواضح أنه لا ينكشف لنا الحكم من مجرد صدور الموقف من الشارع واقعاً، وإنما بعد اطلاعنا عليه وأنه ردع أو لم يردع، فكيف يتسنى لنا هكذا اطلاع؟ المعروف أن الاطلاع على موقف الشارع يكون على أساس قضية شرطية أخرى مفادها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قد ردع لظهر وبان بمعنى أنه لو كان قد صدر من الشارع ردع تجاه السيرة لوصل إلينا متمثلاً بالأخبار الناقلة لموقف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هذه الشرطية أمران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الملازمة بين المقدم والتالي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التالي ثبوتاً ونفياً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وإزاء هذه الشرطية اتجاهان</w:t>
      </w:r>
      <w:r>
        <w:rPr>
          <w:rFonts w:eastAsia="Amiri" w:cs="Amiri" w:ascii="Amiri" w:hAnsi="Amiri"/>
          <w:color w:val="111111"/>
          <w:sz w:val="28"/>
          <w:szCs w:val="28"/>
          <w:rtl w:val="true"/>
          <w:lang w:bidi="ar-SA"/>
        </w:rPr>
        <w:t>:</w:t>
      </w:r>
    </w:p>
    <w:p>
      <w:pPr>
        <w:pStyle w:val="Heading5"/>
        <w:numPr>
          <w:ilvl w:val="4"/>
          <w:numId w:val="1"/>
        </w:numPr>
        <w:rPr/>
      </w:pPr>
      <w:bookmarkStart w:id="418" w:name="__RefHeading___Toc3266360_2870459653"/>
      <w:bookmarkStart w:id="419" w:name="_Toc161"/>
      <w:bookmarkEnd w:id="418"/>
      <w:r>
        <w:rPr>
          <w:rtl w:val="true"/>
        </w:rPr>
        <w:t>الاتجاه الأول</w:t>
      </w:r>
      <w:bookmarkEnd w:id="419"/>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ذهب إليه المحقق العراقي والسيد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التفصيل بين </w:t>
      </w:r>
    </w:p>
    <w:p>
      <w:pPr>
        <w:pStyle w:val="BookText"/>
        <w:rPr/>
      </w:pPr>
      <w:r>
        <w:rPr>
          <w:rFonts w:ascii="Amiri" w:hAnsi="Amiri" w:eastAsia="Amiri" w:cs="Amiri"/>
          <w:color w:val="111111"/>
          <w:sz w:val="28"/>
          <w:sz w:val="28"/>
          <w:szCs w:val="28"/>
          <w:rtl w:val="true"/>
          <w:lang w:bidi="ar-SA"/>
        </w:rPr>
        <w:t xml:space="preserve">السيرة الممتدة إلى مجال الأحكام الشرعية وغير الممتدة، فنحتاج إلى الشرطية المذكورة في الثانية دون الأولى </w:t>
      </w:r>
      <w:r>
        <w:rPr>
          <w:rStyle w:val="FootnoteAnchor"/>
          <w:rtl w:val="true"/>
        </w:rPr>
        <w:footnoteReference w:id="393"/>
      </w:r>
      <w:r>
        <w:rPr>
          <w:rFonts w:ascii="Amiri" w:hAnsi="Amiri" w:eastAsia="Amiri" w:cs="Amiri"/>
          <w:color w:val="111111"/>
          <w:sz w:val="28"/>
          <w:sz w:val="28"/>
          <w:szCs w:val="28"/>
          <w:rtl w:val="true"/>
          <w:lang w:bidi="ar-SA"/>
        </w:rPr>
        <w:t>، وتوضيح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 أن السيرة العقلائية الممتدة ثبوتاً تتصوّر على نحوين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المتشرعة يجرونها في دائرة الأحكام الشرعية بعد استئذان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جريهم في دائرة الأحكام الشرعية بلا استئذان، وإنما وفق قريحتهم العقلائية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وتقدّم في الشرط الأول أن السيد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إلى عدم الحاجة إلى الشرطية الأولى في النحو الأول، ومن الواضح أنه لا نحتاج إلى الشرطية الثانية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في النحو الآخر فإنه وإن احتجنا إلى الشرطية الأولى، ولكن لا حاجة إلى الشرطية الثانية؛ لأنه من غير المعقول اجتماع السيرة من المتدينين والردع عنها، بخلاف السيرة غير الممتدة والتي خصوها بمصطلح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السيرة العقلائية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يمكن أن يجري العقلاء في أمورهم المعاشية على وفق السيرة والشارع يردع عنها، فيجتمعان معاً</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وتقرب الملازمة عنديل </w:t>
      </w:r>
      <w:r>
        <w:rPr>
          <w:rStyle w:val="FootnoteAnchor"/>
          <w:rtl w:val="true"/>
        </w:rPr>
        <w:footnoteReference w:id="3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السيرة العقلائية لما كانت سلوكاً نوعياً للعقلاء ومعلولاً لارتكازاتهم وقرائحهم العقلائية فهذا يعني أنها عامة وراسخة، فإذا أراد الشارع أن يردع عنها فلا بد أن يكون بسعة وعموم السيرة وبدرجة ارتكازيتها </w:t>
      </w:r>
      <w:bookmarkStart w:id="420" w:name="pg9142_80720"/>
    </w:p>
    <w:p>
      <w:pPr>
        <w:pStyle w:val="BookText"/>
        <w:rPr/>
      </w:pPr>
      <w:bookmarkEnd w:id="420"/>
      <w:r>
        <w:rPr>
          <w:rFonts w:ascii="IRNazanin" w:hAnsi="IRNazanin" w:eastAsia="IRNazanin"/>
          <w:color w:val="111111"/>
          <w:sz w:val="28"/>
          <w:sz w:val="28"/>
          <w:szCs w:val="28"/>
          <w:rtl w:val="true"/>
          <w:lang w:bidi="fa-IR"/>
        </w:rPr>
        <w:t xml:space="preserve">ورسوخها وتجذرها حتى يؤثر هذا الردع أثره، وهذا يستدعي تكرار الردع، وكونه مركزاً واضح الدلالة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من خلال كلام موضوعه خصوص السيرة، ودلالته واضحة في الردع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ومثله يُحدث انتباهاً من قبل أصحاب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فيكثر السؤال عن هذا الموضوع ويكثر الجواب من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وينعكس ذلك بصورة روايات منقولة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ودواعي ضبط ونقل هذه الروايات يداً بيد حاصلة، ودواعي الإخفاء مفقودة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جهة كثرتها وتركيزها على الموضوع، ومن جهة أن الردع يمثل قضية تأسيسية تغييرية أو تصحيحية للوضع العام السائد آنذاك، وحينئذ نطمئن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وفق حساب الاحتمالات بل لعله نقطع بأنه لو كان مثل هكذا روايات صادرة عن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لنقل إلينا بعضها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وبهذا تثبت الملازمة المذكورة من أنه لو كان ردع لظهر وبان</w:t>
      </w:r>
      <w:r>
        <w:rPr>
          <w:rFonts w:eastAsia="IRNazanin" w:cs="IRNazanin"/>
          <w:color w:val="111111"/>
          <w:sz w:val="28"/>
          <w:szCs w:val="28"/>
          <w:rtl w:val="true"/>
          <w:lang w:bidi="fa-IR"/>
        </w:rPr>
        <w:t>.</w:t>
      </w:r>
    </w:p>
    <w:p>
      <w:pPr>
        <w:pStyle w:val="Heading5"/>
        <w:numPr>
          <w:ilvl w:val="4"/>
          <w:numId w:val="1"/>
        </w:numPr>
        <w:rPr/>
      </w:pPr>
      <w:bookmarkStart w:id="421" w:name="__RefHeading___Toc3266362_2870459653"/>
      <w:bookmarkStart w:id="422" w:name="_Toc162"/>
      <w:bookmarkEnd w:id="421"/>
      <w:r>
        <w:rPr>
          <w:rtl w:val="true"/>
        </w:rPr>
        <w:t>الاتجاه الثاني</w:t>
      </w:r>
      <w:bookmarkEnd w:id="422"/>
    </w:p>
    <w:p>
      <w:pPr>
        <w:pStyle w:val="Heading6"/>
        <w:numPr>
          <w:ilvl w:val="5"/>
          <w:numId w:val="1"/>
        </w:numPr>
        <w:rPr/>
      </w:pPr>
      <w:bookmarkStart w:id="423" w:name="__RefHeading___Toc3266364_2870459653"/>
      <w:bookmarkStart w:id="424" w:name="_Toc163"/>
      <w:bookmarkEnd w:id="423"/>
      <w:r>
        <w:rPr>
          <w:rtl w:val="true"/>
        </w:rPr>
        <w:t>اشارة</w:t>
      </w:r>
      <w:bookmarkEnd w:id="424"/>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أننا نحتاج إلى هذه الشرطية، وأن الامتداد بنحو واسع له تمام الدخالة في تحقق الملازمة في هذه الشرطية، ومن ثم لا تثبت هذه الشرطية في السيرة غير الممتدة، وقد أفاد ذلك السيد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افاداته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حينما أورد على المحقق 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أفاده لا يمكن المساعدة عليه؛ فإنّ الوجه في استكشاف إمضاء الشارع المقدس للسيرة العقلائية من جهة عدم ردعه عنها هو أن تشريعه للأحكام لما كان الغرض منه تأمين الملاكات الكامنة في متعلقاتها، فلو فرض أن ما بنى عليه العقلاء في أمورهم غير الشرعية كان مما يجرونه بصورة موسعة في أمورهم الشرعية أيضاً، وكان ذلك مما لا يرتضيه الشارع المقدس لمنافاته مع تحقيق الملاكات المولوية، فلا بد تأميناً لتلك الملاكات من ردع العقلاء عن إجرائه في الأمور الشرعية، ولو كان قد </w:t>
      </w:r>
    </w:p>
    <w:p>
      <w:pPr>
        <w:pStyle w:val="BookText"/>
        <w:rPr/>
      </w:pPr>
      <w:r>
        <w:rPr>
          <w:rFonts w:ascii="Amiri" w:hAnsi="Amiri" w:eastAsia="Amiri" w:cs="Amiri"/>
          <w:color w:val="111111"/>
          <w:sz w:val="28"/>
          <w:sz w:val="28"/>
          <w:szCs w:val="28"/>
          <w:rtl w:val="true"/>
          <w:lang w:bidi="ar-SA"/>
        </w:rPr>
        <w:t>ردع لوصل ذلك إلينا بمقتضى الطبع والعادة وحيث لم يصل كشف ذلك عن عدمه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وهذا البيان إنّما يتم فيما لو أحرز أن السيرة العقلائية قد امتدت عملياً إلى ما يمس الأمور الشرعية بصورة متسعة، من جهة أنها إذا امتدت كذلك فالردع عنها يجب أن يكون متسعاً ليقع مؤثراً، ومتى اتسع بصورة أو بأخرى كما هو الحال في كل أمر تكرر الحديث بشأنه، وتم التأكيد عليه بصورة موسعة على ألسنة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وأما إذا كان ما بنى عليه العقلاء في أمورهم غير الشرعية مما لم يتأكد امتداده إلى الأمور الشرعية في عصر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لم يتأكد سعة امتداده إليها فلا سبيل إلى استكشاف الإمضاء الشرعي من جهة عدم الردع</w:t>
      </w:r>
      <w:r>
        <w:rPr>
          <w:rFonts w:eastAsia="IRNazanin" w:cs="IRNazanin"/>
          <w:color w:val="111111"/>
          <w:sz w:val="28"/>
          <w:szCs w:val="28"/>
          <w:rtl w:val="true"/>
          <w:lang w:bidi="fa-IR"/>
        </w:rPr>
        <w:t xml:space="preserve">)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أن إجراء العقلاء للسيرة العقلائية في أمورهم الشرعية وبصورة واسعة دخيل في الشرط الأول، أي في أصل إبداء الشارع موقفاً تجاه السيرة، ومن دون الامتداد المذكور لا نثق أن الشارع قد يتعرّض لمثل هكذا سيرة، ومن الواضح أيضاً أن الامتداد المذكور دخيل في تحقق الملازمة في الشرطية الثانية؛ من جهة المساهمة في كثرة الأسئلة والأجوبة وضبطها، ونقلها إلينا كما يراه الاتجاه الثاني</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بجري المتشرعة الواسع على وفق السيرة العقلائية في دائرة الأحكام الشرعية ووصول هذا الجري والسيرة إلينا يمكن أن ندعي أن 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وصول الردع إلينا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منتف بلا حاجة إلى الفحص عن وجود رادع وعدمه، ومن ثم انتفاء المقدم فيثبت عدم صدور ردع تجاه هكذا سيرة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ولعل هذا هو مقصود من قال إننا لا نحتاج إلى الشرطية الثانية في السيرة الممتدة الواصلة إلينا؛ وذلك أنه من البعيد جداً في حال قصر النظر على مجتمع المتشرعة وهو بصورة عامة يطبق سلوكه على وفق أحكام الشريعة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تصل إلينا السيرة وردعها معاً من دون أن يؤثر الردع في مجتمع المتشرعة بمرور الزمن، فإذا وصلت إلينا فهذا يعني عدم صدور الردع من الشارع تجاهها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يمكن ذلك في المجتمعات المتوازية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جاز التعبير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كمجتمع الدولة والمتشرعة غير الإمامية والعشيرة، فإنّها في حالة موازاة مع المجتمع المتدين الإمامي ولذا في مجتمع العشيرة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وصلت بعض القضايا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كونها مردوعاً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يداً بيد عن أسلافهم الذين كانوا قبل الإسلام، وأما في المجتمع الواحد فبعيد جداً بقاء السيرة وما يردع عنها، بل فرض القائل بقضية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لبان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السيرة المردوع</w:t>
      </w:r>
    </w:p>
    <w:p>
      <w:pPr>
        <w:pStyle w:val="BookText"/>
        <w:rPr/>
      </w:pPr>
      <w:r>
        <w:rPr>
          <w:rFonts w:ascii="Amiri" w:hAnsi="Amiri" w:eastAsia="Amiri" w:cs="Amiri"/>
          <w:color w:val="111111"/>
          <w:sz w:val="28"/>
          <w:sz w:val="28"/>
          <w:szCs w:val="28"/>
          <w:rtl w:val="true"/>
          <w:lang w:bidi="ar-SA"/>
        </w:rPr>
        <w:t>عنها أقوى، ولذا تصل إلينا السيرة وقد يصل إلينا بعض الروايات الرادعة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عرفنا أن المحقق العراقي والسيد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كانا ينظران بقضية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لبان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السيرة العقلائية غير الممتدة إلى مجال الأحكام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نقترحه فهو الانتقال من هذا العموم إلى مجتمع المتشرعة، فإذا كانت هذه السيرة العقلائية قائمة عندهم فهذا يعني أنها غير مردوع عنها؛ من جهة أن وجود السيرة دليل على انتفاء التالي بلا حاجة إلى الفحص عن وجود رادع وعدم وجوده، ويمكن أن نقول بلا حاجة إلى شرطية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لبان</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يمكن وصول السيرة والردع معاً في مجتمع المتشرعة بسبب اختلاف الفقهاء بين ثبوت السيرة وثبوت الردع عنها، فالبعض يبني على عدم الردع </w:t>
      </w:r>
      <w:bookmarkStart w:id="425" w:name="pg9142_80723"/>
    </w:p>
    <w:p>
      <w:pPr>
        <w:pStyle w:val="BookText"/>
        <w:rPr/>
      </w:pPr>
      <w:bookmarkEnd w:id="425"/>
      <w:r>
        <w:rPr>
          <w:rFonts w:ascii="Amiri" w:hAnsi="Amiri" w:eastAsia="Amiri" w:cs="Amiri"/>
          <w:color w:val="111111"/>
          <w:sz w:val="28"/>
          <w:sz w:val="28"/>
          <w:szCs w:val="28"/>
          <w:rtl w:val="true"/>
          <w:lang w:bidi="ar-SA"/>
        </w:rPr>
        <w:t>والآخر يبني على الردع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إلا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يكون له مجال فيما بعد عصرا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وأما في عصرهم فيبعد اختلاف الفقهاء في مثل هكذا مسألة عامة، بل اختلاف الفقهاء في زمانهم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داع للإمام أن يبلغ بحد يزول هذا الاختلاف بين فقهائهم، إلا إذا كان هناك مصلحة</w:t>
      </w:r>
    </w:p>
    <w:p>
      <w:pPr>
        <w:pStyle w:val="BookText"/>
        <w:rPr/>
      </w:pPr>
      <w:r>
        <w:rPr>
          <w:rFonts w:ascii="Amiri" w:hAnsi="Amiri" w:eastAsia="Amiri" w:cs="Amiri"/>
          <w:color w:val="111111"/>
          <w:sz w:val="28"/>
          <w:sz w:val="28"/>
          <w:szCs w:val="28"/>
          <w:rtl w:val="true"/>
          <w:lang w:bidi="ar-SA"/>
        </w:rPr>
        <w:t>في الاختلاف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ولكن يمكن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الفقهاء في زمن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وكذلك عامة الشيعة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زيدية وفطحية وإسماعيلية وواقفة وغيرهم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لا يأخذون من بعض أئمتنا، ومع ذلك يؤثر فقههم في فقهنا فلا تحسم مادة الاختلاف حتى في زمان النص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ولكن مع ذلك يمكن أن نقتصر على مجتمع المتشرعة الإمامية لإتمام هذا الاقتراح، يضاف إلى ذلك أن الجو العام في مجتمع متشرعة الشيعة سيكون وفق ما يراه الأئمة، وأن المخالفين من الشيعة قلائل، والسيرة يكفي فيها أن يكون الجو العام على وفقها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وأياً كان من يحصل له الاطمئنان بما ذكرنا لا يكون بحاجة إلى البحث عن وجود رادع وعدمه، بل ليس بحاجة إلى هذه الشرطية، خصوصاً إذا كان يرى أنه يكفي في التالي عدم إحراز الردع لا إحراز عدم الردع، فإن هكذا احتمال يقوّي عدم إحراز الردع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بالنسبة إلى أصل الشرطية والملازمة وشيء من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بالنسبة للتالي إثباتاً ونفياً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وصول الردع وعدم وصوله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 عدة نقاط</w:t>
      </w:r>
      <w:r>
        <w:rPr>
          <w:rFonts w:eastAsia="Amiri" w:cs="Amiri" w:ascii="Amiri" w:hAnsi="Amiri"/>
          <w:color w:val="111111"/>
          <w:sz w:val="28"/>
          <w:szCs w:val="28"/>
          <w:rtl w:val="true"/>
          <w:lang w:bidi="ar-SA"/>
        </w:rPr>
        <w:t>:</w:t>
      </w:r>
    </w:p>
    <w:p>
      <w:pPr>
        <w:pStyle w:val="Heading6"/>
        <w:numPr>
          <w:ilvl w:val="5"/>
          <w:numId w:val="1"/>
        </w:numPr>
        <w:rPr/>
      </w:pPr>
      <w:bookmarkStart w:id="426" w:name="__RefHeading___Toc3266366_2870459653"/>
      <w:bookmarkStart w:id="427" w:name="_Toc164"/>
      <w:bookmarkEnd w:id="426"/>
      <w:r>
        <w:rPr>
          <w:rtl w:val="true"/>
        </w:rPr>
        <w:t>النقطة الأولى</w:t>
      </w:r>
      <w:bookmarkEnd w:id="427"/>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 يكفي عدم إحراز وصول الردع إلينا أم لا بد من إحراز عدم </w:t>
      </w:r>
      <w:bookmarkStart w:id="428" w:name="pg9142_80724"/>
    </w:p>
    <w:p>
      <w:pPr>
        <w:pStyle w:val="BookText"/>
        <w:rPr/>
      </w:pPr>
      <w:bookmarkEnd w:id="428"/>
      <w:r>
        <w:rPr>
          <w:rFonts w:ascii="IRNazanin" w:hAnsi="IRNazanin" w:eastAsia="IRNazanin"/>
          <w:color w:val="111111"/>
          <w:sz w:val="28"/>
          <w:sz w:val="28"/>
          <w:szCs w:val="28"/>
          <w:rtl w:val="true"/>
          <w:lang w:bidi="fa-IR"/>
        </w:rPr>
        <w:t>وصوله؟</w:t>
      </w:r>
    </w:p>
    <w:p>
      <w:pPr>
        <w:pStyle w:val="BookText"/>
        <w:rPr/>
      </w:pPr>
      <w:r>
        <w:rPr>
          <w:rFonts w:ascii="Amiri" w:hAnsi="Amiri" w:eastAsia="Amiri" w:cs="Amiri"/>
          <w:color w:val="111111"/>
          <w:sz w:val="28"/>
          <w:sz w:val="28"/>
          <w:szCs w:val="28"/>
          <w:rtl w:val="true"/>
          <w:lang w:bidi="ar-SA"/>
        </w:rPr>
        <w:t>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فالذي يرى أن الردع وعدمه بمثابة المانع يذهب إلى الأوّل، وأمَّا مَنْ يعتبره مقتضى الحجية فإنه سيختار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كان الصحيح هو أن الإمضاء وعدمه في رتبة المانع كان القول الأول هو الحقيق بالاتباع، وهذا يناسب كون الجري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حاصلاً على وفق السيرة وإن لم يمضها الشارع، فلا يكون للإمضاء دور في التحريك، وإنما دوره في حال الردع المنعُ من التحرّك، وفي حال عدم الردع استمرار التحرّك، وهذا يناسب كون الإمضاء في مرتبة المانع لا المقتضي، وأيضاً يناسب أن يكون المعتبر في السيرة عدم إحراز الردع وليس إحراز عدمه</w:t>
      </w:r>
      <w:r>
        <w:rPr>
          <w:rFonts w:eastAsia="Amiri" w:cs="Amiri" w:ascii="Amiri" w:hAnsi="Amiri"/>
          <w:color w:val="111111"/>
          <w:sz w:val="28"/>
          <w:szCs w:val="28"/>
          <w:rtl w:val="true"/>
          <w:lang w:bidi="ar-SA"/>
        </w:rPr>
        <w:t>.</w:t>
      </w:r>
    </w:p>
    <w:p>
      <w:pPr>
        <w:pStyle w:val="Heading6"/>
        <w:numPr>
          <w:ilvl w:val="5"/>
          <w:numId w:val="1"/>
        </w:numPr>
        <w:rPr/>
      </w:pPr>
      <w:bookmarkStart w:id="429" w:name="__RefHeading___Toc3266368_2870459653"/>
      <w:bookmarkStart w:id="430" w:name="_Toc165"/>
      <w:bookmarkEnd w:id="429"/>
      <w:r>
        <w:rPr>
          <w:rtl w:val="true"/>
        </w:rPr>
        <w:t>النقطة الثانية</w:t>
      </w:r>
      <w:bookmarkEnd w:id="430"/>
    </w:p>
    <w:p>
      <w:pPr>
        <w:pStyle w:val="BookText"/>
        <w:rPr/>
      </w:pPr>
      <w:r>
        <w:rPr>
          <w:rFonts w:ascii="Amiri" w:hAnsi="Amiri" w:eastAsia="Amiri" w:cs="Amiri"/>
          <w:color w:val="111111"/>
          <w:sz w:val="28"/>
          <w:sz w:val="28"/>
          <w:szCs w:val="28"/>
          <w:rtl w:val="true"/>
          <w:lang w:bidi="ar-SA"/>
        </w:rPr>
        <w:t>هل يشترط في الدليل الرادع أن يكون معتبراً سنداً، أو يتحقق ولو كان بسند غير معتبر ؟</w:t>
      </w:r>
    </w:p>
    <w:p>
      <w:pPr>
        <w:pStyle w:val="BookText"/>
        <w:rPr/>
      </w:pPr>
      <w:r>
        <w:rPr>
          <w:rFonts w:ascii="Amiri" w:hAnsi="Amiri" w:eastAsia="Amiri" w:cs="Amiri"/>
          <w:color w:val="111111"/>
          <w:sz w:val="28"/>
          <w:sz w:val="28"/>
          <w:szCs w:val="28"/>
          <w:rtl w:val="true"/>
          <w:lang w:bidi="ar-SA"/>
        </w:rPr>
        <w:t>سيأتي أن حجية السيرة من جهة إفادتها الاطمئنان أو القطع على أساس حساب الاحتمالات، فليست السيرة من الظنون الخاصة التي قام الدليل على اعتبارها، بل لاندراجها تحت الحجج العامة وهما القطع والاطمئنان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فوصول الخبر الضعيف الدال على الردع قد يحول دون حصول الاطمئنان بعدم الردع؛ لأنه قيمة احتمالية في جنب الردع فليس بالضرورة أن يكون الخبر الواصل إلينا خبراً معتبراً سنداً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كانت حجية السيرة من باب الظنون الخاصة فإنه لا يصح رفع اليد عن الحجة إلا بحجة أخرى، فلا يضرّ وجود الخبر الضعيف</w:t>
      </w:r>
      <w:r>
        <w:rPr>
          <w:rFonts w:eastAsia="Amiri" w:cs="Amiri" w:ascii="Amiri" w:hAnsi="Amiri"/>
          <w:color w:val="111111"/>
          <w:sz w:val="28"/>
          <w:szCs w:val="28"/>
          <w:rtl w:val="true"/>
          <w:lang w:bidi="ar-SA"/>
        </w:rPr>
        <w:t>.</w:t>
      </w:r>
    </w:p>
    <w:p>
      <w:pPr>
        <w:pStyle w:val="Heading6"/>
        <w:numPr>
          <w:ilvl w:val="5"/>
          <w:numId w:val="1"/>
        </w:numPr>
        <w:rPr/>
      </w:pPr>
      <w:bookmarkStart w:id="431" w:name="__RefHeading___Toc3266370_2870459653"/>
      <w:bookmarkStart w:id="432" w:name="_Toc166"/>
      <w:bookmarkEnd w:id="431"/>
      <w:r>
        <w:rPr>
          <w:rtl w:val="true"/>
        </w:rPr>
        <w:t>النقطة الثالثة</w:t>
      </w:r>
      <w:bookmarkEnd w:id="432"/>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 يكفي في الردع خبر واحد، أو لا بد أن يكون متعدّداً؟ </w:t>
      </w:r>
      <w:bookmarkStart w:id="433" w:name="pg9142_80725"/>
    </w:p>
    <w:p>
      <w:pPr>
        <w:pStyle w:val="BookText"/>
        <w:rPr/>
      </w:pPr>
      <w:bookmarkEnd w:id="433"/>
      <w:r>
        <w:rPr>
          <w:rFonts w:ascii="Amiri" w:hAnsi="Amiri" w:eastAsia="Amiri" w:cs="Amiri"/>
          <w:color w:val="111111"/>
          <w:sz w:val="28"/>
          <w:sz w:val="28"/>
          <w:szCs w:val="28"/>
          <w:rtl w:val="true"/>
          <w:lang w:bidi="ar-SA"/>
        </w:rPr>
        <w:t xml:space="preserve">يختلف ذلك باختلاف الموارد فالسيرة قد تكون بدرجة من العموم والرسوخ بحيث يكون الخبر الصحيح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الضعيف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ليس بذاك الوضوح دلالة غير مانع من حصول الاطمئنان بعدم الردع فتكون الروايات الرادعة عن هذه السيرة كثيرة جداً، ومركزة دلالة، ودواعي النقل متوفّرة، فمن المؤكد أن يصل إلينا من الأخبار ما يناسبها</w:t>
      </w:r>
      <w:r>
        <w:rPr>
          <w:rFonts w:eastAsia="Amiri" w:cs="Amiri" w:ascii="Amiri" w:hAnsi="Amiri"/>
          <w:color w:val="111111"/>
          <w:sz w:val="28"/>
          <w:szCs w:val="28"/>
          <w:rtl w:val="true"/>
          <w:lang w:bidi="ar-SA"/>
        </w:rPr>
        <w:t>.</w:t>
      </w:r>
    </w:p>
    <w:p>
      <w:pPr>
        <w:pStyle w:val="Heading6"/>
        <w:numPr>
          <w:ilvl w:val="5"/>
          <w:numId w:val="1"/>
        </w:numPr>
        <w:rPr/>
      </w:pPr>
      <w:bookmarkStart w:id="434" w:name="__RefHeading___Toc3266372_2870459653"/>
      <w:bookmarkStart w:id="435" w:name="_Toc167"/>
      <w:bookmarkEnd w:id="434"/>
      <w:r>
        <w:rPr>
          <w:rtl w:val="true"/>
        </w:rPr>
        <w:t>النقطة الرابعة</w:t>
      </w:r>
      <w:bookmarkEnd w:id="435"/>
    </w:p>
    <w:p>
      <w:pPr>
        <w:pStyle w:val="BookText"/>
        <w:rPr/>
      </w:pPr>
      <w:r>
        <w:rPr>
          <w:rFonts w:ascii="Amiri" w:hAnsi="Amiri" w:eastAsia="Amiri" w:cs="Amiri"/>
          <w:color w:val="111111"/>
          <w:sz w:val="28"/>
          <w:sz w:val="28"/>
          <w:szCs w:val="28"/>
          <w:rtl w:val="true"/>
          <w:lang w:bidi="ar-SA"/>
        </w:rPr>
        <w:t>تقدّم أن نفس وصول السيرة إلينا دخيل في عدم ثبوت الردع، لأنه يمثل احتمالاً قوياً في جانب عدم وصول الردع إلينا، لبعد اجتماع وصولها مع وصول الردع إلينا</w:t>
      </w:r>
      <w:r>
        <w:rPr>
          <w:rFonts w:eastAsia="Amiri" w:cs="Amiri" w:ascii="Amiri" w:hAnsi="Amiri"/>
          <w:color w:val="111111"/>
          <w:sz w:val="28"/>
          <w:szCs w:val="28"/>
          <w:rtl w:val="true"/>
          <w:lang w:bidi="ar-SA"/>
        </w:rPr>
        <w:t>.</w:t>
      </w:r>
    </w:p>
    <w:p>
      <w:pPr>
        <w:pStyle w:val="Heading6"/>
        <w:numPr>
          <w:ilvl w:val="5"/>
          <w:numId w:val="1"/>
        </w:numPr>
        <w:rPr/>
      </w:pPr>
      <w:bookmarkStart w:id="436" w:name="__RefHeading___Toc3266374_2870459653"/>
      <w:bookmarkStart w:id="437" w:name="_Toc168"/>
      <w:bookmarkEnd w:id="436"/>
      <w:r>
        <w:rPr>
          <w:rtl w:val="true"/>
        </w:rPr>
        <w:t>النقطة الخامسة</w:t>
      </w:r>
      <w:bookmarkEnd w:id="437"/>
    </w:p>
    <w:p>
      <w:pPr>
        <w:pStyle w:val="Heading6"/>
        <w:numPr>
          <w:ilvl w:val="5"/>
          <w:numId w:val="1"/>
        </w:numPr>
        <w:rPr/>
      </w:pPr>
      <w:bookmarkStart w:id="438" w:name="__RefHeading___Toc3266376_2870459653"/>
      <w:bookmarkStart w:id="439" w:name="_Toc169"/>
      <w:bookmarkEnd w:id="438"/>
      <w:r>
        <w:rPr>
          <w:rtl w:val="true"/>
        </w:rPr>
        <w:t>اشارة</w:t>
      </w:r>
      <w:bookmarkEnd w:id="439"/>
    </w:p>
    <w:p>
      <w:pPr>
        <w:pStyle w:val="BookText"/>
        <w:rPr/>
      </w:pPr>
      <w:r>
        <w:rPr>
          <w:rFonts w:ascii="Amiri" w:hAnsi="Amiri" w:eastAsia="Amiri" w:cs="Amiri"/>
          <w:color w:val="111111"/>
          <w:sz w:val="28"/>
          <w:sz w:val="28"/>
          <w:szCs w:val="28"/>
          <w:rtl w:val="true"/>
          <w:lang w:bidi="ar-SA"/>
        </w:rPr>
        <w:t>هل يتأتى الردع عن السيرة بالعمومات والمطلقات ونحوها أولا؟</w:t>
      </w:r>
    </w:p>
    <w:p>
      <w:pPr>
        <w:pStyle w:val="BookText"/>
        <w:rPr/>
      </w:pPr>
      <w:r>
        <w:rPr>
          <w:rFonts w:ascii="Amiri" w:hAnsi="Amiri" w:eastAsia="Amiri" w:cs="Amiri"/>
          <w:color w:val="111111"/>
          <w:sz w:val="28"/>
          <w:sz w:val="28"/>
          <w:szCs w:val="28"/>
          <w:rtl w:val="true"/>
          <w:lang w:bidi="ar-SA"/>
        </w:rPr>
        <w:t>إن بعض أبحاث هذه النقطة تذكر في غير موضع من الأصول، منها في مبحث حجية خبر الواحد مما هو مرتبط بالآيات الرادعة عن العمل بالظن وبغير العلم ونحوها، ونحن في المقام سنذكر جوابين عامين لكل سيرة يُدعى الردع عنها بعموم أو إطلاق</w:t>
      </w:r>
      <w:r>
        <w:rPr>
          <w:rFonts w:eastAsia="Amiri" w:cs="Amiri" w:ascii="Amiri" w:hAnsi="Amiri"/>
          <w:color w:val="111111"/>
          <w:sz w:val="28"/>
          <w:szCs w:val="28"/>
          <w:rtl w:val="true"/>
          <w:lang w:bidi="ar-SA"/>
        </w:rPr>
        <w:t>:</w:t>
      </w:r>
    </w:p>
    <w:p>
      <w:pPr>
        <w:pStyle w:val="Heading6"/>
        <w:numPr>
          <w:ilvl w:val="5"/>
          <w:numId w:val="1"/>
        </w:numPr>
        <w:rPr/>
      </w:pPr>
      <w:bookmarkStart w:id="440" w:name="__RefHeading___Toc3266378_2870459653"/>
      <w:bookmarkStart w:id="441" w:name="_Toc170"/>
      <w:bookmarkEnd w:id="440"/>
      <w:r>
        <w:rPr>
          <w:rtl w:val="true"/>
        </w:rPr>
        <w:t>الجواب الأول</w:t>
      </w:r>
      <w:bookmarkEnd w:id="441"/>
    </w:p>
    <w:p>
      <w:pPr>
        <w:pStyle w:val="BookText"/>
        <w:rPr/>
      </w:pPr>
      <w:r>
        <w:rPr>
          <w:rFonts w:ascii="Amiri" w:hAnsi="Amiri" w:eastAsia="Amiri" w:cs="Amiri"/>
          <w:color w:val="111111"/>
          <w:sz w:val="28"/>
          <w:sz w:val="28"/>
          <w:szCs w:val="28"/>
          <w:rtl w:val="true"/>
          <w:lang w:bidi="ar-SA"/>
        </w:rPr>
        <w:t>تقدّم أن السيرة لمكان عمومها ورسوخها ينبغي أن تكون الأدلة الرادعة عنها واسعة في مقابل العموم، ومركزة في مقابل الرسوخ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ويُراد بالمركزة ما يكون موضوعها خصوص السيرة ودلالتها واضحة، فلايمكن الردع بالمطلقات والعمومات</w:t>
      </w:r>
      <w:r>
        <w:rPr>
          <w:rFonts w:eastAsia="Amiri" w:cs="Amiri" w:ascii="Amiri" w:hAnsi="Amiri"/>
          <w:color w:val="111111"/>
          <w:sz w:val="28"/>
          <w:szCs w:val="28"/>
          <w:rtl w:val="true"/>
          <w:lang w:bidi="ar-SA"/>
        </w:rPr>
        <w:t>.</w:t>
      </w:r>
    </w:p>
    <w:p>
      <w:pPr>
        <w:pStyle w:val="Heading6"/>
        <w:numPr>
          <w:ilvl w:val="5"/>
          <w:numId w:val="1"/>
        </w:numPr>
        <w:rPr/>
      </w:pPr>
      <w:bookmarkStart w:id="442" w:name="__RefHeading___Toc3266380_2870459653"/>
      <w:bookmarkStart w:id="443" w:name="_Toc171"/>
      <w:bookmarkEnd w:id="442"/>
      <w:r>
        <w:rPr>
          <w:rtl w:val="true"/>
        </w:rPr>
        <w:t>الجواب الثاني</w:t>
      </w:r>
      <w:bookmarkEnd w:id="443"/>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السيرة النابعة من قريحة العقلاء مؤلّفة من جزئين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السلوك </w:t>
      </w:r>
    </w:p>
    <w:p>
      <w:pPr>
        <w:pStyle w:val="BookText"/>
        <w:rPr/>
      </w:pPr>
      <w:r>
        <w:rPr>
          <w:rFonts w:ascii="Amiri" w:hAnsi="Amiri" w:eastAsia="Amiri" w:cs="Amiri"/>
          <w:color w:val="111111"/>
          <w:sz w:val="28"/>
          <w:sz w:val="28"/>
          <w:szCs w:val="28"/>
          <w:rtl w:val="true"/>
          <w:lang w:bidi="ar-SA"/>
        </w:rPr>
        <w:t>الخارجي، والارتكاز وقريحة العقلاء التي تكون وراء هذا السلوك، وهذا الارتكاز يُصنف عادة على مناسبات الحكم والموضوع التي هي بمثابة القرينة المتصلة، فتمنع من انعقاد الإطلاق بحيث يشمل هذه السيرة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الواضح أن هذين الوجهين مختصان بالسيرة المنعقدة بالفعل؛ لأنها راسخة وذات ارتكاز حاف بالمطلق أو العام، وأما السيرة غير المنعقدة فيتأتى الردع عنها بالمطلقات والعمومات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الصحيح التفصيل بين السيرة المنعقدة بالفعل والسيرة التي لم تنعقد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ننهي الكلام في هذا الشرط، ويليه الشرط الثالث في معاصرة السيرة للمشرع الإسلامي في حلقة أخرى إن شاء الله تعالى</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والحمد لله رب العالمين</w:t>
      </w:r>
      <w:r>
        <w:rPr>
          <w:rFonts w:eastAsia="Amiri" w:cs="Amiri" w:ascii="Amiri" w:hAnsi="Amiri"/>
          <w:color w:val="111111"/>
          <w:sz w:val="28"/>
          <w:szCs w:val="28"/>
          <w:rtl w:val="true"/>
          <w:lang w:bidi="ar-SA"/>
        </w:rPr>
        <w:t>.</w:t>
      </w:r>
      <w:bookmarkStart w:id="444" w:name="pg9142_80727"/>
    </w:p>
    <w:p>
      <w:pPr>
        <w:pStyle w:val="Heading2"/>
        <w:numPr>
          <w:ilvl w:val="1"/>
          <w:numId w:val="1"/>
        </w:numPr>
        <w:rPr/>
      </w:pPr>
      <w:bookmarkStart w:id="445" w:name="__RefHeading___Toc3266382_2870459653"/>
      <w:bookmarkStart w:id="446" w:name="_Toc172"/>
      <w:bookmarkEnd w:id="444"/>
      <w:bookmarkEnd w:id="445"/>
      <w:r>
        <w:rPr>
          <w:rtl w:val="true"/>
        </w:rPr>
        <w:t xml:space="preserve">رجال الجواهر </w:t>
      </w:r>
      <w:r>
        <w:rPr>
          <w:rtl w:val="true"/>
        </w:rPr>
        <w:t>(</w:t>
      </w:r>
      <w:r>
        <w:rPr>
          <w:rtl w:val="true"/>
        </w:rPr>
        <w:t>الحلقة الثّانية</w:t>
      </w:r>
      <w:r>
        <w:rPr>
          <w:rtl w:val="true"/>
        </w:rPr>
        <w:t xml:space="preserve">) - </w:t>
      </w:r>
      <w:r>
        <w:rPr>
          <w:rtl w:val="true"/>
        </w:rPr>
        <w:t xml:space="preserve">الشّيخ عليّ سعدون الغزّيّ </w:t>
      </w:r>
      <w:r>
        <w:rPr>
          <w:rtl w:val="true"/>
        </w:rPr>
        <w:t>(</w:t>
      </w:r>
      <w:r>
        <w:rPr>
          <w:rtl w:val="true"/>
        </w:rPr>
        <w:t>دام عزه</w:t>
      </w:r>
      <w:r>
        <w:rPr>
          <w:rtl w:val="true"/>
        </w:rPr>
        <w:t>)</w:t>
      </w:r>
      <w:bookmarkEnd w:id="446"/>
    </w:p>
    <w:p>
      <w:pPr>
        <w:pStyle w:val="Heading3"/>
        <w:numPr>
          <w:ilvl w:val="2"/>
          <w:numId w:val="1"/>
        </w:numPr>
        <w:rPr/>
      </w:pPr>
      <w:bookmarkStart w:id="447" w:name="__RefHeading___Toc3266384_2870459653"/>
      <w:bookmarkStart w:id="448" w:name="_Toc173"/>
      <w:bookmarkEnd w:id="447"/>
      <w:r>
        <w:rPr>
          <w:rtl w:val="true"/>
        </w:rPr>
        <w:t>اشارة</w:t>
      </w:r>
      <w:bookmarkEnd w:id="448"/>
    </w:p>
    <w:p>
      <w:pPr>
        <w:pStyle w:val="BookText"/>
        <w:rPr/>
      </w:pPr>
      <w:r>
        <w:rPr>
          <w:rFonts w:ascii="Amiri" w:hAnsi="Amiri" w:eastAsia="Amiri" w:cs="Amiri"/>
          <w:color w:val="111111"/>
          <w:sz w:val="28"/>
          <w:sz w:val="28"/>
          <w:szCs w:val="28"/>
          <w:rtl w:val="true"/>
          <w:lang w:bidi="ar-SA"/>
        </w:rPr>
        <w:t>إنَّ من القيم المعرفيّة المهمّة هو إحياء آثار العلماء الماضين من خلال تسليط الضوء على جواهر علومهم المنبثّة في ثنايا كلماتهم وسطورهم، والتعرّف على مسالكهم ومبانيهم في ما استندوا إليه في استنباط الأحكام الشرعيّة في موسوعاتهم الفقهيّة</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هذا الضوء يأتي البحث الماثل بين يديكم في ثلاث حلقات هادفاً لبيان المباني الرجاليّة لصاحب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وتطبيقاتها على الرواة في مقام إعماله للجرح والتعديل، والتي استند إليها في موسوعته الفقهيّة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جواهر الكلام في شرح شرائع الإسلام</w:t>
      </w:r>
      <w:r>
        <w:rPr>
          <w:rFonts w:eastAsia="Amiri" w:cs="Amiri" w:ascii="Amiri" w:hAnsi="Amiri"/>
          <w:color w:val="111111"/>
          <w:sz w:val="28"/>
          <w:szCs w:val="28"/>
          <w:rtl w:val="true"/>
          <w:lang w:bidi="ar-SA"/>
        </w:rPr>
        <w:t xml:space="preserve">). </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49" w:name="pg9142_80729"/>
      <w:bookmarkStart w:id="450" w:name="pg9142_80729"/>
      <w:bookmarkEnd w:id="450"/>
    </w:p>
    <w:p>
      <w:pPr>
        <w:pStyle w:val="Heading3"/>
        <w:numPr>
          <w:ilvl w:val="2"/>
          <w:numId w:val="1"/>
        </w:numPr>
        <w:rPr/>
      </w:pPr>
      <w:bookmarkStart w:id="451" w:name="pg9142_80729"/>
      <w:bookmarkStart w:id="452" w:name="__RefHeading___Toc3266386_2870459653"/>
      <w:bookmarkStart w:id="453" w:name="_Toc174"/>
      <w:bookmarkEnd w:id="451"/>
      <w:bookmarkEnd w:id="452"/>
      <w:r>
        <w:rPr>
          <w:rtl w:val="true"/>
        </w:rPr>
        <w:t>المقدّمة</w:t>
      </w:r>
      <w:bookmarkEnd w:id="453"/>
    </w:p>
    <w:p>
      <w:pPr>
        <w:pStyle w:val="Heading4"/>
        <w:numPr>
          <w:ilvl w:val="3"/>
          <w:numId w:val="1"/>
        </w:numPr>
        <w:rPr/>
      </w:pPr>
      <w:bookmarkStart w:id="454" w:name="__RefHeading___Toc3266388_2870459653"/>
      <w:bookmarkStart w:id="455" w:name="_Toc175"/>
      <w:bookmarkEnd w:id="454"/>
      <w:r>
        <w:rPr>
          <w:rtl w:val="true"/>
        </w:rPr>
        <w:t>اشارة</w:t>
      </w:r>
      <w:bookmarkEnd w:id="455"/>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الحمد لله ربّ العالمين، والصّلاة والسّلام على خير خلقه محمّد وآله الطّيّبين الطّاهرين، واللّعنة الدّائمة على أعدائهم أجمعين حتّى قيام يوم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تتناول الحلقة الثانية من رجال الجواهر ثلاثة محاور</w:t>
      </w:r>
      <w:r>
        <w:rPr>
          <w:rFonts w:eastAsia="Amiri" w:cs="Amiri" w:ascii="Amiri" w:hAnsi="Amiri"/>
          <w:color w:val="111111"/>
          <w:sz w:val="28"/>
          <w:szCs w:val="28"/>
          <w:rtl w:val="true"/>
          <w:lang w:bidi="ar-SA"/>
        </w:rPr>
        <w:t>:</w:t>
      </w:r>
    </w:p>
    <w:p>
      <w:pPr>
        <w:pStyle w:val="Heading4"/>
        <w:numPr>
          <w:ilvl w:val="3"/>
          <w:numId w:val="1"/>
        </w:numPr>
        <w:rPr/>
      </w:pPr>
      <w:bookmarkStart w:id="456" w:name="__RefHeading___Toc3266390_2870459653"/>
      <w:bookmarkStart w:id="457" w:name="_Toc176"/>
      <w:bookmarkEnd w:id="456"/>
      <w:r>
        <w:rPr>
          <w:rtl w:val="true"/>
        </w:rPr>
        <w:t>المحور الأوّل</w:t>
      </w:r>
      <w:r>
        <w:rPr>
          <w:rtl w:val="true"/>
        </w:rPr>
        <w:t xml:space="preserve">: </w:t>
      </w:r>
      <w:r>
        <w:rPr>
          <w:rtl w:val="true"/>
        </w:rPr>
        <w:t>ما يتعلّق بأحوال السند</w:t>
      </w:r>
      <w:bookmarkEnd w:id="457"/>
    </w:p>
    <w:p>
      <w:pPr>
        <w:pStyle w:val="BookText"/>
        <w:rPr/>
      </w:pPr>
      <w:r>
        <w:rPr>
          <w:rFonts w:ascii="Amiri" w:hAnsi="Amiri" w:eastAsia="Amiri" w:cs="Amiri"/>
          <w:color w:val="111111"/>
          <w:sz w:val="28"/>
          <w:sz w:val="28"/>
          <w:szCs w:val="28"/>
          <w:rtl w:val="true"/>
          <w:lang w:bidi="ar-SA"/>
        </w:rPr>
        <w:t>وقد ضمّ المباحث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الموثّق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المصحّح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المضمر</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المكاتبة</w:t>
      </w:r>
      <w:r>
        <w:rPr>
          <w:rFonts w:eastAsia="Amiri" w:cs="Amiri" w:ascii="Amiri" w:hAnsi="Amiri"/>
          <w:color w:val="111111"/>
          <w:sz w:val="28"/>
          <w:szCs w:val="28"/>
          <w:rtl w:val="true"/>
          <w:lang w:bidi="ar-SA"/>
        </w:rPr>
        <w:t xml:space="preserve">. </w:t>
      </w:r>
      <w:bookmarkStart w:id="458" w:name="pg9142_80730"/>
    </w:p>
    <w:p>
      <w:pPr>
        <w:pStyle w:val="BookText"/>
        <w:rPr/>
      </w:pPr>
      <w:bookmarkEnd w:id="458"/>
      <w:r>
        <w:rPr>
          <w:rFonts w:ascii="IRNazanin" w:hAnsi="IRNazanin" w:eastAsia="IRNazanin"/>
          <w:color w:val="111111"/>
          <w:sz w:val="28"/>
          <w:sz w:val="28"/>
          <w:szCs w:val="28"/>
          <w:rtl w:val="true"/>
          <w:lang w:bidi="fa-IR"/>
        </w:rPr>
        <w:t>المرسل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الإرسال عن غير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مراسيل أصحاب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مراسيل الصدوق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جابرية الشهرة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إعراض المشهور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تعويض طرق الشيخ</w:t>
      </w:r>
      <w:r>
        <w:rPr>
          <w:rFonts w:eastAsia="Amiri" w:cs="Amiri" w:ascii="Amiri" w:hAnsi="Amiri"/>
          <w:color w:val="111111"/>
          <w:sz w:val="28"/>
          <w:szCs w:val="28"/>
          <w:rtl w:val="true"/>
          <w:lang w:bidi="ar-SA"/>
        </w:rPr>
        <w:t>.</w:t>
      </w:r>
    </w:p>
    <w:p>
      <w:pPr>
        <w:pStyle w:val="Heading4"/>
        <w:numPr>
          <w:ilvl w:val="3"/>
          <w:numId w:val="1"/>
        </w:numPr>
        <w:rPr/>
      </w:pPr>
      <w:bookmarkStart w:id="459" w:name="__RefHeading___Toc3266392_2870459653"/>
      <w:bookmarkStart w:id="460" w:name="_Toc177"/>
      <w:bookmarkEnd w:id="459"/>
      <w:r>
        <w:rPr>
          <w:rtl w:val="true"/>
        </w:rPr>
        <w:t>المحور الثاني</w:t>
      </w:r>
      <w:r>
        <w:rPr>
          <w:rtl w:val="true"/>
        </w:rPr>
        <w:t xml:space="preserve">: </w:t>
      </w:r>
      <w:r>
        <w:rPr>
          <w:rtl w:val="true"/>
        </w:rPr>
        <w:t>ما يتعلّق بمتن الحديث</w:t>
      </w:r>
      <w:bookmarkEnd w:id="460"/>
    </w:p>
    <w:p>
      <w:pPr>
        <w:pStyle w:val="BookText"/>
        <w:rPr/>
      </w:pPr>
      <w:r>
        <w:rPr>
          <w:rFonts w:ascii="Amiri" w:hAnsi="Amiri" w:eastAsia="Amiri" w:cs="Amiri"/>
          <w:color w:val="111111"/>
          <w:sz w:val="28"/>
          <w:sz w:val="28"/>
          <w:szCs w:val="28"/>
          <w:rtl w:val="true"/>
          <w:lang w:bidi="ar-SA"/>
        </w:rPr>
        <w:t>وقد ضمّ المباحث التالية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المضطرب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التفكيك بين فقرات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أضبطية الكليني</w:t>
      </w:r>
      <w:r>
        <w:rPr>
          <w:rFonts w:eastAsia="Amiri" w:cs="Amiri" w:ascii="Amiri" w:hAnsi="Amiri"/>
          <w:color w:val="111111"/>
          <w:sz w:val="28"/>
          <w:szCs w:val="28"/>
          <w:rtl w:val="true"/>
          <w:lang w:bidi="ar-SA"/>
        </w:rPr>
        <w:t>.</w:t>
      </w:r>
    </w:p>
    <w:p>
      <w:pPr>
        <w:pStyle w:val="Heading4"/>
        <w:numPr>
          <w:ilvl w:val="3"/>
          <w:numId w:val="1"/>
        </w:numPr>
        <w:rPr/>
      </w:pPr>
      <w:bookmarkStart w:id="461" w:name="__RefHeading___Toc3266394_2870459653"/>
      <w:bookmarkStart w:id="462" w:name="_Toc178"/>
      <w:bookmarkEnd w:id="461"/>
      <w:r>
        <w:rPr>
          <w:rtl w:val="true"/>
        </w:rPr>
        <w:t>المحور الثالث</w:t>
      </w:r>
      <w:r>
        <w:rPr>
          <w:rtl w:val="true"/>
        </w:rPr>
        <w:t xml:space="preserve">: </w:t>
      </w:r>
      <w:r>
        <w:rPr>
          <w:rtl w:val="true"/>
        </w:rPr>
        <w:t>ما يتعلّق ببيان الموقف من بعض الكتب الروائية</w:t>
      </w:r>
      <w:bookmarkEnd w:id="462"/>
    </w:p>
    <w:p>
      <w:pPr>
        <w:pStyle w:val="BookText"/>
        <w:rPr/>
      </w:pPr>
      <w:r>
        <w:rPr>
          <w:rFonts w:ascii="Amiri" w:hAnsi="Amiri" w:eastAsia="Amiri" w:cs="Amiri"/>
          <w:color w:val="111111"/>
          <w:sz w:val="28"/>
          <w:sz w:val="28"/>
          <w:szCs w:val="28"/>
          <w:rtl w:val="true"/>
          <w:lang w:bidi="ar-SA"/>
        </w:rPr>
        <w:t>وقد ضمّ الكتب التالية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كتاب مسائل عليّ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 الفقه الرضوي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التفسير الروائي المنسوب للإمام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 الجعفريات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مستطرفات السرائر</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كتاب دعائم الإسلام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لكن لمّا كانت المادّة المعروضة تحت العناوين المذكورة تزيد على ضعف الحدّ الأقصى من صفحات البحث الممكن عرضها في المجلّة، استقرّ الرأي على انتخاب بعضٍ منها ليُعرض في هذا العدد، على أن تأتي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بقية العناوين في ما يطبع كتاباً من رجال الجواهر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وقع الاختيار على خمسة عناوين لتُعرض في هذه الحلقة، ثلاثة من المحور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الصحيح، فهو مع الفراغ عن حجّيته إلّا أنّه جاءت في كلمات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الإشارةُ إلى جملة من مباحثه التفصيلية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وثانيها وثالثها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الشهرة جبراً وكسراً؛ نظراً إلى اعتماده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وواحد من المحور الثاني، وهو أضبطية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وواحد من المحور الثالث، وهو كتاب الجعفريات؛ لتعرّضه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للمناقشة فيه بشيء من التفصيل</w:t>
      </w:r>
      <w:r>
        <w:rPr>
          <w:rFonts w:eastAsia="Amiri" w:cs="Amiri" w:ascii="Amiri" w:hAnsi="Amiri"/>
          <w:color w:val="111111"/>
          <w:sz w:val="28"/>
          <w:szCs w:val="28"/>
          <w:rtl w:val="true"/>
          <w:lang w:bidi="ar-SA"/>
        </w:rPr>
        <w:t xml:space="preserve">. </w:t>
      </w:r>
      <w:bookmarkStart w:id="463" w:name="pg9142_80732"/>
    </w:p>
    <w:p>
      <w:pPr>
        <w:pStyle w:val="Heading3"/>
        <w:numPr>
          <w:ilvl w:val="2"/>
          <w:numId w:val="1"/>
        </w:numPr>
        <w:rPr/>
      </w:pPr>
      <w:bookmarkStart w:id="464" w:name="__RefHeading___Toc3266396_2870459653"/>
      <w:bookmarkStart w:id="465" w:name="_Toc179"/>
      <w:bookmarkEnd w:id="463"/>
      <w:bookmarkEnd w:id="464"/>
      <w:r>
        <w:rPr>
          <w:rtl w:val="true"/>
        </w:rPr>
        <w:t>الصحيح</w:t>
      </w:r>
      <w:bookmarkEnd w:id="465"/>
    </w:p>
    <w:p>
      <w:pPr>
        <w:pStyle w:val="Heading4"/>
        <w:numPr>
          <w:ilvl w:val="3"/>
          <w:numId w:val="1"/>
        </w:numPr>
        <w:rPr/>
      </w:pPr>
      <w:bookmarkStart w:id="466" w:name="__RefHeading___Toc3266398_2870459653"/>
      <w:bookmarkStart w:id="467" w:name="_Toc180"/>
      <w:bookmarkEnd w:id="466"/>
      <w:r>
        <w:rPr>
          <w:rtl w:val="true"/>
        </w:rPr>
        <w:t>اشارة</w:t>
      </w:r>
      <w:bookmarkEnd w:id="4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أوصاف الحديث التي استعملت في وصفه قديماً، ولكنّه مرّ بمرحلتين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مرحلة استعماله في كلمات المتقدّمين من الأعلام، ومرحلة استعماله في كلمات المتأخّرين منهم</w:t>
      </w:r>
      <w:r>
        <w:rPr>
          <w:rFonts w:eastAsia="Amiri" w:cs="Amiri" w:ascii="Amiri" w:hAnsi="Amiri"/>
          <w:color w:val="111111"/>
          <w:sz w:val="28"/>
          <w:szCs w:val="28"/>
          <w:rtl w:val="true"/>
          <w:lang w:bidi="ar-SA"/>
        </w:rPr>
        <w:t>.</w:t>
      </w:r>
    </w:p>
    <w:p>
      <w:pPr>
        <w:pStyle w:val="Heading4"/>
        <w:numPr>
          <w:ilvl w:val="3"/>
          <w:numId w:val="1"/>
        </w:numPr>
        <w:rPr/>
      </w:pPr>
      <w:bookmarkStart w:id="468" w:name="__RefHeading___Toc3266400_2870459653"/>
      <w:bookmarkStart w:id="469" w:name="_Toc181"/>
      <w:bookmarkEnd w:id="468"/>
      <w:r>
        <w:rPr>
          <w:rtl w:val="true"/>
        </w:rPr>
        <w:t>أولاً</w:t>
      </w:r>
      <w:r>
        <w:rPr>
          <w:rtl w:val="true"/>
        </w:rPr>
        <w:t xml:space="preserve">: </w:t>
      </w:r>
      <w:r>
        <w:rPr>
          <w:rtl w:val="true"/>
        </w:rPr>
        <w:t>الصحيح القدمائي</w:t>
      </w:r>
      <w:bookmarkEnd w:id="469"/>
    </w:p>
    <w:p>
      <w:pPr>
        <w:pStyle w:val="BookText"/>
        <w:rPr/>
      </w:pPr>
      <w:r>
        <w:rPr>
          <w:rFonts w:ascii="Amiri" w:hAnsi="Amiri" w:eastAsia="Amiri" w:cs="Amiri"/>
          <w:color w:val="111111"/>
          <w:sz w:val="28"/>
          <w:sz w:val="28"/>
          <w:szCs w:val="28"/>
          <w:rtl w:val="true"/>
          <w:lang w:bidi="ar-SA"/>
        </w:rPr>
        <w:t xml:space="preserve">فذكر أنَّ المقصود منه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الذي قامت القرائن على اعتباره، وإنْ ضَعُفَ سنده</w:t>
      </w:r>
      <w:r>
        <w:rPr>
          <w:rFonts w:eastAsia="Amiri" w:cs="Amiri" w:ascii="Amiri" w:hAnsi="Amiri"/>
          <w:color w:val="111111"/>
          <w:sz w:val="28"/>
          <w:szCs w:val="28"/>
          <w:rtl w:val="true"/>
          <w:lang w:bidi="ar-SA"/>
        </w:rPr>
        <w:t>)</w:t>
      </w:r>
      <w:r>
        <w:rPr>
          <w:rStyle w:val="FootnoteAnchor"/>
          <w:rtl w:val="true"/>
        </w:rPr>
        <w:footnoteReference w:id="396"/>
      </w:r>
      <w:r>
        <w:rPr>
          <w:rFonts w:ascii="IRNazanin" w:hAnsi="IRNazanin" w:eastAsia="IRNazanin"/>
          <w:color w:val="111111"/>
          <w:sz w:val="28"/>
          <w:sz w:val="28"/>
          <w:szCs w:val="28"/>
          <w:rtl w:val="true"/>
          <w:lang w:bidi="fa-IR"/>
        </w:rPr>
        <w:t xml:space="preserve">، قال صاحب الجواهر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وخبر بريد بن معاوية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رواه الكليني والشيخ بغير واحد من الأسانيد، بل في بعضها من أصحاب الإجماع الذين لا يلتفت إلى من بعدهم في وجه، بل لعلّ التأمّل فيه يورث الفقيه الماهر قطعاً بصحّته بالمعنى القديم؛ لكثرة القرائن الدالّة على ذلك،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غابت الحمرة من هذا الجانب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من ناحية المشرق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غابت الشمس من شرق الأرض وغربها</w:t>
      </w:r>
      <w:r>
        <w:rPr>
          <w:rFonts w:eastAsia="IRNazanin" w:cs="IRNazanin"/>
          <w:color w:val="111111"/>
          <w:sz w:val="28"/>
          <w:szCs w:val="28"/>
          <w:rtl w:val="true"/>
          <w:lang w:bidi="fa-IR"/>
        </w:rPr>
        <w:t>))</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حجّة؛ لأنّه يورث العلم والقطع للفقيه به، لكثرة القرائن الدالّة على اعتباره،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بعد العلم من شيء</w:t>
      </w:r>
      <w:r>
        <w:rPr>
          <w:rFonts w:eastAsia="Amiri" w:cs="Amiri" w:ascii="Amiri" w:hAnsi="Amiri"/>
          <w:color w:val="111111"/>
          <w:sz w:val="28"/>
          <w:szCs w:val="28"/>
          <w:rtl w:val="true"/>
          <w:lang w:bidi="ar-SA"/>
        </w:rPr>
        <w:t>)</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ذكر الشيخ في مقدّمة الاستبصار جملةً من القرائن التي تفيد العلم بصحّة الخبر</w:t>
      </w:r>
      <w:r>
        <w:rPr>
          <w:rStyle w:val="FootnoteAnchor"/>
          <w:rtl w:val="true"/>
        </w:rPr>
        <w:footnoteReference w:id="399"/>
      </w:r>
      <w:r>
        <w:rPr>
          <w:rFonts w:ascii="Amiri" w:hAnsi="Amiri" w:eastAsia="Amiri" w:cs="Amiri"/>
          <w:color w:val="111111"/>
          <w:sz w:val="28"/>
          <w:sz w:val="28"/>
          <w:szCs w:val="28"/>
          <w:rtl w:val="true"/>
          <w:lang w:bidi="ar-SA"/>
        </w:rPr>
        <w:t xml:space="preserve">، وأشار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بعضها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إلّا أنّك خبير بأنّا في غنية </w:t>
      </w:r>
    </w:p>
    <w:p>
      <w:pPr>
        <w:pStyle w:val="BookText"/>
        <w:rPr/>
      </w:pPr>
      <w:r>
        <w:rPr>
          <w:rFonts w:ascii="IRNazanin" w:hAnsi="IRNazanin" w:eastAsia="IRNazanin"/>
          <w:color w:val="111111"/>
          <w:sz w:val="28"/>
          <w:sz w:val="28"/>
          <w:szCs w:val="28"/>
          <w:rtl w:val="true"/>
          <w:lang w:bidi="fa-IR"/>
        </w:rPr>
        <w:t xml:space="preserve">بتلك النصوص المتعدّدة التي فيها المشتمل على ضروب الدلالة وتأكيدها، والذي شهد القرائن بصحّته، كوجوده في الأصول المعتبرة من كتاب حريز المشهورة في زمن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وغيره، والذي هو في أعلى درجات الصحّة، بل لو قلنا باستفادة مذاهب الرواة من رواياتهم لعلم أنّه مذهب الأساطين من المعاصرين للأئمّة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وغيرهم، إلى غير ذلك من الأمور التي لا تخفى على الخبير الممارس، كمخالفتها للعامّة العمياء الّذين جعل الله الرشد في خلافهم ونحوها ممّا يعلم به قصور غيرها سنداً وعدداً ودلالة وقرائن عن تقييد المطلق منها فضلاً عن المعارضة</w:t>
      </w:r>
      <w:r>
        <w:rPr>
          <w:rFonts w:eastAsia="IRNazanin" w:cs="IRNazanin"/>
          <w:color w:val="111111"/>
          <w:sz w:val="28"/>
          <w:szCs w:val="28"/>
          <w:rtl w:val="true"/>
          <w:lang w:bidi="fa-IR"/>
        </w:rPr>
        <w:t>)</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قرائن صحّة الخبر وروده في الكتب الأربعة،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حينئذٍ فلا ريب في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 أشبه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بأصول المذهب وقواعده التي مقتضاها العمل بالنصوص المستفيضة أو المتواترة التي فيها الصحيح وغيره، ومرويّة في الكتب الأربعة وغيرها المعتضدة مع ذلك بالأصول والعمل وغيرهما، السالمة عن المعارض المكافئ لها، إذ ليس هو إلّا الإجماع الذي قد عرفت حاله</w:t>
      </w:r>
      <w:r>
        <w:rPr>
          <w:rFonts w:eastAsia="Amiri" w:cs="Amiri" w:ascii="Amiri" w:hAnsi="Amiri"/>
          <w:color w:val="111111"/>
          <w:sz w:val="28"/>
          <w:szCs w:val="28"/>
          <w:rtl w:val="true"/>
          <w:lang w:bidi="ar-SA"/>
        </w:rPr>
        <w:t>)</w:t>
      </w:r>
      <w:r>
        <w:rPr>
          <w:rStyle w:val="FootnoteAnchor"/>
          <w:rtl w:val="true"/>
        </w:rPr>
        <w:footnoteReference w:id="401"/>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ما ليس له فلس في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روايتان أشهرهما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هي إن لم تكن متواترة فمقطوعة المضمون باعتبار تعاضدها وروايتها في الكتب الأربعة وغيرها وتعدّد كيفية دلالتها</w:t>
      </w:r>
      <w:r>
        <w:rPr>
          <w:rFonts w:eastAsia="Amiri" w:cs="Amiri" w:ascii="Amiri" w:hAnsi="Amiri"/>
          <w:color w:val="111111"/>
          <w:sz w:val="28"/>
          <w:szCs w:val="28"/>
          <w:rtl w:val="true"/>
          <w:lang w:bidi="ar-SA"/>
        </w:rPr>
        <w:t>)</w:t>
      </w:r>
      <w:r>
        <w:rPr>
          <w:rStyle w:val="FootnoteAnchor"/>
          <w:rtl w:val="true"/>
        </w:rPr>
        <w:footnoteReference w:id="402"/>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لكن مع رواية المحمّدين الثلاثة لها قد حكي العمل بها عن الشيخ في الخلاف وابن حمزة وأبي الصلاح، بل عن الأوّل منهم نسبته إلى رواية </w:t>
      </w:r>
    </w:p>
    <w:p>
      <w:pPr>
        <w:pStyle w:val="BookText"/>
        <w:rPr/>
      </w:pPr>
      <w:r>
        <w:rPr>
          <w:rFonts w:ascii="Amiri" w:hAnsi="Amiri" w:eastAsia="Amiri" w:cs="Amiri"/>
          <w:color w:val="111111"/>
          <w:sz w:val="28"/>
          <w:sz w:val="28"/>
          <w:szCs w:val="28"/>
          <w:rtl w:val="true"/>
          <w:lang w:bidi="ar-SA"/>
        </w:rPr>
        <w:t>أصحابنا، بل دعوى إجماع الفرقة وأخبارهم عليه، فيمكن أن يكون ذلك جابراً لها</w:t>
      </w:r>
      <w:r>
        <w:rPr>
          <w:rFonts w:eastAsia="Amiri" w:cs="Amiri" w:ascii="Amiri" w:hAnsi="Amiri"/>
          <w:color w:val="111111"/>
          <w:sz w:val="28"/>
          <w:szCs w:val="28"/>
          <w:rtl w:val="true"/>
          <w:lang w:bidi="ar-SA"/>
        </w:rPr>
        <w:t>)</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والظاهر أنّ الوجه فيه هو تبيّن المحمّدين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رواياتهم بما أشاروا إليه في مقدّماتها،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أمكن القول بانجبار المرسلَين بما سمعته من الشهرة في المسالك، مضافاً إلى تبيّن ما في الكتب الأربع، فيصلحان للتخصيص والتقييد، بل والمعارضة التي يمكن الجمع فيها بالحمل على ضرب من الندب</w:t>
      </w:r>
      <w:r>
        <w:rPr>
          <w:rFonts w:eastAsia="Amiri" w:cs="Amiri" w:ascii="Amiri" w:hAnsi="Amiri"/>
          <w:color w:val="111111"/>
          <w:sz w:val="28"/>
          <w:szCs w:val="28"/>
          <w:rtl w:val="true"/>
          <w:lang w:bidi="ar-SA"/>
        </w:rPr>
        <w:t>)</w:t>
      </w:r>
      <w:r>
        <w:rPr>
          <w:rStyle w:val="FootnoteAnchor"/>
          <w:rtl w:val="true"/>
        </w:rPr>
        <w:footnoteReference w:id="404"/>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وهي وإن كانت ضعيفة وقلنا بأنّ الضعيف في الكتب الأربعة لا يعمل به، ولا يكفي تبيّن المحمّدين له، أو لعدم ضمانهم صحّته، لكنّها متعاضدة</w:t>
      </w:r>
      <w:r>
        <w:rPr>
          <w:rFonts w:eastAsia="Amiri" w:cs="Amiri" w:ascii="Amiri" w:hAnsi="Amiri"/>
          <w:color w:val="111111"/>
          <w:sz w:val="28"/>
          <w:szCs w:val="28"/>
          <w:rtl w:val="true"/>
          <w:lang w:bidi="ar-SA"/>
        </w:rPr>
        <w:t>)</w:t>
      </w:r>
      <w:r>
        <w:rPr>
          <w:rStyle w:val="FootnoteAnchor"/>
          <w:rtl w:val="true"/>
        </w:rPr>
        <w:footnoteReference w:id="405"/>
      </w:r>
      <w:r>
        <w:rPr>
          <w:rFonts w:ascii="Amiri" w:hAnsi="Amiri" w:eastAsia="Amiri" w:cs="Amiri"/>
          <w:color w:val="111111"/>
          <w:sz w:val="28"/>
          <w:sz w:val="28"/>
          <w:szCs w:val="28"/>
          <w:rtl w:val="true"/>
          <w:lang w:bidi="ar-SA"/>
        </w:rPr>
        <w:t xml:space="preserve">، ممّا جعلها في غاية الاعتبار،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الكتب الأربعة التي هي بمكانة من الاعتبار</w:t>
      </w:r>
      <w:r>
        <w:rPr>
          <w:rFonts w:eastAsia="Amiri" w:cs="Amiri" w:ascii="Amiri" w:hAnsi="Amiri"/>
          <w:color w:val="111111"/>
          <w:sz w:val="28"/>
          <w:szCs w:val="28"/>
          <w:rtl w:val="true"/>
          <w:lang w:bidi="ar-SA"/>
        </w:rPr>
        <w:t>)</w:t>
      </w:r>
      <w:r>
        <w:rPr>
          <w:rStyle w:val="FootnoteAnchor"/>
          <w:rtl w:val="true"/>
        </w:rPr>
        <w:footnoteReference w:id="4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وكون مدار النظر عليها عند الأعلام غالباً،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الكتب الأربعة التي عليها مدار النظر في الغالب</w:t>
      </w:r>
      <w:r>
        <w:rPr>
          <w:rFonts w:eastAsia="Amiri" w:cs="Amiri" w:ascii="Amiri" w:hAnsi="Amiri"/>
          <w:color w:val="111111"/>
          <w:sz w:val="28"/>
          <w:szCs w:val="28"/>
          <w:rtl w:val="true"/>
          <w:lang w:bidi="ar-SA"/>
        </w:rPr>
        <w:t>)</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جعل من عدم ورود الخبر في الكتب الأربعة ممّا يؤشّر إلى ضعفه،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مع كونه غير معلوم السند، ومروياً في غير الكتب الأربعة</w:t>
      </w:r>
      <w:r>
        <w:rPr>
          <w:rFonts w:eastAsia="Amiri" w:cs="Amiri" w:ascii="Amiri" w:hAnsi="Amiri"/>
          <w:color w:val="111111"/>
          <w:sz w:val="28"/>
          <w:szCs w:val="28"/>
          <w:rtl w:val="true"/>
          <w:lang w:bidi="ar-SA"/>
        </w:rPr>
        <w:t>)</w:t>
      </w:r>
      <w:r>
        <w:rPr>
          <w:rStyle w:val="FootnoteAnchor"/>
          <w:rtl w:val="true"/>
        </w:rPr>
        <w:footnoteReference w:id="408"/>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خبر أبي </w:t>
      </w:r>
      <w:bookmarkStart w:id="470" w:name="pg9142_80735"/>
    </w:p>
    <w:p>
      <w:pPr>
        <w:pStyle w:val="BookText"/>
        <w:rPr/>
      </w:pPr>
      <w:bookmarkEnd w:id="470"/>
      <w:r>
        <w:rPr>
          <w:rFonts w:ascii="Amiri" w:hAnsi="Amiri" w:eastAsia="Amiri" w:cs="Amiri"/>
          <w:color w:val="111111"/>
          <w:sz w:val="28"/>
          <w:sz w:val="28"/>
          <w:szCs w:val="28"/>
          <w:rtl w:val="true"/>
          <w:lang w:bidi="ar-SA"/>
        </w:rPr>
        <w:t>البختري فهو مع ضعفه وعدم روايته في الكتب الأربعة</w:t>
      </w:r>
      <w:r>
        <w:rPr>
          <w:rFonts w:eastAsia="Amiri" w:cs="Amiri" w:ascii="Amiri" w:hAnsi="Amiri"/>
          <w:color w:val="111111"/>
          <w:sz w:val="28"/>
          <w:szCs w:val="28"/>
          <w:rtl w:val="true"/>
          <w:lang w:bidi="ar-SA"/>
        </w:rPr>
        <w:t>)</w:t>
      </w:r>
      <w:r>
        <w:rPr>
          <w:rStyle w:val="FootnoteAnchor"/>
          <w:rtl w:val="true"/>
        </w:rPr>
        <w:footnoteReference w:id="409"/>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 مع أنّ الأوّل منهما مرسل وفي غير الكتب الأربع</w:t>
      </w:r>
      <w:r>
        <w:rPr>
          <w:rFonts w:eastAsia="Amiri" w:cs="Amiri" w:ascii="Amiri" w:hAnsi="Amiri"/>
          <w:color w:val="111111"/>
          <w:sz w:val="28"/>
          <w:szCs w:val="28"/>
          <w:rtl w:val="true"/>
          <w:lang w:bidi="ar-SA"/>
        </w:rPr>
        <w:t>)</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71" w:name="__RefHeading___Toc3266402_2870459653"/>
      <w:bookmarkStart w:id="472" w:name="_Toc182"/>
      <w:bookmarkEnd w:id="471"/>
      <w:r>
        <w:rPr>
          <w:rtl w:val="true"/>
        </w:rPr>
        <w:t>ثانياً</w:t>
      </w:r>
      <w:r>
        <w:rPr>
          <w:rtl w:val="true"/>
        </w:rPr>
        <w:t xml:space="preserve">: </w:t>
      </w:r>
      <w:r>
        <w:rPr>
          <w:rtl w:val="true"/>
        </w:rPr>
        <w:t>الصحيح المتأخّري</w:t>
      </w:r>
      <w:bookmarkEnd w:id="472"/>
    </w:p>
    <w:p>
      <w:pPr>
        <w:pStyle w:val="Heading5"/>
        <w:numPr>
          <w:ilvl w:val="4"/>
          <w:numId w:val="1"/>
        </w:numPr>
        <w:rPr/>
      </w:pPr>
      <w:bookmarkStart w:id="473" w:name="__RefHeading___Toc3266404_2870459653"/>
      <w:bookmarkStart w:id="474" w:name="_Toc183"/>
      <w:bookmarkEnd w:id="473"/>
      <w:r>
        <w:rPr>
          <w:rtl w:val="true"/>
        </w:rPr>
        <w:t>اشارة</w:t>
      </w:r>
      <w:bookmarkEnd w:id="474"/>
    </w:p>
    <w:p>
      <w:pPr>
        <w:pStyle w:val="BookText"/>
        <w:rPr/>
      </w:pPr>
      <w:r>
        <w:rPr>
          <w:rFonts w:ascii="Amiri" w:hAnsi="Amiri" w:eastAsia="Amiri" w:cs="Amiri"/>
          <w:color w:val="111111"/>
          <w:sz w:val="28"/>
          <w:sz w:val="28"/>
          <w:szCs w:val="28"/>
          <w:rtl w:val="true"/>
          <w:lang w:bidi="ar-SA"/>
        </w:rPr>
        <w:t xml:space="preserve">ومقصودهم منه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الذي كان جميع رواة سنده إمامية موثّقين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بيّن الشيخ البهائي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 المتأخّرين في تقسيم الحديث، والوجه في عدولهم عن اصطلاح المتقدّمين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 استقرّ اصطلاح المتأخّرين من علمائنا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تنويع الحديث المعتبر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في 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الأنواع الثلاثة المشهورة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أعني الصحيح والحسن والموثّق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إن كان جميع سلسلة سنده إماميين ممدوحين بالتوثيق فصحيح، أو إماميين ممدوحين بدونه كُلَّاً أو بعضاً مع توثيق الباقي فحسن، أو كانوا كُلَّاً أو بعضاً غير إماميين مع توثيق الكلّ فموثّق، وهذا الاصطلاح لم يكن معروفاً بين قدمائنا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هو ظاهر لمن مارس كلامهم، بل كان المتعارف بينهم إطلاق الصحيح على كلّ حديث اعتضد بما يقتضي اعتمادهم عليه، أو اقترن بما يوجب الوثوق به والركون إليه، وذلك أمور</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وجوده في كثير من الأصول الأربعمائة التي نقلوها عن مشايخهم بطرقهم المتّصلة بأصحاب العصمة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متداولة لديهم في تلك الأعصار مشتهرة فيما بينهم اشتهار الشمس في رابعة النهار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تبيين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الذي بعث المتأخّرين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الله مراقدهم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العدول عن متعارف القدماء، ووضع ذلك الاصطلاح الجديد هو أنّه لمّا طالت المدّة بينهم وبين الصدر السالف، وآل الحال إلى اندراس بعض كتب الأصول المعتمدة؛ لتسلّط حكّام الجور والضلال، والخوف من إظهارها وانتساخها، وانضمّ إلى ذلك اجتماع ما وصل إليهم من كتب الأصول في الأصول المشهورة في هذا الزمان، فالتبست الأحاديث المأخوذة من الأصول المعتمدة بالمأخوذة من غير المعتمدة، واشتبهت المتكرّرة في كتب الأصول بغير المتكرّرة، وخفي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 من تلك الأمور التي كانت سبب وثوق القدماء بكثير من الأحاديث، ولم يمكنهم الجري على أثرهم في تمييز ما يعتمد عليه ممّا لا يركن إليه، فاحتاجوا إلى قانون تتميّز به الأحاديث المعتبرة عن غيرها، والموثوق بها عمّا سواها، فقرّروا 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شكر الله سعيهم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الاصطلاح الجديد، وقرّبوا إلينا البعيد، ووصفوا الأحاديث الموردة في كتبهم الاستدلالية بما اقتضاه ذلك الاصطلاح من الصحّة والحسن والتوثيق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وأوّل من سلك هذا الطريق من علمائنا المتأخّرين شيخنا العلّامة جمال الحقّ والدين الحسن بن المطهّر الحلّي قدّس الله روحه</w:t>
      </w:r>
      <w:r>
        <w:rPr>
          <w:rFonts w:eastAsia="Amiri" w:cs="Amiri" w:ascii="Amiri" w:hAnsi="Amiri"/>
          <w:color w:val="111111"/>
          <w:sz w:val="28"/>
          <w:szCs w:val="28"/>
          <w:rtl w:val="true"/>
          <w:lang w:bidi="ar-SA"/>
        </w:rPr>
        <w:t>)</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جرى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عموم كتابه على اصطلاح المتأخّرين في تقسيم الحديث، فوصف ما تناوله من الأخبار بأحد أوصاف اصطلاحهم كالصحيح، </w:t>
      </w:r>
      <w:bookmarkStart w:id="475" w:name="pg9142_80737"/>
    </w:p>
    <w:p>
      <w:pPr>
        <w:pStyle w:val="BookText"/>
        <w:rPr/>
      </w:pPr>
      <w:bookmarkEnd w:id="475"/>
      <w:r>
        <w:rPr>
          <w:rFonts w:ascii="IRNazanin" w:hAnsi="IRNazanin" w:eastAsia="IRNazanin"/>
          <w:color w:val="111111"/>
          <w:sz w:val="28"/>
          <w:sz w:val="28"/>
          <w:szCs w:val="28"/>
          <w:rtl w:val="true"/>
          <w:lang w:bidi="fa-IR"/>
        </w:rPr>
        <w:t>والموثّق، والحسن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والصحيح المتأخّري حجّة أيضاً؛ لكونه القدر المتيقّن من حجّية خبر الثقة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وهنا أمران</w:t>
      </w:r>
      <w:r>
        <w:rPr>
          <w:rFonts w:eastAsia="IRNazanin" w:cs="IRNazanin"/>
          <w:color w:val="111111"/>
          <w:sz w:val="28"/>
          <w:szCs w:val="28"/>
          <w:rtl w:val="true"/>
          <w:lang w:bidi="fa-IR"/>
        </w:rPr>
        <w:t>:</w:t>
      </w:r>
    </w:p>
    <w:p>
      <w:pPr>
        <w:pStyle w:val="Heading5"/>
        <w:numPr>
          <w:ilvl w:val="4"/>
          <w:numId w:val="1"/>
        </w:numPr>
        <w:rPr/>
      </w:pPr>
      <w:bookmarkStart w:id="476" w:name="__RefHeading___Toc3266406_2870459653"/>
      <w:bookmarkStart w:id="477" w:name="_Toc184"/>
      <w:bookmarkEnd w:id="476"/>
      <w:r>
        <w:rPr>
          <w:rtl w:val="true"/>
        </w:rPr>
        <w:t>الأمر الأوّل</w:t>
      </w:r>
      <w:r>
        <w:rPr>
          <w:rtl w:val="true"/>
        </w:rPr>
        <w:t xml:space="preserve">: </w:t>
      </w:r>
      <w:r>
        <w:rPr>
          <w:rtl w:val="true"/>
        </w:rPr>
        <w:t>الصحّة الإضافية</w:t>
      </w:r>
      <w:bookmarkEnd w:id="477"/>
    </w:p>
    <w:p>
      <w:pPr>
        <w:pStyle w:val="BookText"/>
        <w:rPr/>
      </w:pPr>
      <w:r>
        <w:rPr>
          <w:rFonts w:ascii="Amiri" w:hAnsi="Amiri" w:eastAsia="Amiri" w:cs="Amiri"/>
          <w:color w:val="111111"/>
          <w:sz w:val="28"/>
          <w:sz w:val="28"/>
          <w:szCs w:val="28"/>
          <w:rtl w:val="true"/>
          <w:lang w:bidi="ar-SA"/>
        </w:rPr>
        <w:t xml:space="preserve">إنّ المتأخّرين جروا بشكل عامّ على استعمال صيغتين للصحيح، وهما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أو صحيحة فلان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الصحيح عن فلان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والصيغة الأولى هي المراد من الصحيح المتأخّري</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الصيغة الثانية فيصطلح عليها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الصحّة الإضافية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والمراد منها صحّة رجال السند جميعاً عدا المذكور بعد حرف الجر فيها، فإنّه ليس كذلك إمّا لضعفه، أو لجهالته، أو لفساد عقيدته، أو مُدح مدحاً لا يرتقي إلى التوثيق، قال الشهيد الثاني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الخبر الأوّل وإن كان قد وصفه بالصحّة جماعة من المحقّقين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كالعلّامة وولده والشهيد في الشرح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فيه منعاً بيّناً؛ لأنّ عبد الملك بن عمرو لم ينصّ أحد عليه بالتعديل، وإنّما هو ممدوح مدحاً بعيداً عن التعديل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يذكره النجاشي، ولا الشيخ في كتابيه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وذكره العلّامة ونقل عن الكشّي أنّ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يدعو له حتّى أنّه يدعو لدابّته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غايته أن يقتضي المدح لا التوثيق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والأولى أن يريدوا بصحّتها توثيق رجال أسنادها إلى عبد الملك المذكور، وهي صحّة إضافية مستعملة في اصطلاحهم كثيراً</w:t>
      </w:r>
      <w:r>
        <w:rPr>
          <w:rFonts w:eastAsia="IRNazanin" w:cs="IRNazanin"/>
          <w:color w:val="111111"/>
          <w:sz w:val="28"/>
          <w:szCs w:val="28"/>
          <w:rtl w:val="true"/>
          <w:lang w:bidi="fa-IR"/>
        </w:rPr>
        <w:t>)</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 xml:space="preserve">. </w:t>
      </w:r>
      <w:bookmarkStart w:id="478" w:name="pg9142_80738"/>
    </w:p>
    <w:p>
      <w:pPr>
        <w:pStyle w:val="BookText"/>
        <w:rPr/>
      </w:pPr>
      <w:bookmarkEnd w:id="478"/>
      <w:r>
        <w:rPr>
          <w:rFonts w:ascii="Amiri" w:hAnsi="Amiri" w:eastAsia="Amiri" w:cs="Amiri"/>
          <w:color w:val="111111"/>
          <w:sz w:val="28"/>
          <w:sz w:val="28"/>
          <w:szCs w:val="28"/>
          <w:rtl w:val="true"/>
          <w:lang w:bidi="ar-SA"/>
        </w:rPr>
        <w:t xml:space="preserve">وقال المحقّق الخوانساري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أوّلاً فبعدم صحّة السند؛ لأنّ عبد الله المذكور لم يوثّقه أحد من الرجاليين، بل إنّما يمدح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إنّما نقلوا عن ابن إدريس أنّه وصف هذه الرواية بالصحّة، وهو ممّا لم يصلح للتعويل بعد عدم توثيق الرجاليين؛ لعدم ظهور مراده من لفظ الصحّة، لجواز أن يكون مراده غير الصحّة المشهورة بين المتأخّرين، وأمّا ما ذكره العلّامة في المختلف والمنتهى في هذا المقام من رواية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الصحيح عن عبد الله بن يحيى الكاهلي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يدلّ على توثيقه؛ إذ يجوز أن يكون مراده أنّه صحيح إلى عبد الله، وكثيراً ما يجري كلامهم على هذا الاصطلاح</w:t>
      </w:r>
      <w:r>
        <w:rPr>
          <w:rFonts w:eastAsia="Amiri" w:cs="Amiri" w:ascii="Amiri" w:hAnsi="Amiri"/>
          <w:color w:val="111111"/>
          <w:sz w:val="28"/>
          <w:szCs w:val="28"/>
          <w:rtl w:val="true"/>
          <w:lang w:bidi="ar-SA"/>
        </w:rPr>
        <w:t>)</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والأخير مشتمل على الحسن بن علي بن زياد الوشا، وعن ظاهر الأكثر عدّ حديثه من الحسن لا الصحيح، بل في المحكي عن المسالك التصريح بذلك،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ووصفه بالصحّة في كلام بعض الأصحاب يراد به الصحّة الإضافية دون الحقيقية</w:t>
      </w:r>
      <w:r>
        <w:rPr>
          <w:rFonts w:eastAsia="Amiri" w:cs="Amiri" w:ascii="Amiri" w:hAnsi="Amiri"/>
          <w:color w:val="111111"/>
          <w:sz w:val="28"/>
          <w:szCs w:val="28"/>
          <w:rtl w:val="true"/>
          <w:lang w:bidi="ar-SA"/>
        </w:rPr>
        <w:t>)</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والصحيح المروي في الكافي والتهذيب عن سليمان بن 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جهل راويه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يذكره علماء الرجال</w:t>
      </w:r>
      <w:r>
        <w:rPr>
          <w:rFonts w:eastAsia="Amiri" w:cs="Amiri" w:ascii="Amiri" w:hAnsi="Amiri"/>
          <w:color w:val="111111"/>
          <w:sz w:val="28"/>
          <w:szCs w:val="28"/>
          <w:rtl w:val="true"/>
          <w:lang w:bidi="ar-SA"/>
        </w:rPr>
        <w:t>)</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79" w:name="__RefHeading___Toc3266408_2870459653"/>
      <w:bookmarkStart w:id="480" w:name="_Toc185"/>
      <w:bookmarkEnd w:id="479"/>
      <w:r>
        <w:rPr>
          <w:rtl w:val="true"/>
        </w:rPr>
        <w:t>الأمر الآخر</w:t>
      </w:r>
      <w:r>
        <w:rPr>
          <w:rtl w:val="true"/>
        </w:rPr>
        <w:t xml:space="preserve">: </w:t>
      </w:r>
      <w:r>
        <w:rPr>
          <w:rtl w:val="true"/>
        </w:rPr>
        <w:t>أعلى درجات الصحّة</w:t>
      </w:r>
      <w:bookmarkEnd w:id="480"/>
    </w:p>
    <w:p>
      <w:pPr>
        <w:pStyle w:val="Heading6"/>
        <w:numPr>
          <w:ilvl w:val="5"/>
          <w:numId w:val="1"/>
        </w:numPr>
        <w:rPr/>
      </w:pPr>
      <w:bookmarkStart w:id="481" w:name="__RefHeading___Toc3266410_2870459653"/>
      <w:bookmarkStart w:id="482" w:name="_Toc186"/>
      <w:bookmarkEnd w:id="481"/>
      <w:r>
        <w:rPr>
          <w:rtl w:val="true"/>
        </w:rPr>
        <w:t>اشارة</w:t>
      </w:r>
      <w:bookmarkEnd w:id="482"/>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استعمل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أعلى درجات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أعلى مراتب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موارد ستّة</w:t>
      </w:r>
      <w:r>
        <w:rPr>
          <w:rFonts w:eastAsia="Amiri" w:cs="Amiri" w:ascii="Amiri" w:hAnsi="Amiri"/>
          <w:color w:val="111111"/>
          <w:sz w:val="28"/>
          <w:szCs w:val="28"/>
          <w:rtl w:val="true"/>
          <w:lang w:bidi="ar-SA"/>
        </w:rPr>
        <w:t xml:space="preserve">: </w:t>
      </w:r>
      <w:bookmarkStart w:id="483" w:name="pg9142_80739"/>
    </w:p>
    <w:p>
      <w:pPr>
        <w:pStyle w:val="Heading6"/>
        <w:numPr>
          <w:ilvl w:val="5"/>
          <w:numId w:val="1"/>
        </w:numPr>
        <w:rPr/>
      </w:pPr>
      <w:bookmarkStart w:id="484" w:name="__RefHeading___Toc3266412_2870459653"/>
      <w:bookmarkStart w:id="485" w:name="_Toc187"/>
      <w:bookmarkEnd w:id="483"/>
      <w:bookmarkEnd w:id="484"/>
      <w:r>
        <w:rPr>
          <w:rtl w:val="true"/>
        </w:rPr>
        <w:t>المورد الأوّل</w:t>
      </w:r>
      <w:bookmarkEnd w:id="485"/>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ريب أنّ خبر زرارة المروي في التهذيب والكافي بأعلى درجات الصحّة</w:t>
      </w:r>
      <w:r>
        <w:rPr>
          <w:rFonts w:eastAsia="Amiri" w:cs="Amiri" w:ascii="Amiri" w:hAnsi="Amiri"/>
          <w:color w:val="111111"/>
          <w:sz w:val="28"/>
          <w:szCs w:val="28"/>
          <w:rtl w:val="true"/>
          <w:lang w:bidi="ar-SA"/>
        </w:rPr>
        <w:t>)</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ومقصوده به ما روي في الكافي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إسماعيل، عن الفضل بن شاذان، وعلي بن إبراهيم، عن أبيه جميعاً، عن حمّاد بن عيسى، عن حريز،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يصلّي الرجل بوضوء واحد صلاة الليل والنهار كلّها؟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ما لم يحدث</w:t>
      </w:r>
      <w:r>
        <w:rPr>
          <w:rFonts w:eastAsia="IRNazanin" w:cs="IRNazanin"/>
          <w:color w:val="111111"/>
          <w:sz w:val="28"/>
          <w:szCs w:val="28"/>
          <w:rtl w:val="true"/>
          <w:lang w:bidi="fa-IR"/>
        </w:rPr>
        <w:t>...)</w:t>
      </w:r>
      <w:r>
        <w:rPr>
          <w:rStyle w:val="FootnoteAnchor"/>
          <w:rtl w:val="true"/>
        </w:rPr>
        <w:footnoteReference w:id="417"/>
      </w:r>
      <w:r>
        <w:rPr>
          <w:rFonts w:ascii="IRNazanin" w:hAnsi="IRNazanin" w:eastAsia="IRNazanin"/>
          <w:color w:val="111111"/>
          <w:sz w:val="28"/>
          <w:sz w:val="28"/>
          <w:szCs w:val="28"/>
          <w:rtl w:val="true"/>
          <w:lang w:bidi="fa-IR"/>
        </w:rPr>
        <w:t>، وما رواه الشيخ في التهذيب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وأخبرني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أيّده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الإسناد عن الحسين بن سعيد عن حمّاد عن حريز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يصلّي الرجل بتيمّم واحد صلاة الليل والنهار كلّها؟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ما لم يحدث أو يصيب ماءً</w:t>
      </w:r>
      <w:r>
        <w:rPr>
          <w:rFonts w:eastAsia="IRNazanin" w:cs="IRNazanin"/>
          <w:color w:val="111111"/>
          <w:sz w:val="28"/>
          <w:szCs w:val="28"/>
          <w:rtl w:val="true"/>
          <w:lang w:bidi="fa-IR"/>
        </w:rPr>
        <w:t>...)</w:t>
      </w:r>
      <w:r>
        <w:rPr>
          <w:rStyle w:val="FootnoteAnchor"/>
          <w:rtl w:val="true"/>
        </w:rPr>
        <w:footnoteReference w:id="418"/>
      </w:r>
      <w:r>
        <w:rPr>
          <w:rFonts w:ascii="Amiri" w:hAnsi="Amiri" w:eastAsia="Amiri" w:cs="Amiri"/>
          <w:color w:val="111111"/>
          <w:sz w:val="28"/>
          <w:sz w:val="28"/>
          <w:szCs w:val="28"/>
          <w:rtl w:val="true"/>
          <w:lang w:bidi="ar-SA"/>
        </w:rPr>
        <w:t>، وأشار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بهذا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ما ذكره في السند السابق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وأخبرني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أيّده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أبيه، عن محمّد بن الحسن الصفّار وسعد، عن أحمد بن محمّد، عن الحسين بن سعيد</w:t>
      </w:r>
      <w:r>
        <w:rPr>
          <w:rFonts w:eastAsia="Amiri" w:cs="Amiri" w:ascii="Amiri" w:hAnsi="Amiri"/>
          <w:color w:val="111111"/>
          <w:sz w:val="28"/>
          <w:szCs w:val="28"/>
          <w:rtl w:val="true"/>
          <w:lang w:bidi="ar-SA"/>
        </w:rPr>
        <w:t>...)</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86" w:name="__RefHeading___Toc3266414_2870459653"/>
      <w:bookmarkStart w:id="487" w:name="_Toc188"/>
      <w:bookmarkEnd w:id="486"/>
      <w:r>
        <w:rPr>
          <w:rtl w:val="true"/>
        </w:rPr>
        <w:t>المورد الثاني</w:t>
      </w:r>
      <w:bookmarkEnd w:id="487"/>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إلّا أنّك خبير بأنّا في غنية بتلك النصوص المتعدّدة التي فيها المشتمل على ضروب الدلالة وتأكيدها، والذي شهد القرائن بصحّته، كوجوده في الأصول المعتبرة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كتاب حريز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المشهورة في زمن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وغيره، والذي </w:t>
      </w:r>
      <w:bookmarkStart w:id="488" w:name="pg9142_80740"/>
    </w:p>
    <w:p>
      <w:pPr>
        <w:pStyle w:val="BookText"/>
        <w:rPr/>
      </w:pPr>
      <w:bookmarkEnd w:id="488"/>
      <w:r>
        <w:rPr>
          <w:rFonts w:ascii="Amiri" w:hAnsi="Amiri" w:eastAsia="Amiri" w:cs="Amiri"/>
          <w:color w:val="111111"/>
          <w:sz w:val="28"/>
          <w:sz w:val="28"/>
          <w:szCs w:val="28"/>
          <w:rtl w:val="true"/>
          <w:lang w:bidi="ar-SA"/>
        </w:rPr>
        <w:t>هو في أعلى درجات الصحّة</w:t>
      </w:r>
      <w:r>
        <w:rPr>
          <w:rFonts w:eastAsia="Amiri" w:cs="Amiri" w:ascii="Amiri" w:hAnsi="Amiri"/>
          <w:color w:val="111111"/>
          <w:sz w:val="28"/>
          <w:szCs w:val="28"/>
          <w:rtl w:val="true"/>
          <w:lang w:bidi="ar-SA"/>
        </w:rPr>
        <w:t>)</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ومقصوده به ما روي في الفقيه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وفي رواية زرارة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كنت خلف إمام فلا تقرأن شيئاً في الأوّلتين وأنصت قراءته، ولا تقرأ شيئاً في الأخيرتين، فإنّ الله عزّ وجل يقول للمؤمنين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وَإِذَا قُرِئَ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في الفريضة خلف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فَاسْتَمِعُوا لَهُ وَأَنْصِتُوا لَعَلَّكُمْ تُرْحَمُونَ فالأخيرتان تبعاً للأوّلتين</w:t>
      </w:r>
      <w:r>
        <w:rPr>
          <w:rFonts w:eastAsia="Amiri" w:cs="Amiri" w:ascii="Amiri" w:hAnsi="Amiri"/>
          <w:color w:val="111111"/>
          <w:sz w:val="28"/>
          <w:szCs w:val="28"/>
          <w:rtl w:val="true"/>
          <w:lang w:bidi="ar-SA"/>
        </w:rPr>
        <w:t>)</w:t>
      </w:r>
      <w:r>
        <w:rPr>
          <w:rStyle w:val="FootnoteAnchor"/>
          <w:rtl w:val="true"/>
        </w:rPr>
        <w:footnoteReference w:id="4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وطريقه إلى زرارة ذكره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وما كان فيه عن زرارة بن أعين فقد رويته عن 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عبد الله بن جعفر الحميري، عن محمّد بن عيسى بن عبيد، والحسن بن ظريف، وعلي بن إسماعيل بن عيسى كلّهم، عن حمّاد بن عيسى، عن حريز بن عبد الله، عن زرارة بن أعين</w:t>
      </w:r>
      <w:r>
        <w:rPr>
          <w:rFonts w:eastAsia="IRNazanin" w:cs="IRNazanin"/>
          <w:color w:val="111111"/>
          <w:sz w:val="28"/>
          <w:szCs w:val="28"/>
          <w:rtl w:val="true"/>
          <w:lang w:bidi="fa-IR"/>
        </w:rPr>
        <w:t>)</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89" w:name="__RefHeading___Toc3266416_2870459653"/>
      <w:bookmarkStart w:id="490" w:name="_Toc189"/>
      <w:bookmarkEnd w:id="489"/>
      <w:r>
        <w:rPr>
          <w:rtl w:val="true"/>
        </w:rPr>
        <w:t>المورد الثالث</w:t>
      </w:r>
      <w:bookmarkEnd w:id="490"/>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ابن طاووس في الرسالة من كتاب الصلاة للحسين بن سعيد ما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عن عيص بن القاسم،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نسي أو نام عن الصلاة حتّى دخل وقت صلاة أخرى،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كانت صلاة الأولى فليبدأ بها، وإن كانت صلاة العصر فليصلِّ العشاء ثُمَّ يصلّي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هو في أعلى درجات الصحّة</w:t>
      </w:r>
      <w:r>
        <w:rPr>
          <w:rFonts w:eastAsia="IRNazanin" w:cs="IRNazanin"/>
          <w:color w:val="111111"/>
          <w:sz w:val="28"/>
          <w:szCs w:val="28"/>
          <w:rtl w:val="true"/>
          <w:lang w:bidi="fa-IR"/>
        </w:rPr>
        <w:t>)</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ومقصوده ما روي في البحار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رسالة المواسعة في القضاء للسيّد علي ابن </w:t>
      </w:r>
      <w:bookmarkStart w:id="491" w:name="pg9142_80741"/>
    </w:p>
    <w:p>
      <w:pPr>
        <w:pStyle w:val="BookText"/>
        <w:rPr/>
      </w:pPr>
      <w:bookmarkEnd w:id="491"/>
      <w:r>
        <w:rPr>
          <w:rFonts w:ascii="IRNazanin" w:hAnsi="IRNazanin" w:eastAsia="IRNazanin"/>
          <w:color w:val="111111"/>
          <w:sz w:val="28"/>
          <w:sz w:val="28"/>
          <w:szCs w:val="28"/>
          <w:rtl w:val="true"/>
          <w:lang w:bidi="fa-IR"/>
        </w:rPr>
        <w:t>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كتاب الصلاة للحسين بن سعيد، عن صفوان، عن عيص بن القاسم،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نسي أو نام عن الصلاة حتّى دخل وقت صلاة أخرى،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كانت صلاة الأولى فليبدأ بها، وإن كانت صلاة العصر فليصلِّ العشاء ثُمَّ يصلّي العصر</w:t>
      </w:r>
      <w:r>
        <w:rPr>
          <w:rFonts w:eastAsia="IRNazanin" w:cs="IRNazanin"/>
          <w:color w:val="111111"/>
          <w:sz w:val="28"/>
          <w:szCs w:val="28"/>
          <w:rtl w:val="true"/>
          <w:lang w:bidi="fa-IR"/>
        </w:rPr>
        <w:t>)</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92" w:name="__RefHeading___Toc3266418_2870459653"/>
      <w:bookmarkStart w:id="493" w:name="_Toc190"/>
      <w:bookmarkEnd w:id="492"/>
      <w:r>
        <w:rPr>
          <w:rtl w:val="true"/>
        </w:rPr>
        <w:t>المورد الرابع</w:t>
      </w:r>
      <w:bookmarkEnd w:id="493"/>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زرارة ومحمّد بن مسلم والفضيل الذي هو في أعلى درجات الصحّة</w:t>
      </w:r>
      <w:r>
        <w:rPr>
          <w:rFonts w:eastAsia="Amiri" w:cs="Amiri" w:ascii="Amiri" w:hAnsi="Amiri"/>
          <w:color w:val="111111"/>
          <w:sz w:val="28"/>
          <w:szCs w:val="28"/>
          <w:rtl w:val="true"/>
          <w:lang w:bidi="ar-SA"/>
        </w:rPr>
        <w:t>)</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ومقصوده ما روي في التهذيب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سعيد، عن حمّاد بن عيسى، عن حريز، عن زرارة وابن مسلم والفضيل</w:t>
      </w:r>
      <w:r>
        <w:rPr>
          <w:rFonts w:eastAsia="Amiri" w:cs="Amiri" w:ascii="Amiri" w:hAnsi="Amiri"/>
          <w:color w:val="111111"/>
          <w:sz w:val="28"/>
          <w:szCs w:val="28"/>
          <w:rtl w:val="true"/>
          <w:lang w:bidi="ar-SA"/>
        </w:rPr>
        <w:t>...)</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94" w:name="__RefHeading___Toc3266420_2870459653"/>
      <w:bookmarkStart w:id="495" w:name="_Toc191"/>
      <w:bookmarkEnd w:id="494"/>
      <w:r>
        <w:rPr>
          <w:rtl w:val="true"/>
        </w:rPr>
        <w:t>المورد الخامس</w:t>
      </w:r>
      <w:bookmarkEnd w:id="495"/>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مضافاً إلى المروي في التهذيب عن أبي عبيدة الحذّاء بسند صحيح، بل قيل أعلى درجات الصحّة،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سمعت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أيّما ذمّي اشترى من مسلم أرضاً فإنّ عليه الخمس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في الحدائق أنّه رواه المفيد في المقنعة عن الحذّاء أيضاً، والمحقّق في المعتبر عن الحسن بن محبوب، بل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روى الشيخ المفيد في باب الزيادات من المقنعة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الذمّي إذا اشترى من المسلم الأرض فعليه فيها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وبذلك كلّه ينقطع الأصل، ويقيّد مفهوم حصر الخمس في الكنوز والمعادن وفي الغنائم إن لم نقل إنّها منها كما ادّعاه في المنتهى، فما عن الشهيد الثاني في فوائد القواعد من الميل إلى عدم الخمس فيها استضعافاً للرواية، </w:t>
      </w:r>
      <w:bookmarkStart w:id="496" w:name="pg9142_80742"/>
    </w:p>
    <w:p>
      <w:pPr>
        <w:pStyle w:val="BookText"/>
        <w:rPr/>
      </w:pPr>
      <w:bookmarkEnd w:id="496"/>
      <w:r>
        <w:rPr>
          <w:rFonts w:ascii="Amiri" w:hAnsi="Amiri" w:eastAsia="Amiri" w:cs="Amiri"/>
          <w:color w:val="111111"/>
          <w:sz w:val="28"/>
          <w:sz w:val="28"/>
          <w:szCs w:val="28"/>
          <w:rtl w:val="true"/>
          <w:lang w:bidi="ar-SA"/>
        </w:rPr>
        <w:t>ضعيف جدّاً؛ إذ هي مع اعتضادها بما سمعت في أعلى مراتب الصحّة كما عرفت</w:t>
      </w:r>
      <w:r>
        <w:rPr>
          <w:rFonts w:eastAsia="Amiri" w:cs="Amiri" w:ascii="Amiri" w:hAnsi="Amiri"/>
          <w:color w:val="111111"/>
          <w:sz w:val="28"/>
          <w:szCs w:val="28"/>
          <w:rtl w:val="true"/>
          <w:lang w:bidi="ar-SA"/>
        </w:rPr>
        <w:t>)</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ومقصوده ما روي في التهذيب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عبد الله، عن أحمد بن محمّد، عن الحسن بن محبوب، عن أبي أيوب إبراهيم بن عثمان، عن أبي عبيدة الحذّاء،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4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طريقه إليه في المشيخة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ذكرته في هذا الكتاب عن سعد بن عبد الله فقد أخبرني به الشيخ أبو عبد الله، عن أبي القاسم جعفر بن محمّد بن قولويه، عن أبيه، عن سعد بن عبد الله، وأخبرني به أيضاً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جعفر محمّد بن علي بن الحسين، عن أبيه، عن سعد بن عبد الله</w:t>
      </w:r>
      <w:r>
        <w:rPr>
          <w:rFonts w:eastAsia="Amiri" w:cs="Amiri" w:ascii="Amiri" w:hAnsi="Amiri"/>
          <w:color w:val="111111"/>
          <w:sz w:val="28"/>
          <w:szCs w:val="28"/>
          <w:rtl w:val="true"/>
          <w:lang w:bidi="ar-SA"/>
        </w:rPr>
        <w:t>)</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97" w:name="__RefHeading___Toc3266422_2870459653"/>
      <w:bookmarkStart w:id="498" w:name="_Toc192"/>
      <w:bookmarkEnd w:id="497"/>
      <w:r>
        <w:rPr>
          <w:rtl w:val="true"/>
        </w:rPr>
        <w:t>المورد السادس</w:t>
      </w:r>
      <w:bookmarkEnd w:id="498"/>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صحيح أبي عبيدة،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اعتكف في ثلاثة أيام فهو يوم الرابع بالخيار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والمناقشة في سندهما بعلي بن الحسن بن فضّال يدفعها أنّهما في طريق الكافي في أعلى مراتب الصحّة</w:t>
      </w:r>
      <w:r>
        <w:rPr>
          <w:rFonts w:eastAsia="IRNazanin" w:cs="IRNazanin"/>
          <w:color w:val="111111"/>
          <w:sz w:val="28"/>
          <w:szCs w:val="28"/>
          <w:rtl w:val="true"/>
          <w:lang w:bidi="fa-IR"/>
        </w:rPr>
        <w:t>)</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ومقصوده ما روي في الكافي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أحمد بن محمّد، عن ابن محبوب، عن أبي أيوب، عن أبي عبيدة،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وظاهر المورد الثاني والثالث أنّه أراد بذلك وصف كتاب حريز والحسين بن سعيد بأنّهما في أعلى درجات الصحّة، والظاهر أنّ الوجه في وصفه لكتابيهما بذلك نصّ الصدوق عليهما في مقدّمته، وأنّهما من الكتب المشهورة التي عليها المعوّل، </w:t>
      </w:r>
    </w:p>
    <w:p>
      <w:pPr>
        <w:pStyle w:val="BookText"/>
        <w:rPr/>
      </w:pPr>
      <w:r>
        <w:rPr>
          <w:rFonts w:ascii="Amiri" w:hAnsi="Amiri" w:eastAsia="Amiri" w:cs="Amiri"/>
          <w:color w:val="111111"/>
          <w:sz w:val="28"/>
          <w:sz w:val="28"/>
          <w:szCs w:val="28"/>
          <w:rtl w:val="true"/>
          <w:lang w:bidi="ar-SA"/>
        </w:rPr>
        <w:t>وإليها المرجع،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ولم أقصد فيه قصد المصنّفين في إيراد جميع ما رووه، بل قصدت إلى إيراد ما أفتي به وأحكم بصحّته وأعتقد فيه أنّه حجّة فيما بيني وبين 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تقدّس ذكره وتعالت قدرته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وجميع ما فيه مستخرج من كتب مشهورة، عليها المعوّل وإليها المرجع، مثل كتاب حريز بن عبد الله السجستاني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 الحسين بن سعيد</w:t>
      </w:r>
      <w:r>
        <w:rPr>
          <w:rFonts w:eastAsia="Amiri" w:cs="Amiri" w:ascii="Amiri" w:hAnsi="Amiri"/>
          <w:color w:val="111111"/>
          <w:sz w:val="28"/>
          <w:szCs w:val="28"/>
          <w:rtl w:val="true"/>
          <w:lang w:bidi="ar-SA"/>
        </w:rPr>
        <w:t>)</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نصّ جملة من الأعلام على كون كتاب حريز أصلاً معتمداً معوّلاً عليه، كما في المدارك</w:t>
      </w:r>
      <w:r>
        <w:rPr>
          <w:rStyle w:val="FootnoteAnchor"/>
          <w:rtl w:val="true"/>
        </w:rPr>
        <w:footnoteReference w:id="433"/>
      </w:r>
      <w:r>
        <w:rPr>
          <w:rFonts w:ascii="Amiri" w:hAnsi="Amiri" w:eastAsia="Amiri" w:cs="Amiri"/>
          <w:color w:val="111111"/>
          <w:sz w:val="28"/>
          <w:sz w:val="28"/>
          <w:szCs w:val="28"/>
          <w:rtl w:val="true"/>
          <w:lang w:bidi="ar-SA"/>
        </w:rPr>
        <w:t>، وذخيرة المعاد</w:t>
      </w:r>
      <w:r>
        <w:rPr>
          <w:rStyle w:val="FootnoteAnchor"/>
          <w:rtl w:val="true"/>
        </w:rPr>
        <w:footnoteReference w:id="434"/>
      </w:r>
      <w:r>
        <w:rPr>
          <w:rFonts w:ascii="IRNazanin" w:hAnsi="IRNazanin" w:eastAsia="IRNazanin"/>
          <w:color w:val="111111"/>
          <w:sz w:val="28"/>
          <w:sz w:val="28"/>
          <w:szCs w:val="28"/>
          <w:rtl w:val="true"/>
          <w:lang w:bidi="fa-IR"/>
        </w:rPr>
        <w:t>، ومشارق الشموس</w:t>
      </w:r>
      <w:r>
        <w:rPr>
          <w:rStyle w:val="FootnoteAnchor"/>
          <w:rtl w:val="true"/>
        </w:rPr>
        <w:footnoteReference w:id="435"/>
      </w:r>
      <w:r>
        <w:rPr>
          <w:rFonts w:ascii="IRNazanin" w:hAnsi="IRNazanin" w:eastAsia="IRNazanin"/>
          <w:color w:val="111111"/>
          <w:sz w:val="28"/>
          <w:sz w:val="28"/>
          <w:szCs w:val="28"/>
          <w:rtl w:val="true"/>
          <w:lang w:bidi="fa-IR"/>
        </w:rPr>
        <w:t>، والحدائق</w:t>
      </w:r>
      <w:r>
        <w:rPr>
          <w:rStyle w:val="FootnoteAnchor"/>
          <w:rtl w:val="true"/>
        </w:rPr>
        <w:footnoteReference w:id="436"/>
      </w:r>
      <w:r>
        <w:rPr>
          <w:rFonts w:ascii="Amiri" w:hAnsi="Amiri" w:eastAsia="Amiri" w:cs="Amiri"/>
          <w:color w:val="111111"/>
          <w:sz w:val="28"/>
          <w:sz w:val="28"/>
          <w:szCs w:val="28"/>
          <w:rtl w:val="true"/>
          <w:lang w:bidi="ar-SA"/>
        </w:rPr>
        <w:t>، كما ذكر ذلك في الجواهر أيضاً</w:t>
      </w:r>
      <w:r>
        <w:rPr>
          <w:rStyle w:val="FootnoteAnchor"/>
          <w:rtl w:val="true"/>
        </w:rPr>
        <w:footnoteReference w:id="437"/>
      </w:r>
      <w:r>
        <w:rPr>
          <w:rFonts w:ascii="Amiri" w:hAnsi="Amiri" w:eastAsia="Amiri" w:cs="Amiri"/>
          <w:color w:val="111111"/>
          <w:sz w:val="28"/>
          <w:sz w:val="28"/>
          <w:szCs w:val="28"/>
          <w:rtl w:val="true"/>
          <w:lang w:bidi="ar-SA"/>
        </w:rPr>
        <w:t xml:space="preserve">، واستظهر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وصول كتاب حريز إلى ابن إدريس بطريق التواتر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وخبر زرارة المروي عن مستطرفات السرائر نقلاً من كتاب حريز، بل هو صحيح بناءً على وصول الكتاب المزبور إليه بالتواتر مثلاً، أو بطريق كذلك، بل ظاهر نسبته إليه الأوّل</w:t>
      </w:r>
      <w:r>
        <w:rPr>
          <w:rFonts w:eastAsia="Amiri" w:cs="Amiri" w:ascii="Amiri" w:hAnsi="Amiri"/>
          <w:color w:val="111111"/>
          <w:sz w:val="28"/>
          <w:szCs w:val="28"/>
          <w:rtl w:val="true"/>
          <w:lang w:bidi="ar-SA"/>
        </w:rPr>
        <w:t>)</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وأمّا كتاب الحسين بن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لما تقدّم من نصّ الصدوق على شهرته والتعويل عليه من قبل الأصحاب، ورجوعهم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قال فيه النجاشي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وكتب ابني سعيد كتب حسنة معمول عليها، وهي ثلاثون كتاباً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بهذه الكتب غير واحد من أصحابنا من طرق مختلفة كثيرة</w:t>
      </w:r>
      <w:r>
        <w:rPr>
          <w:rFonts w:eastAsia="Amiri" w:cs="Amiri" w:ascii="Amiri" w:hAnsi="Amiri"/>
          <w:color w:val="111111"/>
          <w:sz w:val="28"/>
          <w:szCs w:val="28"/>
          <w:rtl w:val="true"/>
          <w:lang w:bidi="ar-SA"/>
        </w:rPr>
        <w:t>)</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والظاهر أنّ ذلك هو الوجه في المورد الرابع لرواية الشيخ له عن كتاب الحسين بن سعيد، بل لا يبعد كون المورد الأوّل كذلك استظهاراً لروايته عن الكتابين، أو لتعدّد الطرق إليه</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المورد الخامس فنسب كونه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أعلى درجات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مشيراً به إلى ما ذكره صاحب المدارك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والمستند فيه ما رواه الشيخ في التهذيب، عن سعد بن عبد الله، عن أبي جعفر، عن الحسن بن محبوب، عن أبي أيوب إبراهيم ابن عثمان، عن أبي عبيدة الحذّاء،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في الروضة</w:t>
      </w:r>
      <w:r>
        <w:rPr>
          <w:rStyle w:val="FootnoteAnchor"/>
          <w:rtl w:val="true"/>
        </w:rPr>
        <w:footnoteReference w:id="440"/>
      </w:r>
      <w:r>
        <w:rPr>
          <w:rFonts w:ascii="Amiri" w:hAnsi="Amiri" w:eastAsia="Amiri" w:cs="Amiri"/>
          <w:color w:val="111111"/>
          <w:sz w:val="28"/>
          <w:sz w:val="28"/>
          <w:szCs w:val="28"/>
          <w:rtl w:val="true"/>
          <w:lang w:bidi="ar-SA"/>
        </w:rPr>
        <w:t>تبعاً للعلّامة في المختلف</w:t>
      </w:r>
      <w:r>
        <w:rPr>
          <w:rStyle w:val="FootnoteAnchor"/>
          <w:rtl w:val="true"/>
        </w:rPr>
        <w:footnoteReference w:id="441"/>
      </w:r>
      <w:r>
        <w:rPr>
          <w:rFonts w:ascii="Amiri" w:hAnsi="Amiri" w:eastAsia="Amiri" w:cs="Amiri"/>
          <w:color w:val="111111"/>
          <w:sz w:val="28"/>
          <w:sz w:val="28"/>
          <w:szCs w:val="28"/>
          <w:rtl w:val="true"/>
          <w:lang w:bidi="ar-SA"/>
        </w:rPr>
        <w:t>أنّها من الموثّق، وهو غير جيّد؛ لأنّ ما أوردناه من السند من أعلى مراتب الصحّة، فالعمل بها متعيّن</w:t>
      </w:r>
      <w:r>
        <w:rPr>
          <w:rFonts w:eastAsia="Amiri" w:cs="Amiri" w:ascii="Amiri" w:hAnsi="Amiri"/>
          <w:color w:val="111111"/>
          <w:sz w:val="28"/>
          <w:szCs w:val="28"/>
          <w:rtl w:val="true"/>
          <w:lang w:bidi="ar-SA"/>
        </w:rPr>
        <w:t>)</w:t>
      </w:r>
      <w:r>
        <w:rPr>
          <w:rStyle w:val="FootnoteAnchor"/>
          <w:rtl w:val="true"/>
        </w:rPr>
        <w:footnoteReference w:id="442"/>
      </w:r>
      <w:r>
        <w:rPr>
          <w:rFonts w:ascii="IRNazanin" w:hAnsi="IRNazanin" w:eastAsia="IRNazanin"/>
          <w:color w:val="111111"/>
          <w:sz w:val="28"/>
          <w:sz w:val="28"/>
          <w:szCs w:val="28"/>
          <w:rtl w:val="true"/>
          <w:lang w:bidi="fa-IR"/>
        </w:rPr>
        <w:t>، وصاحب الحدائق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صحيحة أبي عبيدة الحذّاء،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سمعت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أيّما ذمّي اشترى من مسلم أرضاً فإنّ عليه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وحكى العلّامة في المختلف عن كثير من المتقدّمين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يذكروا هذا الفرد </w:t>
      </w:r>
      <w:bookmarkStart w:id="499" w:name="pg9142_80745"/>
    </w:p>
    <w:p>
      <w:pPr>
        <w:pStyle w:val="BookText"/>
        <w:rPr/>
      </w:pPr>
      <w:bookmarkEnd w:id="499"/>
      <w:r>
        <w:rPr>
          <w:rFonts w:ascii="IRNazanin" w:hAnsi="IRNazanin" w:eastAsia="IRNazanin"/>
          <w:color w:val="111111"/>
          <w:sz w:val="28"/>
          <w:sz w:val="28"/>
          <w:szCs w:val="28"/>
          <w:rtl w:val="true"/>
          <w:lang w:bidi="fa-IR"/>
        </w:rPr>
        <w:t>في ما يجب فيه الخمس، وظاهرهم سقوط الخمس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استضعافاً للرواية الواردة بذلك، وذكر في الروضة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تبعاً للعلّامة في المختلف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من الموثّق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والجميع سهو ظاهر، فإنّ سند الرواية في أعلى مراتب الصحّة؛ لأنّ الشيخ قد رواها في التهذيب عن سعد، عن أحمد بن محمّد، عن الحسن بن محبوب، عن أبي أيوب إبراهيم بن عثمان، عن أبي عبيدة الحذّاء، وروى هذه الرواية في الفقيه عن أبي عبيدة الحذّاء، ورواها المحقّق في المعتبر عن الحسن بن محبوب، وروى الشيخ المفيد في باب الزيادات من المقنعة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w:t>
      </w:r>
      <w:r>
        <w:rPr>
          <w:rFonts w:eastAsia="IRNazanin" w:cs="IRNazanin"/>
          <w:color w:val="111111"/>
          <w:sz w:val="28"/>
          <w:szCs w:val="28"/>
          <w:rtl w:val="true"/>
          <w:lang w:bidi="fa-IR"/>
        </w:rPr>
        <w:t>)</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أنّ الوجه فيه هو كونها مروية بواسطة الأجلّاء والأعيان من الأعلام والرواة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المورد السادس</w:t>
      </w:r>
      <w:r>
        <w:rPr>
          <w:rFonts w:eastAsia="Amiri" w:cs="Amiri" w:ascii="Amiri" w:hAnsi="Amiri"/>
          <w:color w:val="111111"/>
          <w:sz w:val="28"/>
          <w:szCs w:val="28"/>
          <w:rtl w:val="true"/>
          <w:lang w:bidi="ar-SA"/>
        </w:rPr>
        <w:t>.</w:t>
      </w:r>
    </w:p>
    <w:p>
      <w:pPr>
        <w:pStyle w:val="Heading3"/>
        <w:numPr>
          <w:ilvl w:val="2"/>
          <w:numId w:val="1"/>
        </w:numPr>
        <w:rPr/>
      </w:pPr>
      <w:bookmarkStart w:id="500" w:name="__RefHeading___Toc3266424_2870459653"/>
      <w:bookmarkStart w:id="501" w:name="_Toc193"/>
      <w:bookmarkEnd w:id="500"/>
      <w:r>
        <w:rPr>
          <w:rtl w:val="true"/>
        </w:rPr>
        <w:t>جابرية الشهرة</w:t>
      </w:r>
      <w:bookmarkEnd w:id="501"/>
    </w:p>
    <w:p>
      <w:pPr>
        <w:pStyle w:val="Heading4"/>
        <w:numPr>
          <w:ilvl w:val="3"/>
          <w:numId w:val="1"/>
        </w:numPr>
        <w:rPr/>
      </w:pPr>
      <w:bookmarkStart w:id="502" w:name="__RefHeading___Toc3266426_2870459653"/>
      <w:bookmarkStart w:id="503" w:name="_Toc194"/>
      <w:bookmarkEnd w:id="502"/>
      <w:r>
        <w:rPr>
          <w:rtl w:val="true"/>
        </w:rPr>
        <w:t>اشارة</w:t>
      </w:r>
      <w:bookmarkEnd w:id="503"/>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ممّا اعتُمد في كلمات جملة من الأعلام في العمل بالأخبار الضعيفة هو انجبارها بعمل المشهور حتّى عدّ جملة منهم أنّ المراسيل المنجبرة بالشهرة في قوّة المسانيد</w:t>
      </w:r>
      <w:r>
        <w:rPr>
          <w:rStyle w:val="FootnoteAnchor"/>
          <w:rtl w:val="true"/>
        </w:rPr>
        <w:footnoteReference w:id="444"/>
      </w:r>
      <w:r>
        <w:rPr>
          <w:rFonts w:ascii="Amiri" w:hAnsi="Amiri" w:eastAsia="Amiri" w:cs="Amiri"/>
          <w:color w:val="111111"/>
          <w:sz w:val="28"/>
          <w:sz w:val="28"/>
          <w:szCs w:val="28"/>
          <w:rtl w:val="true"/>
          <w:lang w:bidi="ar-SA"/>
        </w:rPr>
        <w:t>، ومنهم صاحب الجواهر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المراسيل إذا تؤيّدت بالشهرة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صارت في قوّة المسانيد</w:t>
      </w:r>
      <w:r>
        <w:rPr>
          <w:rFonts w:eastAsia="Amiri" w:cs="Amiri" w:ascii="Amiri" w:hAnsi="Amiri"/>
          <w:color w:val="111111"/>
          <w:sz w:val="28"/>
          <w:szCs w:val="28"/>
          <w:rtl w:val="true"/>
          <w:lang w:bidi="ar-SA"/>
        </w:rPr>
        <w:t>)</w:t>
      </w:r>
      <w:r>
        <w:rPr>
          <w:rStyle w:val="FootnoteAnchor"/>
          <w:rtl w:val="true"/>
        </w:rPr>
        <w:footnoteReference w:id="445"/>
      </w:r>
      <w:r>
        <w:rPr>
          <w:rFonts w:ascii="Amiri" w:hAnsi="Amiri" w:eastAsia="Amiri" w:cs="Amiri"/>
          <w:color w:val="111111"/>
          <w:sz w:val="28"/>
          <w:sz w:val="28"/>
          <w:szCs w:val="28"/>
          <w:rtl w:val="true"/>
          <w:lang w:bidi="ar-SA"/>
        </w:rPr>
        <w:t xml:space="preserve">، ولذا بنى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العمل بجملة من الأخبار الضعيفة مبيّناً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قصور </w:t>
      </w:r>
    </w:p>
    <w:p>
      <w:pPr>
        <w:pStyle w:val="BookText"/>
        <w:rPr/>
      </w:pPr>
      <w:r>
        <w:rPr>
          <w:rFonts w:ascii="Amiri" w:hAnsi="Amiri" w:eastAsia="Amiri" w:cs="Amiri"/>
          <w:color w:val="111111"/>
          <w:sz w:val="28"/>
          <w:sz w:val="28"/>
          <w:szCs w:val="28"/>
          <w:rtl w:val="true"/>
          <w:lang w:bidi="ar-SA"/>
        </w:rPr>
        <w:t>السند منجبر بالشهرة</w:t>
      </w:r>
      <w:r>
        <w:rPr>
          <w:rFonts w:eastAsia="Amiri" w:cs="Amiri" w:ascii="Amiri" w:hAnsi="Amiri"/>
          <w:color w:val="111111"/>
          <w:sz w:val="28"/>
          <w:szCs w:val="28"/>
          <w:rtl w:val="true"/>
          <w:lang w:bidi="ar-SA"/>
        </w:rPr>
        <w:t>)</w:t>
      </w:r>
      <w:r>
        <w:rPr>
          <w:rStyle w:val="FootnoteAnchor"/>
          <w:rtl w:val="true"/>
        </w:rPr>
        <w:footnoteReference w:id="446"/>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ليس الصحيح مع الإعراض أقوى من الرضوي مع الاعتضاد</w:t>
      </w:r>
      <w:r>
        <w:rPr>
          <w:rFonts w:eastAsia="Amiri" w:cs="Amiri" w:ascii="Amiri" w:hAnsi="Amiri"/>
          <w:color w:val="111111"/>
          <w:sz w:val="28"/>
          <w:szCs w:val="28"/>
          <w:rtl w:val="true"/>
          <w:lang w:bidi="ar-SA"/>
        </w:rPr>
        <w:t>)</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والوجه في جابرية الشهرة لضعف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عمل المشهور بالخبر يعدّ من طرق التبيّن المأمور بها في آية النبأ، وبذلك يلحق بخبر العادل</w:t>
      </w:r>
      <w:r>
        <w:rPr>
          <w:rStyle w:val="FootnoteAnchor"/>
          <w:rtl w:val="true"/>
        </w:rPr>
        <w:footnoteReference w:id="448"/>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والخبر العامّي إذا تناقلته الأصحاب في كتبهم وعملوا به لا بأس بالعمل به عندنا؛ إذ هو أعظم طرق التبيّن</w:t>
      </w:r>
      <w:r>
        <w:rPr>
          <w:rFonts w:eastAsia="Amiri" w:cs="Amiri" w:ascii="Amiri" w:hAnsi="Amiri"/>
          <w:color w:val="111111"/>
          <w:sz w:val="28"/>
          <w:szCs w:val="28"/>
          <w:rtl w:val="true"/>
          <w:lang w:bidi="ar-SA"/>
        </w:rPr>
        <w:t>)</w:t>
      </w:r>
      <w:r>
        <w:rPr>
          <w:rStyle w:val="FootnoteAnchor"/>
          <w:rtl w:val="true"/>
        </w:rPr>
        <w:footnoteReference w:id="44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كانت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الشهرة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كافية في جواز العمل به؛ إذ هو أعظم طرق التبيّن</w:t>
      </w:r>
      <w:r>
        <w:rPr>
          <w:rFonts w:eastAsia="Amiri" w:cs="Amiri" w:ascii="Amiri" w:hAnsi="Amiri"/>
          <w:color w:val="111111"/>
          <w:sz w:val="28"/>
          <w:szCs w:val="28"/>
          <w:rtl w:val="true"/>
          <w:lang w:bidi="ar-SA"/>
        </w:rPr>
        <w:t>)</w:t>
      </w:r>
      <w:r>
        <w:rPr>
          <w:rStyle w:val="FootnoteAnchor"/>
          <w:rtl w:val="true"/>
        </w:rPr>
        <w:footnoteReference w:id="45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وكونه من طرق العامّة غير قادح بعد نقل الأصحاب له، واستدلالهم به، وموافقته للشهرة العظيمة التي هي طريق تبيّن له</w:t>
      </w:r>
      <w:r>
        <w:rPr>
          <w:rFonts w:eastAsia="Amiri" w:cs="Amiri" w:ascii="Amiri" w:hAnsi="Amiri"/>
          <w:color w:val="111111"/>
          <w:sz w:val="28"/>
          <w:szCs w:val="28"/>
          <w:rtl w:val="true"/>
          <w:lang w:bidi="ar-SA"/>
        </w:rPr>
        <w:t>)</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ولعلّ منشأ كون الشهرة من طرق التبيّن عند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مبتنٍ على أمرين، وهما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عمل المشهور بالخبر الضعيف يوجب الظنّ بصدوره،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كونهم من أهل الخبرة والمهارة وقرب العهد بالأئمّة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وكونهم مشايخ الإجازة، ومؤسّسي مذهب الشيعة، ومتكفّلي أيتام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الغيبة، وفقهاء الشيعة في الحضور والغيبة، ومجدّدي دين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كلّ قرن ورأس كلّ مائة، وحجج الله على العباد بالنصّ من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والحكّام عليهم بنصّهم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مقبولة ابن حنظلة ورواية أبي خديجة، إلى غير ذلك ممّا ورد في شأنهم أو ظهر من حالتهم، وخصوصاً بعد ملاحظة تحريمهم التقليد على المجتهد، وإيجابهم استفراغ الوسع، وأمرهم بالاحتياط ومبالغتهم فيه وفي الاهتمام به وعدم المسامحة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مع نهاية كثرتهم وموافقة كلّ منهم الآخر، مع غاية الاختلاف بينهم في تأسيس الأصول، وتفريعهم الفروع، بل الواحد منهم كثر اختلافه في الفقه فكيف المجموع؟</w:t>
      </w:r>
      <w:r>
        <w:rPr>
          <w:rFonts w:eastAsia="IRNazanin" w:cs="IRNazanin"/>
          <w:color w:val="111111"/>
          <w:sz w:val="28"/>
          <w:szCs w:val="28"/>
          <w:rtl w:val="true"/>
          <w:lang w:bidi="fa-IR"/>
        </w:rPr>
        <w:t>)</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البناء على كفاية الظنون الاجتهادية في الاعتماد على الأخبار، كما تقدّم ذلك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ويظهر جلياً من كلام شيخ مشايخه الوحيد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الانجبار بالشهرة كاف؛ لأنّ الراوي وإن كان فاسقاً يكفي التبيُّن، وفي التبيين يكفي الظنّ والظهور، كما يكتفون في العدالة بالمظنّة في ثبوتها ونفس ماهيتها، وفي ترجيح التعديل، وفي تعيين المشتركات</w:t>
      </w:r>
      <w:r>
        <w:rPr>
          <w:rFonts w:eastAsia="Amiri" w:cs="Amiri" w:ascii="Amiri" w:hAnsi="Amiri"/>
          <w:color w:val="111111"/>
          <w:sz w:val="28"/>
          <w:szCs w:val="28"/>
          <w:rtl w:val="true"/>
          <w:lang w:bidi="ar-SA"/>
        </w:rPr>
        <w:t>)</w:t>
      </w:r>
      <w:r>
        <w:rPr>
          <w:rStyle w:val="FootnoteAnchor"/>
          <w:rtl w:val="true"/>
        </w:rPr>
        <w:footnoteReference w:id="453"/>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يخفى أنّ مثل هذه الإجماعات تعتبر في مقام </w:t>
      </w:r>
      <w:bookmarkStart w:id="504" w:name="pg9142_80748"/>
    </w:p>
    <w:p>
      <w:pPr>
        <w:pStyle w:val="BookText"/>
        <w:rPr/>
      </w:pPr>
      <w:bookmarkEnd w:id="504"/>
      <w:r>
        <w:rPr>
          <w:rFonts w:ascii="Amiri" w:hAnsi="Amiri" w:eastAsia="Amiri" w:cs="Amiri"/>
          <w:color w:val="111111"/>
          <w:sz w:val="28"/>
          <w:sz w:val="28"/>
          <w:szCs w:val="28"/>
          <w:rtl w:val="true"/>
          <w:lang w:bidi="ar-SA"/>
        </w:rPr>
        <w:t>اعتبار الظنون والرجحان والقوّة؛ إذ لا شكّ في حصولها منها من حيث كونهم من أهل الفنّ والمهارة والخبرة والاطّلاع، بل وأقوى من كثير من الظنون والمرجّحات، بل الخبر الذي اتّفق الشيعة على العمل به أقوى من الصحيح بمراتب</w:t>
      </w:r>
      <w:r>
        <w:rPr>
          <w:rFonts w:eastAsia="Amiri" w:cs="Amiri" w:ascii="Amiri" w:hAnsi="Amiri"/>
          <w:color w:val="111111"/>
          <w:sz w:val="28"/>
          <w:szCs w:val="28"/>
          <w:rtl w:val="true"/>
          <w:lang w:bidi="ar-SA"/>
        </w:rPr>
        <w:t>)</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وهنا أمور خمسة، هي</w:t>
      </w:r>
      <w:r>
        <w:rPr>
          <w:rFonts w:eastAsia="Amiri" w:cs="Amiri" w:ascii="Amiri" w:hAnsi="Amiri"/>
          <w:color w:val="111111"/>
          <w:sz w:val="28"/>
          <w:szCs w:val="28"/>
          <w:rtl w:val="true"/>
          <w:lang w:bidi="ar-SA"/>
        </w:rPr>
        <w:t>:</w:t>
      </w:r>
    </w:p>
    <w:p>
      <w:pPr>
        <w:pStyle w:val="Heading4"/>
        <w:numPr>
          <w:ilvl w:val="3"/>
          <w:numId w:val="1"/>
        </w:numPr>
        <w:rPr/>
      </w:pPr>
      <w:bookmarkStart w:id="505" w:name="__RefHeading___Toc3266428_2870459653"/>
      <w:bookmarkStart w:id="506" w:name="_Toc195"/>
      <w:bookmarkEnd w:id="505"/>
      <w:r>
        <w:rPr>
          <w:rtl w:val="true"/>
        </w:rPr>
        <w:t>الأمر الأوّل</w:t>
      </w:r>
      <w:r>
        <w:rPr>
          <w:rtl w:val="true"/>
        </w:rPr>
        <w:t xml:space="preserve">: </w:t>
      </w:r>
      <w:r>
        <w:rPr>
          <w:rtl w:val="true"/>
        </w:rPr>
        <w:t>هل تجبر الشهرة الدلالة كما تجبر السند؟</w:t>
      </w:r>
      <w:bookmarkEnd w:id="506"/>
    </w:p>
    <w:p>
      <w:pPr>
        <w:pStyle w:val="Heading5"/>
        <w:numPr>
          <w:ilvl w:val="4"/>
          <w:numId w:val="1"/>
        </w:numPr>
        <w:rPr/>
      </w:pPr>
      <w:bookmarkStart w:id="507" w:name="__RefHeading___Toc3266430_2870459653"/>
      <w:bookmarkStart w:id="508" w:name="_Toc196"/>
      <w:bookmarkEnd w:id="507"/>
      <w:r>
        <w:rPr>
          <w:rtl w:val="true"/>
        </w:rPr>
        <w:t>اشارة</w:t>
      </w:r>
      <w:bookmarkEnd w:id="508"/>
    </w:p>
    <w:p>
      <w:pPr>
        <w:pStyle w:val="BookText"/>
        <w:rPr/>
      </w:pPr>
      <w:r>
        <w:rPr>
          <w:rFonts w:ascii="Amiri" w:hAnsi="Amiri" w:eastAsia="Amiri" w:cs="Amiri"/>
          <w:color w:val="111111"/>
          <w:sz w:val="28"/>
          <w:sz w:val="28"/>
          <w:szCs w:val="28"/>
          <w:rtl w:val="true"/>
          <w:lang w:bidi="ar-SA"/>
        </w:rPr>
        <w:t xml:space="preserve">صرّح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موضع بأنّ الشهرة تجبر الدلالة، منها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الشهرة كما تجبر السند تجبر الدلالة</w:t>
      </w:r>
      <w:r>
        <w:rPr>
          <w:rFonts w:eastAsia="Amiri" w:cs="Amiri" w:ascii="Amiri" w:hAnsi="Amiri"/>
          <w:color w:val="111111"/>
          <w:sz w:val="28"/>
          <w:szCs w:val="28"/>
          <w:rtl w:val="true"/>
          <w:lang w:bidi="ar-SA"/>
        </w:rPr>
        <w:t>)</w:t>
      </w:r>
      <w:r>
        <w:rPr>
          <w:rStyle w:val="FootnoteAnchor"/>
          <w:rtl w:val="true"/>
        </w:rPr>
        <w:footnoteReference w:id="455"/>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المناقشة في جملة ممّا ذكرنا منها بالنسبة للوجوب سنداً ودلالة قد تُدفع بالانجبار بالشهرة المحصّلة والمنقولة</w:t>
      </w:r>
      <w:r>
        <w:rPr>
          <w:rFonts w:eastAsia="Amiri" w:cs="Amiri" w:ascii="Amiri" w:hAnsi="Amiri"/>
          <w:color w:val="111111"/>
          <w:sz w:val="28"/>
          <w:szCs w:val="28"/>
          <w:rtl w:val="true"/>
          <w:lang w:bidi="ar-SA"/>
        </w:rPr>
        <w:t>)</w:t>
      </w:r>
      <w:r>
        <w:rPr>
          <w:rStyle w:val="FootnoteAnchor"/>
          <w:rtl w:val="true"/>
        </w:rPr>
        <w:footnoteReference w:id="45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ولولا الشهرة الجابرة لهذه النصوص سنداً ودلالة لأمكن أن يناقش في الأوّل بأنّه حكاية فعل لا عموم فيه</w:t>
      </w:r>
      <w:r>
        <w:rPr>
          <w:rFonts w:eastAsia="Amiri" w:cs="Amiri" w:ascii="Amiri" w:hAnsi="Amiri"/>
          <w:color w:val="111111"/>
          <w:sz w:val="28"/>
          <w:szCs w:val="28"/>
          <w:rtl w:val="true"/>
          <w:lang w:bidi="ar-SA"/>
        </w:rPr>
        <w:t>)</w:t>
      </w:r>
      <w:r>
        <w:rPr>
          <w:rStyle w:val="FootnoteAnchor"/>
          <w:rtl w:val="true"/>
        </w:rPr>
        <w:footnoteReference w:id="457"/>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مضافاً إلى الأخبار الخاصّة المعتبرة سنداً ودلالة ولو من جهة الانجبار بما عرفت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الشهرة</w:t>
      </w:r>
      <w:r>
        <w:rPr>
          <w:rFonts w:eastAsia="Amiri" w:cs="Amiri" w:ascii="Amiri" w:hAnsi="Amiri"/>
          <w:color w:val="111111"/>
          <w:sz w:val="28"/>
          <w:szCs w:val="28"/>
          <w:rtl w:val="true"/>
          <w:lang w:bidi="ar-SA"/>
        </w:rPr>
        <w:t>])</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والوجه في جابريتها للدلالة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المدار على حصول الظنّ للمجتهد بمفاد الخبر، والشهرة توجب ذلك، قال الوحيد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 لا شكّ في أنّ العلاج هو ظنّ المجتهد </w:t>
      </w:r>
      <w:bookmarkStart w:id="509" w:name="pg9142_80749"/>
    </w:p>
    <w:p>
      <w:pPr>
        <w:pStyle w:val="BookText"/>
        <w:rPr/>
      </w:pPr>
      <w:bookmarkEnd w:id="509"/>
      <w:r>
        <w:rPr>
          <w:rFonts w:ascii="Amiri" w:hAnsi="Amiri" w:eastAsia="Amiri" w:cs="Amiri"/>
          <w:color w:val="111111"/>
          <w:sz w:val="28"/>
          <w:sz w:val="28"/>
          <w:szCs w:val="28"/>
          <w:rtl w:val="true"/>
          <w:lang w:bidi="ar-SA"/>
        </w:rPr>
        <w:t>ولا خصوصية له بالصحيح، بل ظنّه من الخبر المنجبر بالشهرة أقوى من الصحيح الغير المنجبر بمراتب شتى</w:t>
      </w:r>
      <w:r>
        <w:rPr>
          <w:rFonts w:eastAsia="Amiri" w:cs="Amiri" w:ascii="Amiri" w:hAnsi="Amiri"/>
          <w:color w:val="111111"/>
          <w:sz w:val="28"/>
          <w:szCs w:val="28"/>
          <w:rtl w:val="true"/>
          <w:lang w:bidi="ar-SA"/>
        </w:rPr>
        <w:t>)</w:t>
      </w:r>
      <w:r>
        <w:rPr>
          <w:rStyle w:val="FootnoteAnchor"/>
          <w:rtl w:val="true"/>
        </w:rPr>
        <w:footnoteReference w:id="459"/>
      </w:r>
      <w:r>
        <w:rPr>
          <w:rFonts w:ascii="Amiri" w:hAnsi="Amiri" w:eastAsia="Amiri" w:cs="Amiri"/>
          <w:color w:val="111111"/>
          <w:sz w:val="28"/>
          <w:sz w:val="28"/>
          <w:szCs w:val="28"/>
          <w:rtl w:val="true"/>
          <w:lang w:bidi="ar-SA"/>
        </w:rPr>
        <w:t>، ولذا لم يكتفِ صاحب الجواهر بجبر الشهرة للدلالة حينما لا توجب الظنّ بالمراد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عساه يقال في تأييد 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الضعف سنداً ودلالة منجبر بالشهرة العظيمة بين الأصحاب التي كادت أن تكون إجماعاً، يدفعه أنّه لا يحصل للفقيه بملاحظة ذلك الظنّ بالمراد بهما، وإذ يكون الأمر كذلك نمنع الاعتماد عليها</w:t>
      </w:r>
      <w:r>
        <w:rPr>
          <w:rFonts w:eastAsia="Amiri" w:cs="Amiri" w:ascii="Amiri" w:hAnsi="Amiri"/>
          <w:color w:val="111111"/>
          <w:sz w:val="28"/>
          <w:szCs w:val="28"/>
          <w:rtl w:val="true"/>
          <w:lang w:bidi="ar-SA"/>
        </w:rPr>
        <w:t>)</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لم يبنِ صاحب الجواهر على جابرية الشهرة للدلالة مطلقاً،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بضميمة الشهرة، ولعلّها تكون جابرة لدلالة المرسلة إن قلنا إنّها تجبر الدلالة، لكن جبرها للدلالة بحيث تكون معيّنة لأحد معنيي المشترك أو صرف الحقيقة ونحو ذلك محلّ تأمّل؛ إذ عليه يلزم عدّها من المخصّصات والمقيّدات ونحو ذلك، ولعلّ التفصيل بأنّها حيث تعارض ظاهر دليل كعموم وإطلاق وحقيقة ونحو ذلك لا تثمر، بخلاف ما لم تعارض كتعيين أحد معنيي المشترك كما في المقام، لا يخلو من قوّة</w:t>
      </w:r>
      <w:r>
        <w:rPr>
          <w:rFonts w:eastAsia="Amiri" w:cs="Amiri" w:ascii="Amiri" w:hAnsi="Amiri"/>
          <w:color w:val="111111"/>
          <w:sz w:val="28"/>
          <w:szCs w:val="28"/>
          <w:rtl w:val="true"/>
          <w:lang w:bidi="ar-SA"/>
        </w:rPr>
        <w:t>)</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وحاصل مرامه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صورتين، هما</w:t>
      </w:r>
      <w:r>
        <w:rPr>
          <w:rFonts w:eastAsia="Amiri" w:cs="Amiri" w:ascii="Amiri" w:hAnsi="Amiri"/>
          <w:color w:val="111111"/>
          <w:sz w:val="28"/>
          <w:szCs w:val="28"/>
          <w:rtl w:val="true"/>
          <w:lang w:bidi="ar-SA"/>
        </w:rPr>
        <w:t>:</w:t>
      </w:r>
    </w:p>
    <w:p>
      <w:pPr>
        <w:pStyle w:val="Heading5"/>
        <w:numPr>
          <w:ilvl w:val="4"/>
          <w:numId w:val="1"/>
        </w:numPr>
        <w:rPr/>
      </w:pPr>
      <w:bookmarkStart w:id="510" w:name="__RefHeading___Toc3266432_2870459653"/>
      <w:bookmarkStart w:id="511" w:name="_Toc197"/>
      <w:bookmarkEnd w:id="510"/>
      <w:r>
        <w:rPr>
          <w:rtl w:val="true"/>
        </w:rPr>
        <w:t>الصورة الأولى</w:t>
      </w:r>
      <w:bookmarkEnd w:id="511"/>
    </w:p>
    <w:p>
      <w:pPr>
        <w:pStyle w:val="BookText"/>
        <w:rPr/>
      </w:pPr>
      <w:r>
        <w:rPr>
          <w:rFonts w:ascii="Amiri" w:hAnsi="Amiri" w:eastAsia="Amiri" w:cs="Amiri"/>
          <w:color w:val="111111"/>
          <w:sz w:val="28"/>
          <w:sz w:val="28"/>
          <w:szCs w:val="28"/>
          <w:rtl w:val="true"/>
          <w:lang w:bidi="ar-SA"/>
        </w:rPr>
        <w:t>أن يكون الاستناد إلى جابرية الشهرة للدلالة مفضياً إلى تقييد أو تخصيص عموم أو إطلاق، وحينئذٍ لا تكون الشهرة جابرة للدلالة</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والظاهر أنّ الوجه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عدم استفادة الظنّ بالمراد منها بعد وجود حجّة </w:t>
      </w:r>
      <w:bookmarkStart w:id="512" w:name="pg9142_80750"/>
    </w:p>
    <w:p>
      <w:pPr>
        <w:pStyle w:val="BookText"/>
        <w:rPr/>
      </w:pPr>
      <w:bookmarkEnd w:id="512"/>
      <w:r>
        <w:rPr>
          <w:rFonts w:ascii="Amiri" w:hAnsi="Amiri" w:eastAsia="Amiri" w:cs="Amiri"/>
          <w:color w:val="111111"/>
          <w:sz w:val="28"/>
          <w:sz w:val="28"/>
          <w:szCs w:val="28"/>
          <w:rtl w:val="true"/>
          <w:lang w:bidi="ar-SA"/>
        </w:rPr>
        <w:t xml:space="preserve">أخرى على خلافها، ومثال ذلك جابرية الشهرة لدلالة أحاديث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التسامح في أدلّة السنن مطلقاً سواء وردت عن طريق الثقة أم غيره، وهذه الشهرة على الإطلاق تكون مخصَّصة؛ للزوم التبيّن من خبر الفاسق المستفاد من آية النبأ فلا تكون حجّة، ومن هنا تأمّل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الدلالة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والعمدة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مسألة التسامح في أدلّة السنن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نصوص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بلغه ثواب على عمل أوتيه وإن لم يكن كما بلغه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الصحيح وغيره، وهي متقاربة المضمون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ما ذكره بعضهم من الاحتياط والرجحان العقلي ونحوهما ممّا لا يصلح مدركاً لتلك النصوص المزبورة لولا الانجبار بالشهرة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تدلّ على ذلك بحيث تكون مخصِّصة لما دلّ على اعتبار العدالة في حجّية خبر الواحد، على أنّ التعارض من وجه، بل لا تخلو نفس الدلالة على ذلك من إشكال من وجوه، فتأمّل جيّداً</w:t>
      </w:r>
      <w:r>
        <w:rPr>
          <w:rFonts w:eastAsia="Amiri" w:cs="Amiri" w:ascii="Amiri" w:hAnsi="Amiri"/>
          <w:color w:val="111111"/>
          <w:sz w:val="28"/>
          <w:szCs w:val="28"/>
          <w:rtl w:val="true"/>
          <w:lang w:bidi="ar-SA"/>
        </w:rPr>
        <w:t>)</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13" w:name="__RefHeading___Toc3266434_2870459653"/>
      <w:bookmarkStart w:id="514" w:name="_Toc198"/>
      <w:bookmarkEnd w:id="513"/>
      <w:r>
        <w:rPr>
          <w:rtl w:val="true"/>
        </w:rPr>
        <w:t>الصورة الأخرى</w:t>
      </w:r>
      <w:bookmarkEnd w:id="514"/>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 تكون جابرية الشهرة معيِّنة للمعنى المراد من دون أن تكون معارضة لظاهر دليل آخر، كما في جابرية الشهرة لدلالة مرسل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أبي عمير، عن بعض أصحابنا،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الكرّ من الماء ألف ومائتا رطل</w:t>
      </w:r>
      <w:r>
        <w:rPr>
          <w:rFonts w:eastAsia="IRNazanin" w:cs="IRNazanin"/>
          <w:color w:val="111111"/>
          <w:sz w:val="28"/>
          <w:szCs w:val="28"/>
          <w:rtl w:val="true"/>
          <w:lang w:bidi="fa-IR"/>
        </w:rPr>
        <w:t>)</w:t>
      </w:r>
      <w:r>
        <w:rPr>
          <w:rStyle w:val="FootnoteAnchor"/>
          <w:rtl w:val="true"/>
        </w:rPr>
        <w:footnoteReference w:id="463"/>
      </w:r>
      <w:r>
        <w:rPr>
          <w:rFonts w:ascii="Amiri" w:hAnsi="Amiri" w:eastAsia="Amiri" w:cs="Amiri"/>
          <w:color w:val="111111"/>
          <w:sz w:val="28"/>
          <w:sz w:val="28"/>
          <w:szCs w:val="28"/>
          <w:rtl w:val="true"/>
          <w:lang w:bidi="ar-SA"/>
        </w:rPr>
        <w:t>، على تعيين الرطل العراقي بعد تردّده بينه وبين المدني، وكتعيّن الاستحباب من الأمر باجتناب شطوط الأنهار والطرق النافذة</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 xml:space="preserve">. </w:t>
      </w:r>
      <w:bookmarkStart w:id="515" w:name="pg9142_80751"/>
    </w:p>
    <w:p>
      <w:pPr>
        <w:pStyle w:val="Heading4"/>
        <w:numPr>
          <w:ilvl w:val="3"/>
          <w:numId w:val="1"/>
        </w:numPr>
        <w:rPr/>
      </w:pPr>
      <w:bookmarkStart w:id="516" w:name="__RefHeading___Toc3266436_2870459653"/>
      <w:bookmarkStart w:id="517" w:name="_Toc199"/>
      <w:bookmarkEnd w:id="515"/>
      <w:bookmarkEnd w:id="516"/>
      <w:r>
        <w:rPr>
          <w:rtl w:val="true"/>
        </w:rPr>
        <w:t>الأمر الثاني</w:t>
      </w:r>
      <w:r>
        <w:rPr>
          <w:rtl w:val="true"/>
        </w:rPr>
        <w:t xml:space="preserve">: </w:t>
      </w:r>
      <w:r>
        <w:rPr>
          <w:rtl w:val="true"/>
        </w:rPr>
        <w:t>هل الشهرة الجابرة هي خصوص الشهرة بين القدماء أم تشمل الشهرة بين المتأخّرين؟</w:t>
      </w:r>
      <w:bookmarkEnd w:id="517"/>
    </w:p>
    <w:p>
      <w:pPr>
        <w:pStyle w:val="BookText"/>
        <w:rPr/>
      </w:pPr>
      <w:r>
        <w:rPr>
          <w:rFonts w:ascii="Amiri" w:hAnsi="Amiri" w:eastAsia="Amiri" w:cs="Amiri"/>
          <w:color w:val="111111"/>
          <w:sz w:val="28"/>
          <w:sz w:val="28"/>
          <w:szCs w:val="28"/>
          <w:rtl w:val="true"/>
          <w:lang w:bidi="ar-SA"/>
        </w:rPr>
        <w:t xml:space="preserve">اختار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الفرق بينهما، مصرّحاً بالانجبار بشهرة المتأخّرين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انجبار السند بما عرفت من الإجماع والشهرة وإن كانت لاحقة لا سابقة</w:t>
      </w:r>
      <w:r>
        <w:rPr>
          <w:rFonts w:eastAsia="Amiri" w:cs="Amiri" w:ascii="Amiri" w:hAnsi="Amiri"/>
          <w:color w:val="111111"/>
          <w:sz w:val="28"/>
          <w:szCs w:val="28"/>
          <w:rtl w:val="true"/>
          <w:lang w:bidi="ar-SA"/>
        </w:rPr>
        <w:t>)</w:t>
      </w:r>
      <w:r>
        <w:rPr>
          <w:rStyle w:val="FootnoteAnchor"/>
          <w:rtl w:val="true"/>
        </w:rPr>
        <w:footnoteReference w:id="465"/>
      </w:r>
      <w:r>
        <w:rPr>
          <w:rFonts w:ascii="Amiri" w:hAnsi="Amiri" w:eastAsia="Amiri" w:cs="Amiri"/>
          <w:color w:val="111111"/>
          <w:sz w:val="28"/>
          <w:sz w:val="28"/>
          <w:szCs w:val="28"/>
          <w:rtl w:val="true"/>
          <w:lang w:bidi="ar-SA"/>
        </w:rPr>
        <w:t xml:space="preserve">إذ المدار على حصول الظنّ للفقيه وهو حاصل منها، بل يرى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شهرة المتأخّرين أرجح، ولذا منع من جابرية شهرة المتقدّمين بعد معارضتها بشهرة المتأخّرين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ما ذكر أخيراً من دعوى إصلاح جميع ذلك ممّا في السند والدلالة بالشهرة العظيمة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أوّلاً فبإمكان معارضته بالشهرة المتأخّرة من زمن المصنّف إلى زماننا هذا</w:t>
      </w:r>
      <w:r>
        <w:rPr>
          <w:rFonts w:eastAsia="Amiri" w:cs="Amiri" w:ascii="Amiri" w:hAnsi="Amiri"/>
          <w:color w:val="111111"/>
          <w:sz w:val="28"/>
          <w:szCs w:val="28"/>
          <w:rtl w:val="true"/>
          <w:lang w:bidi="ar-SA"/>
        </w:rPr>
        <w:t>)</w:t>
      </w:r>
      <w:r>
        <w:rPr>
          <w:rStyle w:val="FootnoteAnchor"/>
          <w:rtl w:val="true"/>
        </w:rPr>
        <w:footnoteReference w:id="46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هنا يقوى ما عليه المتأخّرون؛ لقوّة إرادة الكراهة في النصوص المزبورة، خصوصاً مع عدم الجابر لها في الحقيقة؛ لتعارض شهرة المتقدّمين مع شهرة المتأخّرين الموهنة لها، بل هي أرجح</w:t>
      </w:r>
      <w:r>
        <w:rPr>
          <w:rFonts w:eastAsia="Amiri" w:cs="Amiri" w:ascii="Amiri" w:hAnsi="Amiri"/>
          <w:color w:val="111111"/>
          <w:sz w:val="28"/>
          <w:szCs w:val="28"/>
          <w:rtl w:val="true"/>
          <w:lang w:bidi="ar-SA"/>
        </w:rPr>
        <w:t>)</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والوجه في ذلك ظاهراً هو ما ذكره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الشهرة بين القدماء أقوى من حيث أقربية العهد وإن كان المتأخّرون أدق نظراً، وأشدّ تأمّلاً، وأزيد ملاحظةً، ومن هذه الجهة يظهر القوّة في شهرتهم، ومن هذه الحيثية تكون أرجح من شهرة القدماء</w:t>
      </w:r>
      <w:r>
        <w:rPr>
          <w:rFonts w:eastAsia="Amiri" w:cs="Amiri" w:ascii="Amiri" w:hAnsi="Amiri"/>
          <w:color w:val="111111"/>
          <w:sz w:val="28"/>
          <w:szCs w:val="28"/>
          <w:rtl w:val="true"/>
          <w:lang w:bidi="ar-SA"/>
        </w:rPr>
        <w:t>)</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 xml:space="preserve">. </w:t>
      </w:r>
      <w:bookmarkStart w:id="518" w:name="pg9142_80752"/>
    </w:p>
    <w:p>
      <w:pPr>
        <w:pStyle w:val="Heading4"/>
        <w:numPr>
          <w:ilvl w:val="3"/>
          <w:numId w:val="1"/>
        </w:numPr>
        <w:rPr/>
      </w:pPr>
      <w:bookmarkStart w:id="519" w:name="__RefHeading___Toc3266438_2870459653"/>
      <w:bookmarkStart w:id="520" w:name="_Toc200"/>
      <w:bookmarkEnd w:id="518"/>
      <w:bookmarkEnd w:id="519"/>
      <w:r>
        <w:rPr>
          <w:rtl w:val="true"/>
        </w:rPr>
        <w:t>الأمر الثالث</w:t>
      </w:r>
      <w:r>
        <w:rPr>
          <w:rtl w:val="true"/>
        </w:rPr>
        <w:t xml:space="preserve">: </w:t>
      </w:r>
      <w:r>
        <w:rPr>
          <w:rtl w:val="true"/>
        </w:rPr>
        <w:t>أنّ تحقّق الشهرة متوقّف على تناول المسألة المبحوث فيها في كتب الأعلام</w:t>
      </w:r>
      <w:bookmarkEnd w:id="520"/>
    </w:p>
    <w:p>
      <w:pPr>
        <w:pStyle w:val="BookText"/>
        <w:rPr/>
      </w:pPr>
      <w:r>
        <w:rPr>
          <w:rFonts w:ascii="Amiri" w:hAnsi="Amiri" w:eastAsia="Amiri" w:cs="Amiri"/>
          <w:color w:val="111111"/>
          <w:sz w:val="28"/>
          <w:sz w:val="28"/>
          <w:szCs w:val="28"/>
          <w:rtl w:val="true"/>
          <w:lang w:bidi="ar-SA"/>
        </w:rPr>
        <w:t xml:space="preserve">ولذا ناقش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دعوى تحقّق الشهرة على نجاسة عرق الإبل الجلّالة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عدم تحقّق ما ادّعاه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صاحب الرياض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الشهرة؛ إذ ليس هو إلّا فتوى الشيخين والقاضي منهم، وإلّا فغيرهم إن لم يظهر منهم الطهارة؛ لعدم ذكرهم له في تعداد النجاسات أو لغيره لم يظهر منهم النجاسة، بل لعلّ ظاهر الوسيلة والغنية عدمها</w:t>
      </w:r>
      <w:r>
        <w:rPr>
          <w:rFonts w:eastAsia="Amiri" w:cs="Amiri" w:ascii="Amiri" w:hAnsi="Amiri"/>
          <w:color w:val="111111"/>
          <w:sz w:val="28"/>
          <w:szCs w:val="28"/>
          <w:rtl w:val="true"/>
          <w:lang w:bidi="ar-SA"/>
        </w:rPr>
        <w:t>)</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يتّضح أنّه لا تتحقّق الشهرة بتناول المسألة في كلمات بعض الأعلام،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المؤيّدين بالشهرة المحكية وإن كان في تحقّقها نظر؛ لقلّة من تعرّض لخصوص المسألة من الأصحاب</w:t>
      </w:r>
      <w:r>
        <w:rPr>
          <w:rFonts w:eastAsia="Amiri" w:cs="Amiri" w:ascii="Amiri" w:hAnsi="Amiri"/>
          <w:color w:val="111111"/>
          <w:sz w:val="28"/>
          <w:szCs w:val="28"/>
          <w:rtl w:val="true"/>
          <w:lang w:bidi="ar-SA"/>
        </w:rPr>
        <w:t>)</w:t>
      </w:r>
      <w:r>
        <w:rPr>
          <w:rStyle w:val="FootnoteAnchor"/>
          <w:rtl w:val="true"/>
        </w:rPr>
        <w:footnoteReference w:id="470"/>
      </w:r>
      <w:r>
        <w:rPr>
          <w:rFonts w:ascii="Amiri" w:hAnsi="Amiri" w:eastAsia="Amiri" w:cs="Amiri"/>
          <w:color w:val="111111"/>
          <w:sz w:val="28"/>
          <w:sz w:val="28"/>
          <w:szCs w:val="28"/>
          <w:rtl w:val="true"/>
          <w:lang w:bidi="ar-SA"/>
        </w:rPr>
        <w:t>، إذ الاشتهار يتحقّق بكونه أكثرياً</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ويظهر من صاحب الجواهر أنّه كان يلاحظ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بنفسه أو اكتفاء بنقل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المصادر في سبيل تحصيل الشهرة، ذكر جملة منها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المشهور كما في الروض والحدائق، وعن المسالك والكفاية، بل لعلّها محصَّلة؛ إذ هو خيرة السرائر والنافع والتذكرة والقواعد والمنتهى والمختلف والذكرى والبيان وكشف اللثام، وعن الغرية ونهاية الإحكام والإصباح وظاهر المسالك، بل في السرائر أنّه بدعة في شريعة الإسلام</w:t>
      </w:r>
      <w:r>
        <w:rPr>
          <w:rFonts w:eastAsia="Amiri" w:cs="Amiri" w:ascii="Amiri" w:hAnsi="Amiri"/>
          <w:color w:val="111111"/>
          <w:sz w:val="28"/>
          <w:szCs w:val="28"/>
          <w:rtl w:val="true"/>
          <w:lang w:bidi="ar-SA"/>
        </w:rPr>
        <w:t>)</w:t>
      </w:r>
      <w:r>
        <w:rPr>
          <w:rStyle w:val="FootnoteAnchor"/>
          <w:rtl w:val="true"/>
        </w:rPr>
        <w:footnoteReference w:id="4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يجب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الغسل إذا كان من جنابة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بقي لطلوع الفجر من يوم يجب صومه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مضيّقاً أو موسّعاً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بمقدار ما يغتسل الجنب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لمكان </w:t>
      </w:r>
      <w:bookmarkStart w:id="521" w:name="pg9142_80753"/>
    </w:p>
    <w:p>
      <w:pPr>
        <w:pStyle w:val="BookText"/>
        <w:rPr/>
      </w:pPr>
      <w:bookmarkEnd w:id="521"/>
      <w:r>
        <w:rPr>
          <w:rFonts w:ascii="Amiri" w:hAnsi="Amiri" w:eastAsia="Amiri" w:cs="Amiri"/>
          <w:color w:val="111111"/>
          <w:sz w:val="28"/>
          <w:sz w:val="28"/>
          <w:szCs w:val="28"/>
          <w:rtl w:val="true"/>
          <w:lang w:bidi="ar-SA"/>
        </w:rPr>
        <w:t>توقّف صحّة الصوم عليه على المشهور شهرة كادت تكون إجماعاً، بل هي كذلك على الظاهر كما حكى في الانتصار والخلاف والسرائر والوسيلة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الغنية وكشف الرموز وحواشي التحرير والروض والمقاصد العلية وكشف اللثام، وعن المعتبر والمنتهى والتذكرة نسبته إلى علمائنا، وكنز العرفان إلى أصحابنا، والمهذّب البارع أنّ القول بخلاف ذلك منقرض، وجامع المقاصد أنّه استقرّ عليه مذهب الأصحاب</w:t>
      </w:r>
      <w:r>
        <w:rPr>
          <w:rFonts w:eastAsia="Amiri" w:cs="Amiri" w:ascii="Amiri" w:hAnsi="Amiri"/>
          <w:color w:val="111111"/>
          <w:sz w:val="28"/>
          <w:szCs w:val="28"/>
          <w:rtl w:val="true"/>
          <w:lang w:bidi="ar-SA"/>
        </w:rPr>
        <w:t>)</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22" w:name="__RefHeading___Toc3266440_2870459653"/>
      <w:bookmarkStart w:id="523" w:name="_Toc201"/>
      <w:bookmarkEnd w:id="522"/>
      <w:r>
        <w:rPr>
          <w:rtl w:val="true"/>
        </w:rPr>
        <w:t>الأمر الرابع</w:t>
      </w:r>
      <w:r>
        <w:rPr>
          <w:rtl w:val="true"/>
        </w:rPr>
        <w:t xml:space="preserve">: </w:t>
      </w:r>
      <w:r>
        <w:rPr>
          <w:rtl w:val="true"/>
        </w:rPr>
        <w:t>هل تتوقّف جابرية الشهرة على استناد المشهور بالفعل إلى الخبر أو لا؟</w:t>
      </w:r>
      <w:bookmarkEnd w:id="523"/>
    </w:p>
    <w:p>
      <w:pPr>
        <w:pStyle w:val="BookText"/>
        <w:rPr/>
      </w:pPr>
      <w:r>
        <w:rPr>
          <w:rFonts w:ascii="IRNazanin" w:hAnsi="IRNazanin" w:eastAsia="IRNazanin"/>
          <w:color w:val="111111"/>
          <w:sz w:val="28"/>
          <w:sz w:val="28"/>
          <w:szCs w:val="28"/>
          <w:rtl w:val="true"/>
          <w:lang w:bidi="fa-IR"/>
        </w:rPr>
        <w:t xml:space="preserve">لا تتوقّف جابرية الشهرة عند صاحب الجواهر على الاستناد الفعلي، بل يكفي تطابق المشهور مع الخبر،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ولا يلزم من ذلك عدم جواز العمل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وجدان الشهرة مع عدم دليل غير هذه الأخبار مثلاً؛ للاكتفاء بوجود الشاهد من أخبار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العمل وإن لم نعلم أنّ منشأ حكم المشهور تلك الأخبار نفسها</w:t>
      </w:r>
      <w:r>
        <w:rPr>
          <w:rFonts w:eastAsia="IRNazanin" w:cs="IRNazanin"/>
          <w:color w:val="111111"/>
          <w:sz w:val="28"/>
          <w:szCs w:val="28"/>
          <w:rtl w:val="true"/>
          <w:lang w:bidi="fa-IR"/>
        </w:rPr>
        <w:t>)</w:t>
      </w:r>
      <w:r>
        <w:rPr>
          <w:rStyle w:val="FootnoteAnchor"/>
          <w:rtl w:val="true"/>
        </w:rPr>
        <w:footnoteReference w:id="473"/>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لكن يشكل الخروج 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بالخبرين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مقتضى القواعد، مع عدم استدلال أحد من الأصحاب بهما على ذلك، اللهم إلّا أن يقال بكفاية عمل المشهور على ما يوافقهما، ولا ريب في أنّه أحوط</w:t>
      </w:r>
      <w:r>
        <w:rPr>
          <w:rFonts w:eastAsia="Amiri" w:cs="Amiri" w:ascii="Amiri" w:hAnsi="Amiri"/>
          <w:color w:val="111111"/>
          <w:sz w:val="28"/>
          <w:szCs w:val="28"/>
          <w:rtl w:val="true"/>
          <w:lang w:bidi="ar-SA"/>
        </w:rPr>
        <w:t>)</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والوجه في ذلك ظاهراً هو ما ذكره الوحيد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وممّا ذكر ظهر فساد 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الشرط في حجّية المنجبر أن يظهر كون عمل المشهور على نفس ذلك الخبر لا </w:t>
      </w:r>
      <w:bookmarkStart w:id="524" w:name="pg9142_80754"/>
    </w:p>
    <w:p>
      <w:pPr>
        <w:pStyle w:val="BookText"/>
        <w:rPr/>
      </w:pPr>
      <w:bookmarkEnd w:id="524"/>
      <w:r>
        <w:rPr>
          <w:rFonts w:ascii="Amiri" w:hAnsi="Amiri" w:eastAsia="Amiri" w:cs="Amiri"/>
          <w:color w:val="111111"/>
          <w:sz w:val="28"/>
          <w:sz w:val="28"/>
          <w:szCs w:val="28"/>
          <w:rtl w:val="true"/>
          <w:lang w:bidi="ar-SA"/>
        </w:rPr>
        <w:t>ما يطابقه؛ لأنّ المدار إذا كان على حصول الظنّ بصدق ذلك الخبر من جهة التبيّن، فلا جرم يكون الحجّية دائرة مع تلك المظنّة، ولا شكّ في حصولها من الموافقة لما اشتهر بين الأصحاب؛ لظهور كونه حقّاً، والموافق للحقّ حقّ</w:t>
      </w:r>
      <w:r>
        <w:rPr>
          <w:rFonts w:eastAsia="Amiri" w:cs="Amiri" w:ascii="Amiri" w:hAnsi="Amiri"/>
          <w:color w:val="111111"/>
          <w:sz w:val="28"/>
          <w:szCs w:val="28"/>
          <w:rtl w:val="true"/>
          <w:lang w:bidi="ar-SA"/>
        </w:rPr>
        <w:t>)</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 يشترط أن لا يحتمل أنّ مستند المشهور كان غير الخبر الضعيف،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قد يناقش في العمل بالمرسل المذكور بعدم حجّيته في نفسه، بل وعدم قابلية الشهرة لجبره أيضاً بعد ظهور كون مستندها عندهم عدم صدق اسم الولد حقيقة، لا هذا المرسل حتّى يكون عملهم به طريق تبيّن</w:t>
      </w:r>
      <w:r>
        <w:rPr>
          <w:rFonts w:eastAsia="Amiri" w:cs="Amiri" w:ascii="Amiri" w:hAnsi="Amiri"/>
          <w:color w:val="111111"/>
          <w:sz w:val="28"/>
          <w:szCs w:val="28"/>
          <w:rtl w:val="true"/>
          <w:lang w:bidi="ar-SA"/>
        </w:rPr>
        <w:t>)</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25" w:name="__RefHeading___Toc3266442_2870459653"/>
      <w:bookmarkStart w:id="526" w:name="_Toc202"/>
      <w:bookmarkEnd w:id="525"/>
      <w:r>
        <w:rPr>
          <w:rtl w:val="true"/>
        </w:rPr>
        <w:t>الأمر الخامس</w:t>
      </w:r>
      <w:r>
        <w:rPr>
          <w:rtl w:val="true"/>
        </w:rPr>
        <w:t xml:space="preserve">: </w:t>
      </w:r>
      <w:r>
        <w:rPr>
          <w:rtl w:val="true"/>
        </w:rPr>
        <w:t>هل تجبر الشهرة أخبار العامّة؟</w:t>
      </w:r>
      <w:bookmarkEnd w:id="526"/>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كون الخبر العامّي مروياً في مصادرنا ومعمولاً على طبقه، وبين عدم كونه كذلك، لما هو معهود من طريقة الأصحاب من الإعراض عن أخبار العامّة الذي يكشف عن أنّه لم يكن مستنداً لهم في مقام العمل، بخلاف ما إذا كان خبرهم مروياً في مصادرنا معمولاً به عند الأصحاب فإنّه يكون مشمولاً لحجّية جابرية الشهرة،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الروايتين العامّيتين لا بأس بهما بعد انجبارهما بالشهرة،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مخالف لطريقة الأصحاب من الإعراض عن أخبارهم، بحيث لا تقوّمها الشهرة، إلّا شهرة رواية الأصحاب له مع العمل به</w:t>
      </w:r>
      <w:r>
        <w:rPr>
          <w:rFonts w:eastAsia="Amiri" w:cs="Amiri" w:ascii="Amiri" w:hAnsi="Amiri"/>
          <w:color w:val="111111"/>
          <w:sz w:val="28"/>
          <w:szCs w:val="28"/>
          <w:rtl w:val="true"/>
          <w:lang w:bidi="ar-SA"/>
        </w:rPr>
        <w:t>)</w:t>
      </w:r>
      <w:r>
        <w:rPr>
          <w:rStyle w:val="FootnoteAnchor"/>
          <w:rtl w:val="true"/>
        </w:rPr>
        <w:footnoteReference w:id="477"/>
      </w:r>
      <w:r>
        <w:rPr>
          <w:rFonts w:ascii="Amiri" w:hAnsi="Amiri" w:eastAsia="Amiri" w:cs="Amiri"/>
          <w:color w:val="111111"/>
          <w:sz w:val="28"/>
          <w:sz w:val="28"/>
          <w:szCs w:val="28"/>
          <w:rtl w:val="true"/>
          <w:lang w:bidi="ar-SA"/>
        </w:rPr>
        <w:t xml:space="preserve">، ولذا جعل الشهرة جابرة لبعض روايات العامّة كما تقدّم في بعض عباراته، بينما لم يرتضها </w:t>
      </w:r>
      <w:bookmarkStart w:id="527" w:name="pg9142_80755"/>
    </w:p>
    <w:p>
      <w:pPr>
        <w:pStyle w:val="BookText"/>
        <w:rPr/>
      </w:pPr>
      <w:bookmarkEnd w:id="527"/>
      <w:r>
        <w:rPr>
          <w:rFonts w:ascii="Amiri" w:hAnsi="Amiri" w:eastAsia="Amiri" w:cs="Amiri"/>
          <w:color w:val="111111"/>
          <w:sz w:val="28"/>
          <w:sz w:val="28"/>
          <w:szCs w:val="28"/>
          <w:rtl w:val="true"/>
          <w:lang w:bidi="ar-SA"/>
        </w:rPr>
        <w:t>كذلك في بعضها الآخر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كوضوح فساد دعوى الجبر سنداً ودلالة بالشهرة؛ إذ لو سلّم صلاحية خبر الشهرة لمثل ذلك ممّا ورد من طرقهم يمكن منع حصول شهرة معتدّ بها هنا، كما لا يخفى على المتتبّع</w:t>
      </w:r>
      <w:r>
        <w:rPr>
          <w:rFonts w:eastAsia="Amiri" w:cs="Amiri" w:ascii="Amiri" w:hAnsi="Amiri"/>
          <w:color w:val="111111"/>
          <w:sz w:val="28"/>
          <w:szCs w:val="28"/>
          <w:rtl w:val="true"/>
          <w:lang w:bidi="ar-SA"/>
        </w:rPr>
        <w:t>)</w:t>
      </w:r>
      <w:r>
        <w:rPr>
          <w:rStyle w:val="FootnoteAnchor"/>
          <w:rtl w:val="true"/>
        </w:rPr>
        <w:footnoteReference w:id="478"/>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الظاهر من ملاحظة كلامه أنّها من طرق العامّة فلا ينفع انجبارها بالشهرة؛ إذ ظاهر الأصحاب عدم الالتفات إلى أخبار العامّة وإن انجبرت</w:t>
      </w:r>
      <w:r>
        <w:rPr>
          <w:rFonts w:eastAsia="Amiri" w:cs="Amiri" w:ascii="Amiri" w:hAnsi="Amiri"/>
          <w:color w:val="111111"/>
          <w:sz w:val="28"/>
          <w:szCs w:val="28"/>
          <w:rtl w:val="true"/>
          <w:lang w:bidi="ar-SA"/>
        </w:rPr>
        <w:t>)</w:t>
      </w:r>
      <w:r>
        <w:rPr>
          <w:rStyle w:val="FootnoteAnchor"/>
          <w:rtl w:val="true"/>
        </w:rPr>
        <w:footnoteReference w:id="479"/>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يمكن الاستدلال عليه ببعض الروايات العامّية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اغتسل بدأ بالشقّ الأيمن ثُمَّ الأيسر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قلنا بحجّية مثل ذلك بعد الانجبار بالشهرة بين الأصحاب</w:t>
      </w:r>
      <w:r>
        <w:rPr>
          <w:rFonts w:eastAsia="IRNazanin" w:cs="IRNazanin"/>
          <w:color w:val="111111"/>
          <w:sz w:val="28"/>
          <w:szCs w:val="28"/>
          <w:rtl w:val="true"/>
          <w:lang w:bidi="fa-IR"/>
        </w:rPr>
        <w:t>)</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8" w:name="__RefHeading___Toc3266444_2870459653"/>
      <w:bookmarkStart w:id="529" w:name="_Toc203"/>
      <w:bookmarkEnd w:id="528"/>
      <w:r>
        <w:rPr>
          <w:rtl w:val="true"/>
        </w:rPr>
        <w:t>إعراض المشهور</w:t>
      </w:r>
      <w:bookmarkEnd w:id="529"/>
    </w:p>
    <w:p>
      <w:pPr>
        <w:pStyle w:val="Heading4"/>
        <w:numPr>
          <w:ilvl w:val="3"/>
          <w:numId w:val="1"/>
        </w:numPr>
        <w:rPr/>
      </w:pPr>
      <w:bookmarkStart w:id="530" w:name="__RefHeading___Toc3266446_2870459653"/>
      <w:bookmarkStart w:id="531" w:name="_Toc204"/>
      <w:bookmarkEnd w:id="530"/>
      <w:r>
        <w:rPr>
          <w:rtl w:val="true"/>
        </w:rPr>
        <w:t>اشارة</w:t>
      </w:r>
      <w:bookmarkEnd w:id="531"/>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عمل المشهور بالخبر الضعيف يوجب انجباراً له عند صاحب الجواهر كذلك إعراضهم عنه يوجب ضعفه وخروجه عن الحجّية،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لخروج الخبر عن الحجّية عندنا بإعراض الأصحاب</w:t>
      </w:r>
      <w:r>
        <w:rPr>
          <w:rFonts w:eastAsia="Amiri" w:cs="Amiri" w:ascii="Amiri" w:hAnsi="Amiri"/>
          <w:color w:val="111111"/>
          <w:sz w:val="28"/>
          <w:szCs w:val="28"/>
          <w:rtl w:val="true"/>
          <w:lang w:bidi="ar-SA"/>
        </w:rPr>
        <w:t>)</w:t>
      </w:r>
      <w:r>
        <w:rPr>
          <w:rStyle w:val="FootnoteAnchor"/>
          <w:rtl w:val="true"/>
        </w:rPr>
        <w:footnoteReference w:id="4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وإعراضهم عنه كما يسقط السند المعتبر عن الحجّية،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كثرت الأخبار وازدادت صحّة ومع ذلك أعرض الأصحاب عنها ولم يلتفتوا إليها مع أنّها بين أيديهم بمنظر منهم ومسمع تزداد وهناً</w:t>
      </w:r>
      <w:r>
        <w:rPr>
          <w:rFonts w:eastAsia="Amiri" w:cs="Amiri" w:ascii="Amiri" w:hAnsi="Amiri"/>
          <w:color w:val="111111"/>
          <w:sz w:val="28"/>
          <w:szCs w:val="28"/>
          <w:rtl w:val="true"/>
          <w:lang w:bidi="ar-SA"/>
        </w:rPr>
        <w:t>)</w:t>
      </w:r>
      <w:r>
        <w:rPr>
          <w:rStyle w:val="FootnoteAnchor"/>
          <w:rtl w:val="true"/>
        </w:rPr>
        <w:footnoteReference w:id="482"/>
      </w:r>
      <w:r>
        <w:rPr>
          <w:rFonts w:ascii="Amiri" w:hAnsi="Amiri" w:eastAsia="Amiri" w:cs="Amiri"/>
          <w:color w:val="111111"/>
          <w:sz w:val="28"/>
          <w:sz w:val="28"/>
          <w:szCs w:val="28"/>
          <w:rtl w:val="true"/>
          <w:lang w:bidi="ar-SA"/>
        </w:rPr>
        <w:t xml:space="preserve">، كذلك </w:t>
      </w:r>
    </w:p>
    <w:p>
      <w:pPr>
        <w:pStyle w:val="BookText"/>
        <w:rPr/>
      </w:pPr>
      <w:r>
        <w:rPr>
          <w:rFonts w:ascii="Amiri" w:hAnsi="Amiri" w:eastAsia="Amiri" w:cs="Amiri"/>
          <w:color w:val="111111"/>
          <w:sz w:val="28"/>
          <w:sz w:val="28"/>
          <w:szCs w:val="28"/>
          <w:rtl w:val="true"/>
          <w:lang w:bidi="ar-SA"/>
        </w:rPr>
        <w:t xml:space="preserve">يسقط الدلالة بعد صحّة السند،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تقييد تلك المطلقات من الكتاب والسنّة مع فتاوى الأصحاب بمجرّد هذه الرواية وإن كانت نقية السند لا يخلو من إشكال، سيّما مع ظهور إعراضهم عنها حتّى من مثل صاحب المدارك التي جرت عادته بالعمل بمضامين الأخبار الصحيحة وإن خالفت كلام الأصحاب</w:t>
      </w:r>
      <w:r>
        <w:rPr>
          <w:rFonts w:eastAsia="Amiri" w:cs="Amiri" w:ascii="Amiri" w:hAnsi="Amiri"/>
          <w:color w:val="111111"/>
          <w:sz w:val="28"/>
          <w:szCs w:val="28"/>
          <w:rtl w:val="true"/>
          <w:lang w:bidi="ar-SA"/>
        </w:rPr>
        <w:t>)</w:t>
      </w:r>
      <w:r>
        <w:rPr>
          <w:rStyle w:val="FootnoteAnchor"/>
          <w:rtl w:val="true"/>
        </w:rPr>
        <w:footnoteReference w:id="483"/>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ظهور إعراض الأصحاب عنه لأمكن العمل به؛ لصحّة سنده بطريق الصدوق إلى جميل بحمل تلك الأخبار على تأكّد الاستحباب</w:t>
      </w:r>
      <w:r>
        <w:rPr>
          <w:rFonts w:eastAsia="Amiri" w:cs="Amiri" w:ascii="Amiri" w:hAnsi="Amiri"/>
          <w:color w:val="111111"/>
          <w:sz w:val="28"/>
          <w:szCs w:val="28"/>
          <w:rtl w:val="true"/>
          <w:lang w:bidi="ar-SA"/>
        </w:rPr>
        <w:t>)</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والوجه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إعراض الأعلام عن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على مرأى ومسمع منهم، مع كونهم الأعرف بها وبمضامينها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يوجب الظنّ بل القطع بعدم كونها على ما هي ظاهرة فيه،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يجب الخروج عنها بعد إعراض الأصحاب الذين هم أعرف بمعنى الخطاب الوارد في السنّة والكتاب، ولذا أمرنا بالأخذ بما اشتهر بينهم عند اشتباه الآثار وتصادم الأخبار</w:t>
      </w:r>
      <w:r>
        <w:rPr>
          <w:rFonts w:eastAsia="Amiri" w:cs="Amiri" w:ascii="Amiri" w:hAnsi="Amiri"/>
          <w:color w:val="111111"/>
          <w:sz w:val="28"/>
          <w:szCs w:val="28"/>
          <w:rtl w:val="true"/>
          <w:lang w:bidi="ar-SA"/>
        </w:rPr>
        <w:t>)</w:t>
      </w:r>
      <w:r>
        <w:rPr>
          <w:rStyle w:val="FootnoteAnchor"/>
          <w:rtl w:val="true"/>
        </w:rPr>
        <w:footnoteReference w:id="48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فالتحقيق حينئذٍ أنّه كلّما كثرت الأخبار وازدادت صحّة ومع ذلك أعرض الأصحاب عنها ولم يلتفتوا إليها مع أنّها بين أيديهم بمنظر منهم ومسمع تزداد وهناً، ويضعف الاعتماد عليها؛ لحصول الظنّ بل القطع بعدم كونها على ما هي ظاهرة فيه</w:t>
      </w:r>
      <w:r>
        <w:rPr>
          <w:rFonts w:eastAsia="Amiri" w:cs="Amiri" w:ascii="Amiri" w:hAnsi="Amiri"/>
          <w:color w:val="111111"/>
          <w:sz w:val="28"/>
          <w:szCs w:val="28"/>
          <w:rtl w:val="true"/>
          <w:lang w:bidi="ar-SA"/>
        </w:rPr>
        <w:t>)</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انتقد صاحب الجواهر بعض الأعلام لتركهم الاعتماد على إعراض المشهور </w:t>
      </w:r>
      <w:bookmarkStart w:id="532" w:name="pg9142_80757"/>
    </w:p>
    <w:p>
      <w:pPr>
        <w:pStyle w:val="BookText"/>
        <w:rPr/>
      </w:pPr>
      <w:bookmarkEnd w:id="532"/>
      <w:r>
        <w:rPr>
          <w:rFonts w:ascii="Amiri" w:hAnsi="Amiri" w:eastAsia="Amiri" w:cs="Amiri"/>
          <w:color w:val="111111"/>
          <w:sz w:val="28"/>
          <w:sz w:val="28"/>
          <w:szCs w:val="28"/>
          <w:rtl w:val="true"/>
          <w:lang w:bidi="ar-SA"/>
        </w:rPr>
        <w:t>والتعويل على الأخبار ما دامت صحيحة السند ظاهرة الدلالة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يظهر من بعض متأخّري المتأخّرين من الميل إليه أخذاً بظواهر بعض الأخبار الموافقة للعامّة المعارضة بأقوى منها المعرض عنها بين قدماء الأصحاب ومتأخّريهم إعراضاً يسقطها عن الحجّية، إنّما نشأ من اختلال الطريقة؛ لعدم المبالاة بكلام الأصحاب حجج الله في أرضه وأمنائه على حلاله وحرامه في جنب الخبر الصحيح، وكيف لا ولو أراد الإنسان أن يلفّق له فقهاً من غير نظر إلى كلام الأصحاب، بل من محض الأخبار لظهر له فقه خارج عن ربقة جميع المسلمين، بل سائر المتدينين</w:t>
      </w:r>
      <w:r>
        <w:rPr>
          <w:rFonts w:eastAsia="Amiri" w:cs="Amiri" w:ascii="Amiri" w:hAnsi="Amiri"/>
          <w:color w:val="111111"/>
          <w:sz w:val="28"/>
          <w:szCs w:val="28"/>
          <w:rtl w:val="true"/>
          <w:lang w:bidi="ar-SA"/>
        </w:rPr>
        <w:t>)</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وهنا أمور ثلاثة</w:t>
      </w:r>
      <w:r>
        <w:rPr>
          <w:rFonts w:eastAsia="Amiri" w:cs="Amiri" w:ascii="Amiri" w:hAnsi="Amiri"/>
          <w:color w:val="111111"/>
          <w:sz w:val="28"/>
          <w:szCs w:val="28"/>
          <w:rtl w:val="true"/>
          <w:lang w:bidi="ar-SA"/>
        </w:rPr>
        <w:t>:</w:t>
      </w:r>
    </w:p>
    <w:p>
      <w:pPr>
        <w:pStyle w:val="Heading4"/>
        <w:numPr>
          <w:ilvl w:val="3"/>
          <w:numId w:val="1"/>
        </w:numPr>
        <w:rPr/>
      </w:pPr>
      <w:bookmarkStart w:id="533" w:name="__RefHeading___Toc3266448_2870459653"/>
      <w:bookmarkStart w:id="534" w:name="_Toc205"/>
      <w:bookmarkEnd w:id="533"/>
      <w:r>
        <w:rPr>
          <w:rtl w:val="true"/>
        </w:rPr>
        <w:t>الأمر الأوّل</w:t>
      </w:r>
      <w:r>
        <w:rPr>
          <w:rtl w:val="true"/>
        </w:rPr>
        <w:t xml:space="preserve">: </w:t>
      </w:r>
      <w:r>
        <w:rPr>
          <w:rtl w:val="true"/>
        </w:rPr>
        <w:t>هل الإعراض المسقط لحجّية الخبر هو خصوص إعراض المتقدّمين أو يشمل المتأخّرين؟</w:t>
      </w:r>
      <w:bookmarkEnd w:id="534"/>
    </w:p>
    <w:p>
      <w:pPr>
        <w:pStyle w:val="BookText"/>
        <w:rPr/>
      </w:pPr>
      <w:r>
        <w:rPr>
          <w:rFonts w:ascii="Amiri" w:hAnsi="Amiri" w:eastAsia="Amiri" w:cs="Amiri"/>
          <w:color w:val="111111"/>
          <w:sz w:val="28"/>
          <w:sz w:val="28"/>
          <w:szCs w:val="28"/>
          <w:rtl w:val="true"/>
          <w:lang w:bidi="ar-SA"/>
        </w:rPr>
        <w:t>اختار صاحب الجواهر الثاني كما مرّ في جابرية الشهرة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سيّما بعد إعراض كثير من المتأخّرين عنها وجملة من القدماء</w:t>
      </w:r>
      <w:r>
        <w:rPr>
          <w:rFonts w:eastAsia="Amiri" w:cs="Amiri" w:ascii="Amiri" w:hAnsi="Amiri"/>
          <w:color w:val="111111"/>
          <w:sz w:val="28"/>
          <w:szCs w:val="28"/>
          <w:rtl w:val="true"/>
          <w:lang w:bidi="ar-SA"/>
        </w:rPr>
        <w:t>)</w:t>
      </w:r>
      <w:r>
        <w:rPr>
          <w:rStyle w:val="FootnoteAnchor"/>
          <w:rtl w:val="true"/>
        </w:rPr>
        <w:footnoteReference w:id="48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إعراض الأصحاب قديماً وحديثاً</w:t>
      </w:r>
      <w:r>
        <w:rPr>
          <w:rFonts w:eastAsia="Amiri" w:cs="Amiri" w:ascii="Amiri" w:hAnsi="Amiri"/>
          <w:color w:val="111111"/>
          <w:sz w:val="28"/>
          <w:szCs w:val="28"/>
          <w:rtl w:val="true"/>
          <w:lang w:bidi="ar-SA"/>
        </w:rPr>
        <w:t>)</w:t>
      </w:r>
      <w:r>
        <w:rPr>
          <w:rStyle w:val="FootnoteAnchor"/>
          <w:rtl w:val="true"/>
        </w:rPr>
        <w:footnoteReference w:id="489"/>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بإعراض المتأخّرين أو أكثرهم عنه</w:t>
      </w:r>
      <w:r>
        <w:rPr>
          <w:rFonts w:eastAsia="Amiri" w:cs="Amiri" w:ascii="Amiri" w:hAnsi="Amiri"/>
          <w:color w:val="111111"/>
          <w:sz w:val="28"/>
          <w:szCs w:val="28"/>
          <w:rtl w:val="true"/>
          <w:lang w:bidi="ar-SA"/>
        </w:rPr>
        <w:t>)</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والوجه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إعراض المشهور مطلقاً يوجب الظنّ بعدم كون الأخبار على ما </w:t>
      </w:r>
      <w:bookmarkStart w:id="535" w:name="pg9142_80758"/>
    </w:p>
    <w:p>
      <w:pPr>
        <w:pStyle w:val="BookText"/>
        <w:rPr/>
      </w:pPr>
      <w:bookmarkEnd w:id="535"/>
      <w:r>
        <w:rPr>
          <w:rFonts w:ascii="Amiri" w:hAnsi="Amiri" w:eastAsia="Amiri" w:cs="Amiri"/>
          <w:color w:val="111111"/>
          <w:sz w:val="28"/>
          <w:sz w:val="28"/>
          <w:szCs w:val="28"/>
          <w:rtl w:val="true"/>
          <w:lang w:bidi="ar-SA"/>
        </w:rPr>
        <w:t xml:space="preserve">هي ظاهرة فيه، بل يرى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إعراض المتأخّرين أقوى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واشتهار الإعراض عنها في الأعصار المتأخّرة المملوءة من الأفاضل المحقّقين الذين لا يجسر على دعوى قصورهم عن المتقدّمين، بل هي على العكس أقرب إلى الصواب كما لا يخفى على ذوي الألباب، بل هم معهم أشبه شيء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نَنْسَخْ مِنْ آَيَةٍ أَوْ نُنْسِهَا نَأْتِ بِخَيْرٍ مِنْهَا، ويكفيهم في الفضل أنّهم علموا ما عند المتقدّمين وزادوا عليهم بما عندهم، وأعلم الناس من يجمع علمه وعلم غيره</w:t>
      </w:r>
      <w:r>
        <w:rPr>
          <w:rFonts w:eastAsia="Amiri" w:cs="Amiri" w:ascii="Amiri" w:hAnsi="Amiri"/>
          <w:color w:val="111111"/>
          <w:sz w:val="28"/>
          <w:szCs w:val="28"/>
          <w:rtl w:val="true"/>
          <w:lang w:bidi="ar-SA"/>
        </w:rPr>
        <w:t>)</w:t>
      </w:r>
      <w:r>
        <w:rPr>
          <w:rStyle w:val="FootnoteAnchor"/>
          <w:rtl w:val="true"/>
        </w:rPr>
        <w:footnoteReference w:id="491"/>
      </w:r>
      <w:r>
        <w:rPr>
          <w:rFonts w:ascii="Amiri" w:hAnsi="Amiri" w:eastAsia="Amiri" w:cs="Amiri"/>
          <w:color w:val="111111"/>
          <w:sz w:val="28"/>
          <w:sz w:val="28"/>
          <w:szCs w:val="28"/>
          <w:rtl w:val="true"/>
          <w:lang w:bidi="ar-SA"/>
        </w:rPr>
        <w:t>، ولذا لم يبنِ على إعراض المتقدّمين في حال معارضته بعمل المتأخّرين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ارتكبه المصنّف في معتبره، ولعلّه لعدم عثوره على عامل به قبله، لكنّك خبير أنّ ذلك غير شرط، نعم لو تحقّق الإعراض ربّما يشكل العمل حينئذٍ به، ودعواه هنا بالنسبة إلى سابق زمن المصنّف وإن كانت ممكنة خصوصاً بعد ما في كشف اللثام أنّ ظاهر الأكثر كونه كسائر النجاسات، وعدم اشتهاره بين السلف، لكن لا يجسر عليه الآن بعد ما سمعت من عمل من عرفت به</w:t>
      </w:r>
      <w:r>
        <w:rPr>
          <w:rFonts w:eastAsia="Amiri" w:cs="Amiri" w:ascii="Amiri" w:hAnsi="Amiri"/>
          <w:color w:val="111111"/>
          <w:sz w:val="28"/>
          <w:szCs w:val="28"/>
          <w:rtl w:val="true"/>
          <w:lang w:bidi="ar-SA"/>
        </w:rPr>
        <w:t>)</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36" w:name="__RefHeading___Toc3266450_2870459653"/>
      <w:bookmarkStart w:id="537" w:name="_Toc206"/>
      <w:bookmarkEnd w:id="536"/>
      <w:r>
        <w:rPr>
          <w:rtl w:val="true"/>
        </w:rPr>
        <w:t>الأمر الثاني</w:t>
      </w:r>
      <w:r>
        <w:rPr>
          <w:rtl w:val="true"/>
        </w:rPr>
        <w:t xml:space="preserve">: </w:t>
      </w:r>
      <w:r>
        <w:rPr>
          <w:rtl w:val="true"/>
        </w:rPr>
        <w:t>هل يشترط في تحقّق الإعراض ترك العمل بالخبر من جميع الأعلام أو يكفي فيه أكثرهم؟</w:t>
      </w:r>
      <w:bookmarkEnd w:id="537"/>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اختار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وإعراض أكثر الأصحاب عنها</w:t>
      </w:r>
      <w:r>
        <w:rPr>
          <w:rFonts w:eastAsia="Amiri" w:cs="Amiri" w:ascii="Amiri" w:hAnsi="Amiri"/>
          <w:color w:val="111111"/>
          <w:sz w:val="28"/>
          <w:szCs w:val="28"/>
          <w:rtl w:val="true"/>
          <w:lang w:bidi="ar-SA"/>
        </w:rPr>
        <w:t>)</w:t>
      </w:r>
      <w:r>
        <w:rPr>
          <w:rStyle w:val="FootnoteAnchor"/>
          <w:rtl w:val="true"/>
        </w:rPr>
        <w:footnoteReference w:id="493"/>
      </w:r>
      <w:r>
        <w:rPr>
          <w:rFonts w:ascii="IRNazanin" w:hAnsi="IRNazanin" w:eastAsia="IRNazanin"/>
          <w:color w:val="111111"/>
          <w:sz w:val="28"/>
          <w:sz w:val="28"/>
          <w:szCs w:val="28"/>
          <w:rtl w:val="true"/>
          <w:lang w:bidi="fa-IR"/>
        </w:rPr>
        <w:t xml:space="preserve">، </w:t>
      </w:r>
      <w:bookmarkStart w:id="538" w:name="pg9142_80760"/>
    </w:p>
    <w:p>
      <w:pPr>
        <w:pStyle w:val="BookText"/>
        <w:rPr/>
      </w:pPr>
      <w:bookmarkEnd w:id="53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وإعراض الأصحاب عدا النادر عنها</w:t>
      </w:r>
      <w:r>
        <w:rPr>
          <w:rFonts w:eastAsia="IRNazanin" w:cs="IRNazanin"/>
          <w:color w:val="111111"/>
          <w:sz w:val="28"/>
          <w:szCs w:val="28"/>
          <w:rtl w:val="true"/>
          <w:lang w:bidi="fa-IR"/>
        </w:rPr>
        <w:t>)</w:t>
      </w:r>
      <w:r>
        <w:rPr>
          <w:rStyle w:val="FootnoteAnchor"/>
          <w:rtl w:val="true"/>
        </w:rPr>
        <w:footnoteReference w:id="494"/>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بإعراض المتأخّرين أو أكثرهم عنه فيه</w:t>
      </w:r>
      <w:r>
        <w:rPr>
          <w:rFonts w:eastAsia="Amiri" w:cs="Amiri" w:ascii="Amiri" w:hAnsi="Amiri"/>
          <w:color w:val="111111"/>
          <w:sz w:val="28"/>
          <w:szCs w:val="28"/>
          <w:rtl w:val="true"/>
          <w:lang w:bidi="ar-SA"/>
        </w:rPr>
        <w:t>)</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والوجه فيه ظاهر؛ إذ إعراض الأكثر تحقّق الشهرة عليه</w:t>
      </w:r>
      <w:r>
        <w:rPr>
          <w:rFonts w:eastAsia="Amiri" w:cs="Amiri" w:ascii="Amiri" w:hAnsi="Amiri"/>
          <w:color w:val="111111"/>
          <w:sz w:val="28"/>
          <w:szCs w:val="28"/>
          <w:rtl w:val="true"/>
          <w:lang w:bidi="ar-SA"/>
        </w:rPr>
        <w:t>.</w:t>
      </w:r>
    </w:p>
    <w:p>
      <w:pPr>
        <w:pStyle w:val="Heading4"/>
        <w:numPr>
          <w:ilvl w:val="3"/>
          <w:numId w:val="1"/>
        </w:numPr>
        <w:rPr/>
      </w:pPr>
      <w:bookmarkStart w:id="539" w:name="__RefHeading___Toc3266452_2870459653"/>
      <w:bookmarkStart w:id="540" w:name="_Toc207"/>
      <w:bookmarkEnd w:id="539"/>
      <w:r>
        <w:rPr>
          <w:rtl w:val="true"/>
        </w:rPr>
        <w:t>الأمر الثالث</w:t>
      </w:r>
      <w:r>
        <w:rPr>
          <w:rtl w:val="true"/>
        </w:rPr>
        <w:t xml:space="preserve">: </w:t>
      </w:r>
      <w:r>
        <w:rPr>
          <w:rtl w:val="true"/>
        </w:rPr>
        <w:t>يشترط في تمامية الإعراض أن لا يكون معلوم المنشأ أو محتمله</w:t>
      </w:r>
      <w:bookmarkEnd w:id="540"/>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أنّ الخبر لم يكن بمرأى منهم،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لكنّه لإعراض المشهور عنه قصر عن المقاومة، إلّا أنّه مع ذلك لا ينبغي ترك الاحتياط بالعمل بمضمونه، خصوصاً مع احتمال بل ظهور كون الإعراض لعدم القول بحجّية الموثّق، بل صرّح به غير واحد</w:t>
      </w:r>
      <w:r>
        <w:rPr>
          <w:rFonts w:eastAsia="Amiri" w:cs="Amiri" w:ascii="Amiri" w:hAnsi="Amiri"/>
          <w:color w:val="111111"/>
          <w:sz w:val="28"/>
          <w:szCs w:val="28"/>
          <w:rtl w:val="true"/>
          <w:lang w:bidi="ar-SA"/>
        </w:rPr>
        <w:t>)</w:t>
      </w:r>
      <w:r>
        <w:rPr>
          <w:rStyle w:val="FootnoteAnchor"/>
          <w:rtl w:val="true"/>
        </w:rPr>
        <w:footnoteReference w:id="496"/>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إعراض الأصحاب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مع ذلك كلّه لا ينبغي ترك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وسيّما مع احتمال عدم عثور الأصحاب على مجموع هذه الروايات كما يظهر من بعضهم، فلم يتحقّق إعراض عنها حينئذ</w:t>
      </w:r>
      <w:r>
        <w:rPr>
          <w:rFonts w:eastAsia="Amiri" w:cs="Amiri" w:ascii="Amiri" w:hAnsi="Amiri"/>
          <w:color w:val="111111"/>
          <w:sz w:val="28"/>
          <w:szCs w:val="28"/>
          <w:rtl w:val="true"/>
          <w:lang w:bidi="ar-SA"/>
        </w:rPr>
        <w:t>)</w:t>
      </w:r>
      <w:r>
        <w:rPr>
          <w:rStyle w:val="FootnoteAnchor"/>
          <w:rtl w:val="true"/>
        </w:rPr>
        <w:footnoteReference w:id="497"/>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إعراض هؤلاء عنها لعدم قرائن دلّتهم على صحّتها بناءً منهم على عدم جواز العمل بخبر الواحد الصحيح، وعلى كلّ حال فالمتّجه العمل بها</w:t>
      </w:r>
      <w:r>
        <w:rPr>
          <w:rFonts w:eastAsia="Amiri" w:cs="Amiri" w:ascii="Amiri" w:hAnsi="Amiri"/>
          <w:color w:val="111111"/>
          <w:sz w:val="28"/>
          <w:szCs w:val="28"/>
          <w:rtl w:val="true"/>
          <w:lang w:bidi="ar-SA"/>
        </w:rPr>
        <w:t>)</w:t>
      </w:r>
      <w:r>
        <w:rPr>
          <w:rStyle w:val="FootnoteAnchor"/>
          <w:rtl w:val="true"/>
        </w:rPr>
        <w:footnoteReference w:id="498"/>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يمكن القول بعدم العمل بالإعراض عنها بعد احتمال عدم العثور عليها</w:t>
      </w:r>
      <w:r>
        <w:rPr>
          <w:rFonts w:eastAsia="Amiri" w:cs="Amiri" w:ascii="Amiri" w:hAnsi="Amiri"/>
          <w:color w:val="111111"/>
          <w:sz w:val="28"/>
          <w:szCs w:val="28"/>
          <w:rtl w:val="true"/>
          <w:lang w:bidi="ar-SA"/>
        </w:rPr>
        <w:t>)</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 xml:space="preserve">. </w:t>
      </w:r>
      <w:bookmarkStart w:id="541" w:name="pg9142_80762"/>
    </w:p>
    <w:p>
      <w:pPr>
        <w:pStyle w:val="BookText"/>
        <w:rPr/>
      </w:pPr>
      <w:bookmarkEnd w:id="541"/>
      <w:r>
        <w:rPr>
          <w:rFonts w:ascii="Amiri" w:hAnsi="Amiri" w:eastAsia="Amiri" w:cs="Amiri"/>
          <w:color w:val="111111"/>
          <w:sz w:val="28"/>
          <w:sz w:val="28"/>
          <w:szCs w:val="28"/>
          <w:rtl w:val="true"/>
          <w:lang w:bidi="ar-SA"/>
        </w:rPr>
        <w:t xml:space="preserve">والوجه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أنّه مع احتمال وجه الإعراض أو العلم به لا يحصل القطع أو الظنّ بعدم كون ظاهر الخبر المعرض عنه على غير ما هو ظاهر فيه؛ ولذا لم يعتدّ بإعراض المتأخّرين في حال أنّهم لم يذكروا مستنداً يمكن أن يكون خافياً على المتقدّمين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الشهرة العظيمة على النجاسة حتّى نقل جماعة منهم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نقل الإجماع عليه بين القدماء، وأخرى منهم الشيخ والحلّي نفي الخلاف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قرب عهدهم وبعد خفاء هذا الحكم على كثرة دورانه عليهم، مع أنّ المتأخّرين وإن خالفوا في ذلك لكنّهم لم يذكروا دليلاً يحتمل خفاؤه على المتقدّمين، بل العمدة عندهم على أخبار خرجت من أيديهم ومع ذلك أعرضوا عنها وما ذاك إلّا لأمور عندهم</w:t>
      </w:r>
      <w:r>
        <w:rPr>
          <w:rFonts w:eastAsia="Amiri" w:cs="Amiri" w:ascii="Amiri" w:hAnsi="Amiri"/>
          <w:color w:val="111111"/>
          <w:sz w:val="28"/>
          <w:szCs w:val="28"/>
          <w:rtl w:val="true"/>
          <w:lang w:bidi="ar-SA"/>
        </w:rPr>
        <w:t>)</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2" w:name="__RefHeading___Toc3266454_2870459653"/>
      <w:bookmarkStart w:id="543" w:name="_Toc208"/>
      <w:bookmarkEnd w:id="542"/>
      <w:r>
        <w:rPr>
          <w:rtl w:val="true"/>
        </w:rPr>
        <w:t>أضبطيّة الكافي</w:t>
      </w:r>
      <w:bookmarkEnd w:id="543"/>
    </w:p>
    <w:p>
      <w:pPr>
        <w:pStyle w:val="Heading4"/>
        <w:numPr>
          <w:ilvl w:val="3"/>
          <w:numId w:val="1"/>
        </w:numPr>
        <w:rPr/>
      </w:pPr>
      <w:bookmarkStart w:id="544" w:name="__RefHeading___Toc3266456_2870459653"/>
      <w:bookmarkStart w:id="545" w:name="_Toc209"/>
      <w:bookmarkEnd w:id="544"/>
      <w:r>
        <w:rPr>
          <w:rtl w:val="true"/>
        </w:rPr>
        <w:t>اشارة</w:t>
      </w:r>
      <w:bookmarkEnd w:id="545"/>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المشهور أنّ الكافي أضبط من بقية الكتب الروائية</w:t>
      </w:r>
      <w:r>
        <w:rPr>
          <w:rStyle w:val="FootnoteAnchor"/>
          <w:rtl w:val="true"/>
        </w:rPr>
        <w:footnoteReference w:id="501"/>
      </w:r>
      <w:r>
        <w:rPr>
          <w:rFonts w:ascii="Amiri" w:hAnsi="Amiri" w:eastAsia="Amiri" w:cs="Amiri"/>
          <w:color w:val="111111"/>
          <w:sz w:val="28"/>
          <w:sz w:val="28"/>
          <w:szCs w:val="28"/>
          <w:rtl w:val="true"/>
          <w:lang w:bidi="ar-SA"/>
        </w:rPr>
        <w:t xml:space="preserve">، واختاره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أنّ المنقول عن الكافي الذي هو أضبط كتب الأخبار</w:t>
      </w:r>
      <w:r>
        <w:rPr>
          <w:rFonts w:eastAsia="Amiri" w:cs="Amiri" w:ascii="Amiri" w:hAnsi="Amiri"/>
          <w:color w:val="111111"/>
          <w:sz w:val="28"/>
          <w:szCs w:val="28"/>
          <w:rtl w:val="true"/>
          <w:lang w:bidi="ar-SA"/>
        </w:rPr>
        <w:t>)</w:t>
      </w:r>
      <w:r>
        <w:rPr>
          <w:rStyle w:val="FootnoteAnchor"/>
          <w:rtl w:val="true"/>
        </w:rPr>
        <w:footnoteReference w:id="502"/>
      </w:r>
      <w:r>
        <w:rPr>
          <w:rFonts w:ascii="Amiri" w:hAnsi="Amiri" w:eastAsia="Amiri" w:cs="Amiri"/>
          <w:color w:val="111111"/>
          <w:sz w:val="28"/>
          <w:sz w:val="28"/>
          <w:szCs w:val="28"/>
          <w:rtl w:val="true"/>
          <w:lang w:bidi="ar-SA"/>
        </w:rPr>
        <w:t xml:space="preserve">، ممّا يوجب ترجيحه في حال التعارض، وقد لوحظت هذه الأضبطية بشكل خاصّ مع التهذيب بعد اشتراكهما في نقل الرواية، وقطع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بأضبطية الكافي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كالكليني الذي هو </w:t>
      </w:r>
    </w:p>
    <w:p>
      <w:pPr>
        <w:pStyle w:val="BookText"/>
        <w:rPr/>
      </w:pPr>
      <w:r>
        <w:rPr>
          <w:rFonts w:ascii="Amiri" w:hAnsi="Amiri" w:eastAsia="Amiri" w:cs="Amiri"/>
          <w:color w:val="111111"/>
          <w:sz w:val="28"/>
          <w:sz w:val="28"/>
          <w:szCs w:val="28"/>
          <w:rtl w:val="true"/>
          <w:lang w:bidi="ar-SA"/>
        </w:rPr>
        <w:t>أضبط من الشيخ قطعاً</w:t>
      </w:r>
      <w:r>
        <w:rPr>
          <w:rFonts w:eastAsia="Amiri" w:cs="Amiri" w:ascii="Amiri" w:hAnsi="Amiri"/>
          <w:color w:val="111111"/>
          <w:sz w:val="28"/>
          <w:szCs w:val="28"/>
          <w:rtl w:val="true"/>
          <w:lang w:bidi="ar-SA"/>
        </w:rPr>
        <w:t>)</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بعض الأعلام الوجه في أقوائية الكافي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قد يظهر من بعضهم الميل إليه مرجّحاً له بقدم الكليني وحسن ضبطه على ما يشاهد من كتابه الذي لم يوجد مثله، عكس الشيخ فإنّه قد عثر له على كثير من الخلل</w:t>
      </w:r>
      <w:r>
        <w:rPr>
          <w:rFonts w:eastAsia="Amiri" w:cs="Amiri" w:ascii="Amiri" w:hAnsi="Amiri"/>
          <w:color w:val="111111"/>
          <w:sz w:val="28"/>
          <w:szCs w:val="28"/>
          <w:rtl w:val="true"/>
          <w:lang w:bidi="ar-SA"/>
        </w:rPr>
        <w:t>)</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 علّق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ويدفع ذلك كلّه أنّه لو سلّم أضبطية الكليني</w:t>
      </w:r>
      <w:r>
        <w:rPr>
          <w:rFonts w:eastAsia="Amiri" w:cs="Amiri" w:ascii="Amiri" w:hAnsi="Amiri"/>
          <w:color w:val="111111"/>
          <w:sz w:val="28"/>
          <w:szCs w:val="28"/>
          <w:rtl w:val="true"/>
          <w:lang w:bidi="ar-SA"/>
        </w:rPr>
        <w:t>...)</w:t>
      </w:r>
      <w:r>
        <w:rPr>
          <w:rStyle w:val="FootnoteAnchor"/>
          <w:rtl w:val="true"/>
        </w:rPr>
        <w:footnoteReference w:id="505"/>
      </w:r>
      <w:r>
        <w:rPr>
          <w:rFonts w:ascii="Amiri" w:hAnsi="Amiri" w:eastAsia="Amiri" w:cs="Amiri"/>
          <w:color w:val="111111"/>
          <w:sz w:val="28"/>
          <w:sz w:val="28"/>
          <w:szCs w:val="28"/>
          <w:rtl w:val="true"/>
          <w:lang w:bidi="ar-SA"/>
        </w:rPr>
        <w:t xml:space="preserve">، والوجه فيه خصوصية المورد على ما سيأتي بيانه في الكلام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المضطرب</w:t>
      </w:r>
      <w:r>
        <w:rPr>
          <w:rFonts w:eastAsia="Amiri" w:cs="Amiri" w:ascii="Amiri" w:hAnsi="Amiri"/>
          <w:color w:val="111111"/>
          <w:sz w:val="28"/>
          <w:szCs w:val="28"/>
          <w:rtl w:val="true"/>
          <w:lang w:bidi="ar-SA"/>
        </w:rPr>
        <w:t>)</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أضبطية الكافي تشمل الفقيه أيضاً بشهادة عموم عبارته في صدر البحث، إلّا أنّ الفقيه أضبط من التهذيب حيث أشركه مع الكافي في كونه أضبط من غيره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رواية الكليني والصدوق اللذَين هما أضبط من غيرهما</w:t>
      </w:r>
      <w:r>
        <w:rPr>
          <w:rFonts w:eastAsia="Amiri" w:cs="Amiri" w:ascii="Amiri" w:hAnsi="Amiri"/>
          <w:color w:val="111111"/>
          <w:sz w:val="28"/>
          <w:szCs w:val="28"/>
          <w:rtl w:val="true"/>
          <w:lang w:bidi="ar-SA"/>
        </w:rPr>
        <w:t>)</w:t>
      </w:r>
      <w:r>
        <w:rPr>
          <w:rStyle w:val="FootnoteAnchor"/>
          <w:rtl w:val="true"/>
        </w:rPr>
        <w:footnoteReference w:id="507"/>
      </w:r>
      <w:r>
        <w:rPr>
          <w:rFonts w:ascii="Amiri" w:hAnsi="Amiri" w:eastAsia="Amiri" w:cs="Amiri"/>
          <w:color w:val="111111"/>
          <w:sz w:val="28"/>
          <w:sz w:val="28"/>
          <w:szCs w:val="28"/>
          <w:rtl w:val="true"/>
          <w:lang w:bidi="ar-SA"/>
        </w:rPr>
        <w:t>، بل قطع بأضبطيته من التهذيب،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أنّ المروي عن الفقيه الذي هو أضبط من التهذيب قطعاً</w:t>
      </w:r>
      <w:r>
        <w:rPr>
          <w:rFonts w:eastAsia="Amiri" w:cs="Amiri" w:ascii="Amiri" w:hAnsi="Amiri"/>
          <w:color w:val="111111"/>
          <w:sz w:val="28"/>
          <w:szCs w:val="28"/>
          <w:rtl w:val="true"/>
          <w:lang w:bidi="ar-SA"/>
        </w:rPr>
        <w:t>)</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أنّ الوجه في تقديم الفقيه على التهذيب هو ما مرّت الإشارة إليه في </w:t>
      </w:r>
      <w:bookmarkStart w:id="546" w:name="pg9142_80766"/>
    </w:p>
    <w:p>
      <w:pPr>
        <w:pStyle w:val="BookText"/>
        <w:rPr/>
      </w:pPr>
      <w:bookmarkEnd w:id="546"/>
      <w:r>
        <w:rPr>
          <w:rFonts w:ascii="Amiri" w:hAnsi="Amiri" w:eastAsia="Amiri" w:cs="Amiri"/>
          <w:color w:val="111111"/>
          <w:sz w:val="28"/>
          <w:sz w:val="28"/>
          <w:szCs w:val="28"/>
          <w:rtl w:val="true"/>
          <w:lang w:bidi="ar-SA"/>
        </w:rPr>
        <w:t>كلام المدارك من العثور على كثير من الخلل في كلام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أمور ثلاثة</w:t>
      </w:r>
      <w:r>
        <w:rPr>
          <w:rFonts w:eastAsia="Amiri" w:cs="Amiri" w:ascii="Amiri" w:hAnsi="Amiri"/>
          <w:color w:val="111111"/>
          <w:sz w:val="28"/>
          <w:szCs w:val="28"/>
          <w:rtl w:val="true"/>
          <w:lang w:bidi="ar-SA"/>
        </w:rPr>
        <w:t>:</w:t>
      </w:r>
    </w:p>
    <w:p>
      <w:pPr>
        <w:pStyle w:val="Heading4"/>
        <w:numPr>
          <w:ilvl w:val="3"/>
          <w:numId w:val="1"/>
        </w:numPr>
        <w:rPr/>
      </w:pPr>
      <w:bookmarkStart w:id="547" w:name="__RefHeading___Toc3266458_2870459653"/>
      <w:bookmarkStart w:id="548" w:name="_Toc210"/>
      <w:bookmarkEnd w:id="547"/>
      <w:r>
        <w:rPr>
          <w:rtl w:val="true"/>
        </w:rPr>
        <w:t>الأمر الأول</w:t>
      </w:r>
      <w:bookmarkEnd w:id="548"/>
    </w:p>
    <w:p>
      <w:pPr>
        <w:pStyle w:val="BookText"/>
        <w:rPr/>
      </w:pPr>
      <w:r>
        <w:rPr>
          <w:rFonts w:ascii="Amiri" w:hAnsi="Amiri" w:eastAsia="Amiri" w:cs="Amiri"/>
          <w:color w:val="111111"/>
          <w:sz w:val="28"/>
          <w:sz w:val="28"/>
          <w:szCs w:val="28"/>
          <w:rtl w:val="true"/>
          <w:lang w:bidi="ar-SA"/>
        </w:rPr>
        <w:t xml:space="preserve">أنّ أضبطية الكافي من التهذيب تشمل السند والمتن،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عرف روايته في الكافي الذي هو أضبط من التهذيب سنداً ومتناً</w:t>
      </w:r>
      <w:r>
        <w:rPr>
          <w:rFonts w:eastAsia="Amiri" w:cs="Amiri" w:ascii="Amiri" w:hAnsi="Amiri"/>
          <w:color w:val="111111"/>
          <w:sz w:val="28"/>
          <w:szCs w:val="28"/>
          <w:rtl w:val="true"/>
          <w:lang w:bidi="ar-SA"/>
        </w:rPr>
        <w:t>)</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49" w:name="__RefHeading___Toc3266460_2870459653"/>
      <w:bookmarkStart w:id="550" w:name="_Toc211"/>
      <w:bookmarkEnd w:id="549"/>
      <w:r>
        <w:rPr>
          <w:rtl w:val="true"/>
        </w:rPr>
        <w:t>الأمر الثاني</w:t>
      </w:r>
      <w:bookmarkEnd w:id="550"/>
    </w:p>
    <w:p>
      <w:pPr>
        <w:pStyle w:val="BookText"/>
        <w:rPr/>
      </w:pPr>
      <w:r>
        <w:rPr>
          <w:rFonts w:ascii="Amiri" w:hAnsi="Amiri" w:eastAsia="Amiri" w:cs="Amiri"/>
          <w:color w:val="111111"/>
          <w:sz w:val="28"/>
          <w:sz w:val="28"/>
          <w:szCs w:val="28"/>
          <w:rtl w:val="true"/>
          <w:lang w:bidi="ar-SA"/>
        </w:rPr>
        <w:t xml:space="preserve">أنّ الترجيح بالأضبطية إنّما يكون في خبرٍ تعارض النقل فيه، وأمّا إذا كان هناك خبران لراوٍ فلا معنى للترجيح بينهما بعد إمكان صدورهما معاً، ولذا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مدخلية لضبط الكليني والصدوق هنا؛ إذ الظاهر أنّهما خبران له</w:t>
      </w:r>
      <w:r>
        <w:rPr>
          <w:rFonts w:eastAsia="Amiri" w:cs="Amiri" w:ascii="Amiri" w:hAnsi="Amiri"/>
          <w:color w:val="111111"/>
          <w:sz w:val="28"/>
          <w:szCs w:val="28"/>
          <w:rtl w:val="true"/>
          <w:lang w:bidi="ar-SA"/>
        </w:rPr>
        <w:t>)</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51" w:name="__RefHeading___Toc3266462_2870459653"/>
      <w:bookmarkStart w:id="552" w:name="_Toc212"/>
      <w:bookmarkEnd w:id="551"/>
      <w:r>
        <w:rPr>
          <w:rtl w:val="true"/>
        </w:rPr>
        <w:t>الأمر الثالث</w:t>
      </w:r>
      <w:bookmarkEnd w:id="552"/>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الأضبطية المذكورة معمول بها ما لم تقم قرينة على خلافها، ومن هنا قدّم التهذيب على الكافي في بعض الموارد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إلّا أنّ الظاهر أنّ الشيخ في خصوص المقام أضبط؛ لما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ما ورد بقوله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ويؤيّده بعد انجبار سنده وغيره بالشهرة المحصَّلة والمنقولة، بل نسبه في جامع المقاصد إلى الأصحاب، وبفتوى مثل الصدوق ناقلاً له عن رسالة والده إليه، وفتوى الشيخ في النهاية التي قيل إنّها متون أخبار كرسالة علي ابن بابويه، فإنّه على ما قيل إنّهم كانوا إذا أعوزتهم النصوص رجعوا إليها وأمثالها، والمنقول عن الفقه الرضوي فإنّه كالخبر المتقدّم في ذلك، قيل وبما 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الحائض إذا أرادت أن تستبرئ ألصقت بطنها إلى جدار ورفعت رجلها اليسرى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يشعر بأنّ الحيض في الأيسر، وفيه أنّ الموجود في مرسلة يونس في كيفيته أنّها ترفع رجلها اليمنى، ومن هنا كان المتّجه تخيّرها في ذلك </w:t>
      </w:r>
      <w:bookmarkStart w:id="553" w:name="pg9142_80768"/>
    </w:p>
    <w:p>
      <w:pPr>
        <w:pStyle w:val="BookText"/>
        <w:rPr/>
      </w:pPr>
      <w:bookmarkEnd w:id="553"/>
      <w:r>
        <w:rPr>
          <w:rFonts w:ascii="Amiri" w:hAnsi="Amiri" w:eastAsia="Amiri" w:cs="Amiri"/>
          <w:color w:val="111111"/>
          <w:sz w:val="28"/>
          <w:sz w:val="28"/>
          <w:szCs w:val="28"/>
          <w:rtl w:val="true"/>
          <w:lang w:bidi="ar-SA"/>
        </w:rPr>
        <w:t>كما يأتي في محلّه، وبما ينقل من شهادة النسوة بذلك، وبذلك كلّه يظهر أنّ الرواية المتقدّمة أضبط ممّا في الكافي</w:t>
      </w:r>
      <w:r>
        <w:rPr>
          <w:rFonts w:eastAsia="Amiri" w:cs="Amiri" w:ascii="Amiri" w:hAnsi="Amiri"/>
          <w:color w:val="111111"/>
          <w:sz w:val="28"/>
          <w:szCs w:val="28"/>
          <w:rtl w:val="true"/>
          <w:lang w:bidi="ar-SA"/>
        </w:rPr>
        <w:t>]-)</w:t>
      </w:r>
      <w:r>
        <w:rPr>
          <w:rStyle w:val="FootnoteAnchor"/>
          <w:rtl w:val="true"/>
        </w:rPr>
        <w:footnoteReference w:id="51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وبالموثّق المروي في التهذيب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من أهل المعرفة بالحقّ يأتيني بالبختج،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طبخ في الثلث وأنا أعلم أنّه يشربه على النصف،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خمر لا تشربه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والمناقشة فيه بعدم لفظ الخمر فيه في الكافي ضعيفة، لأولوية احتمال السقوط من الزيادة وإن كان الكليني أضبط</w:t>
      </w:r>
      <w:r>
        <w:rPr>
          <w:rFonts w:eastAsia="IRNazanin" w:cs="IRNazanin"/>
          <w:color w:val="111111"/>
          <w:sz w:val="28"/>
          <w:szCs w:val="28"/>
          <w:rtl w:val="true"/>
          <w:lang w:bidi="fa-IR"/>
        </w:rPr>
        <w:t>)</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54" w:name="__RefHeading___Toc3266464_2870459653"/>
      <w:bookmarkStart w:id="555" w:name="_Toc213"/>
      <w:bookmarkEnd w:id="554"/>
      <w:r>
        <w:rPr>
          <w:rtl w:val="true"/>
        </w:rPr>
        <w:t xml:space="preserve">الجعفريات </w:t>
      </w:r>
      <w:r>
        <w:rPr>
          <w:rtl w:val="true"/>
        </w:rPr>
        <w:t>(</w:t>
      </w:r>
      <w:r>
        <w:rPr>
          <w:rtl w:val="true"/>
        </w:rPr>
        <w:t>الأشعثيات</w:t>
      </w:r>
      <w:r>
        <w:rPr>
          <w:rtl w:val="true"/>
        </w:rPr>
        <w:t>)</w:t>
      </w:r>
      <w:bookmarkEnd w:id="555"/>
    </w:p>
    <w:p>
      <w:pPr>
        <w:pStyle w:val="Heading4"/>
        <w:numPr>
          <w:ilvl w:val="3"/>
          <w:numId w:val="1"/>
        </w:numPr>
        <w:rPr/>
      </w:pPr>
      <w:bookmarkStart w:id="556" w:name="__RefHeading___Toc3266466_2870459653"/>
      <w:bookmarkStart w:id="557" w:name="_Toc214"/>
      <w:bookmarkEnd w:id="556"/>
      <w:r>
        <w:rPr>
          <w:rtl w:val="true"/>
        </w:rPr>
        <w:t>اشارة</w:t>
      </w:r>
      <w:bookmarkEnd w:id="557"/>
    </w:p>
    <w:p>
      <w:pPr>
        <w:pStyle w:val="BookText"/>
        <w:rPr/>
      </w:pPr>
      <w:r>
        <w:rPr>
          <w:rFonts w:ascii="IRNazanin" w:hAnsi="IRNazanin" w:eastAsia="IRNazanin"/>
          <w:color w:val="111111"/>
          <w:sz w:val="28"/>
          <w:sz w:val="28"/>
          <w:szCs w:val="28"/>
          <w:rtl w:val="true"/>
          <w:lang w:bidi="fa-IR"/>
        </w:rPr>
        <w:t>من مصادر الحديث القديمة كتاب الجعفريات، والمعروف أيضاً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الأشعثيات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وقيل في وجه تسميته بذلك أنّه روى جميع رواياته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الشريف السيّد الأجلّ إسماعيل ابن الإمام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أبيه موسى، عن أبيه جعفر،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ولذا يقال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الجعفريات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ويرويها عن الشريف إسماعيل ولده أبو الحسن موسى ابن إسماعيل بن موسى بن جعفر، ويرويها عن أبي الحسن موسى الشيخ أبو علي محمّد بن محمّد بن الأشعث الكوفي، ولذا يقال 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الأشعثيات</w:t>
      </w:r>
      <w:r>
        <w:rPr>
          <w:rFonts w:eastAsia="IRNazanin" w:cs="IRNazanin"/>
          <w:color w:val="111111"/>
          <w:sz w:val="28"/>
          <w:szCs w:val="28"/>
          <w:rtl w:val="true"/>
          <w:lang w:bidi="fa-IR"/>
        </w:rPr>
        <w:t>])</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ووردت الإشارة إليه تارة، والتصريح به أخرى في كتب الرجال، فقال ابن عدي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365</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محمّد بن الأشعث أبو الحسن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مقيم بمصر كتبت عنه بها، حمله شدّة ميله إلى التشيّع أن أخرج لنا نسخته قريباً من ألف حديث </w:t>
      </w:r>
    </w:p>
    <w:p>
      <w:pPr>
        <w:pStyle w:val="BookText"/>
        <w:rPr/>
      </w:pPr>
      <w:r>
        <w:rPr>
          <w:rFonts w:ascii="Amiri" w:hAnsi="Amiri" w:eastAsia="Amiri" w:cs="Amiri"/>
          <w:color w:val="111111"/>
          <w:sz w:val="28"/>
          <w:sz w:val="28"/>
          <w:szCs w:val="28"/>
          <w:rtl w:val="true"/>
          <w:lang w:bidi="ar-SA"/>
        </w:rPr>
        <w:t xml:space="preserve">عن موسى بن إسماعيل بن موسى بن جعفر بن محمّد، عن أبيه، عن جدّه إلى أن ينتهي إلى علي والنبي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كتاب يخرجه إلينا بخطّ طري على كاغد جديد فيها مقاطيع، وعامّتها مسندة مناكير كلّها أو عامّتها، فذكرنا روايته هذه الأحاديث عن موسى هذا لأبي عبد الله الحسين بن علي بن الحسن بن علي بن عمر ابن علي بن الحسن بن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شيخاً من أهل البيت بمصر، وهو أخ الناصر وكان أكبر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موسى هذا جاري بالمدينة أربعين سنة ما ذكر قط أنّ عنده شيئاً من الرواية لا عن أبيه، ولا عن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محمّد بن الأشعث، حدّثني موسى بن إسماعيل بن موسى بن جعفر بن محمّد، حدّثني أبي، عن أبيه، عن جدّه جعفر، عن أبيه، عن جدّه علي بن الحسين، عن أبيه،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ورأى قصر بلور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القصر البلّور</w:t>
      </w:r>
      <w:r>
        <w:rPr>
          <w:rFonts w:eastAsia="Amiri" w:cs="Amiri" w:ascii="Amiri" w:hAnsi="Amiri"/>
          <w:color w:val="111111"/>
          <w:sz w:val="28"/>
          <w:szCs w:val="28"/>
          <w:rtl w:val="true"/>
          <w:lang w:bidi="ar-SA"/>
        </w:rPr>
        <w:t>)</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الخليلي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446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أحمد عبد الله بن عدي الحافظ الجرجاني عديم النظير حفظاً، وجلالة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حديث الجعفريات عن محمّد بن محمّد بن أبي الأشعث المصري، سمعه منه ابن عقدة الكوفي،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أتى أحد مثلك من أهل المشرق، يعني ما أتى بلدنا</w:t>
      </w:r>
      <w:r>
        <w:rPr>
          <w:rFonts w:eastAsia="Amiri" w:cs="Amiri" w:ascii="Amiri" w:hAnsi="Amiri"/>
          <w:color w:val="111111"/>
          <w:sz w:val="28"/>
          <w:szCs w:val="28"/>
          <w:rtl w:val="true"/>
          <w:lang w:bidi="ar-SA"/>
        </w:rPr>
        <w:t>)</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ابن الغضائري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سهل بن أحمد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سهل، الديباجي، أبو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ضعيفاً، يضع الأحاديث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ويروي عن المجاهيل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بأس </w:t>
      </w:r>
    </w:p>
    <w:p>
      <w:pPr>
        <w:pStyle w:val="BookText"/>
        <w:rPr/>
      </w:pPr>
      <w:r>
        <w:rPr>
          <w:rFonts w:ascii="Amiri" w:hAnsi="Amiri" w:eastAsia="Amiri" w:cs="Amiri"/>
          <w:color w:val="111111"/>
          <w:sz w:val="28"/>
          <w:sz w:val="28"/>
          <w:szCs w:val="28"/>
          <w:rtl w:val="true"/>
          <w:lang w:bidi="ar-SA"/>
        </w:rPr>
        <w:t xml:space="preserve">بما رواه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الأشعثيات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يجري مجراها ممّا رواه غيره</w:t>
      </w:r>
      <w:r>
        <w:rPr>
          <w:rFonts w:eastAsia="Amiri" w:cs="Amiri" w:ascii="Amiri" w:hAnsi="Amiri"/>
          <w:color w:val="111111"/>
          <w:sz w:val="28"/>
          <w:szCs w:val="28"/>
          <w:rtl w:val="true"/>
          <w:lang w:bidi="ar-SA"/>
        </w:rPr>
        <w:t>)</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النجاشي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إسماعيل بن موسى بن جعفر بن محمّد بن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سكن مصر، وولده بها، وله كتب يرويها عن أبيه عن آبائه،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الطهارة، كتاب الصلاة، كتاب الزكاة، كتاب الصوم، كتاب الحجّ، كتاب الجنائز، كتاب الطلاق، كتاب النكاح، كتاب الحدود، كتاب الدعاء، كتاب السنن والآداب، كتاب الرؤيا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الحسين بن عبيد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محمّد سهل بن أحمد بن سهل،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علي محمّد بن محمّد بن الأشعث بن محمّد الكوفي بمصر قراءة عليه،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موسى بن إسماعيل بن موسى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بكتبه</w:t>
      </w:r>
      <w:r>
        <w:rPr>
          <w:rFonts w:eastAsia="IRNazanin" w:cs="IRNazanin"/>
          <w:color w:val="111111"/>
          <w:sz w:val="28"/>
          <w:szCs w:val="28"/>
          <w:rtl w:val="true"/>
          <w:lang w:bidi="fa-IR"/>
        </w:rPr>
        <w:t>)</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الفهرست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إسماعيل بن موسى بن جعفر بن محمّد ابن علي بن الحسين بن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سكن مصر، وولده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 كتب يرويها، عن أبيه،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مبوّبة،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الطهارة، كتاب الصلاة، كتاب الزكاة، كتاب الصوم، كتاب الحجّ، كتاب الجنائز، كتاب النكاح، كتاب الطلاق، كتاب الحدود، كتاب الديات، كتاب الدعاء، كتاب السنن والآداب، كتاب الرؤيا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بجميعها الحسين بن عبيد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محمّد سهل بن أحمد بن سهل الديباجي،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علي محمّد بن محمّد بن الأشعث بن محمّد الكوفي بمصر قراءة عليه من كتابه،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موسى بن إسماعيل بن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حدّثنا أبي إسماعيل</w:t>
      </w:r>
      <w:r>
        <w:rPr>
          <w:rFonts w:eastAsia="Amiri" w:cs="Amiri" w:ascii="Amiri" w:hAnsi="Amiri"/>
          <w:color w:val="111111"/>
          <w:sz w:val="28"/>
          <w:szCs w:val="28"/>
          <w:rtl w:val="true"/>
          <w:lang w:bidi="ar-SA"/>
        </w:rPr>
        <w:t>)</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الرجال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محمّد بن الأشعث الكوفي، يكنّى أبا علي، ومسكنه بمصر في سقيفة جواد، يروي نسخة عن موسى بن إسماعيل بن موسى بن جعفر، عن أبيه إسماعيل بن موسى، عن أبيه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التلعكبري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لي والدي منه إجازة في سنة ثلاث عشرة وثلاثمائة</w:t>
      </w:r>
      <w:r>
        <w:rPr>
          <w:rFonts w:eastAsia="IRNazanin" w:cs="IRNazanin"/>
          <w:color w:val="111111"/>
          <w:sz w:val="28"/>
          <w:szCs w:val="28"/>
          <w:rtl w:val="true"/>
          <w:lang w:bidi="fa-IR"/>
        </w:rPr>
        <w:t>)</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وفيها أيضاً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داود بن سليمان الكاتب، يكنّى أبا الحسن، روى عنه التلعكبري وذكر أنّ إجازة محمّد بن محمّد بن الأشعث الكوفي وصلت إليه على يد هذا الرجل في سنة ثلاث عشرة وثلاثمائة،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منه في هذه السنة من الأشعثيات ما كان إسناده متّصلاً بالنبي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كان غير ذلك لم يروه عن صاحبه، وذكر التلعكبري أنّ سماعه هذه الأحاديث المتّصلة الأسانيد من هذا الرجل، ورواية جميع النسخ بالإجازة عن محمّد بن محمّد بن الأشعث،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لي من هذا الرجل إجازة</w:t>
      </w:r>
      <w:r>
        <w:rPr>
          <w:rFonts w:eastAsia="IRNazanin" w:cs="IRNazanin"/>
          <w:color w:val="111111"/>
          <w:sz w:val="28"/>
          <w:szCs w:val="28"/>
          <w:rtl w:val="true"/>
          <w:lang w:bidi="fa-IR"/>
        </w:rPr>
        <w:t>)</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وصفه السيّد ابن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664</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الإقبال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رأيت ورويت من كتاب الجعفريات، وهي ألف حديث بإسناد واحد عظيم الشأن، إلى مولانا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مولانا جعفر بن محمّد، عن مولانا محمّد بن علي، عن مولانا علي بن الحسين، عن مولانا الحسين، عن مولانا علي بن أبي طالب صلوات </w:t>
      </w:r>
    </w:p>
    <w:p>
      <w:pPr>
        <w:pStyle w:val="BookText"/>
        <w:rPr/>
      </w:pPr>
      <w:r>
        <w:rPr>
          <w:rFonts w:ascii="Amiri" w:hAnsi="Amiri" w:eastAsia="Amiri" w:cs="Amiri"/>
          <w:color w:val="111111"/>
          <w:sz w:val="28"/>
          <w:sz w:val="28"/>
          <w:szCs w:val="28"/>
          <w:rtl w:val="true"/>
          <w:lang w:bidi="ar-SA"/>
        </w:rPr>
        <w:t>الله عليهم أجمعين</w:t>
      </w:r>
      <w:r>
        <w:rPr>
          <w:rFonts w:eastAsia="Amiri" w:cs="Amiri" w:ascii="Amiri" w:hAnsi="Amiri"/>
          <w:color w:val="111111"/>
          <w:sz w:val="28"/>
          <w:szCs w:val="28"/>
          <w:rtl w:val="true"/>
          <w:lang w:bidi="ar-SA"/>
        </w:rPr>
        <w:t>)</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نقل في ضمن إجازة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لبني زهرة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ذلك كتاب الجعفريات وهي ألف حديث بهذا الإسناد</w:t>
      </w:r>
      <w:r>
        <w:rPr>
          <w:rStyle w:val="FootnoteAnchor"/>
          <w:rtl w:val="true"/>
        </w:rPr>
        <w:footnoteReference w:id="522"/>
      </w:r>
      <w:r>
        <w:rPr>
          <w:rFonts w:ascii="IRNazanin" w:hAnsi="IRNazanin" w:eastAsia="IRNazanin"/>
          <w:color w:val="111111"/>
          <w:sz w:val="28"/>
          <w:sz w:val="28"/>
          <w:szCs w:val="28"/>
          <w:rtl w:val="true"/>
          <w:lang w:bidi="fa-IR"/>
        </w:rPr>
        <w:t xml:space="preserve">، عن السيّد ضياء الدين فضل الله بإسناد واحد رواها عن شيخه عبد الرحيم، عن أبي شجاع صابر بن الحسين بن فضل بن مالك، قال حدّثنا أبو الحسن علي بن جعفر بن حمّاد بن رائق الصيّاد بالبحرين، قال أخبرنا بها أبو علي محمّد بن محمّد بن الأشعث الكوفي، عن أبي الحسن موسى بن إسماعيل بن موسى بن جعفر بن محمّد، عن أبيه إسماعيل، عن أبيه موسى، عن أبيه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ترجمة الشهيد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786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اختصر كتاب الجعفريات بما يقرب من الثلث،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كتبه عن خطّ الشهيد الشيخ شمس الدين محمّد بن علي الجبعي جدّ الشيخ البهائي في مجموعته الموجودة في طهران</w:t>
      </w:r>
      <w:r>
        <w:rPr>
          <w:rFonts w:eastAsia="Amiri" w:cs="Amiri" w:ascii="Amiri" w:hAnsi="Amiri"/>
          <w:color w:val="111111"/>
          <w:sz w:val="28"/>
          <w:szCs w:val="28"/>
          <w:rtl w:val="true"/>
          <w:lang w:bidi="ar-SA"/>
        </w:rPr>
        <w:t>)</w:t>
      </w:r>
      <w:r>
        <w:rPr>
          <w:rStyle w:val="FootnoteAnchor"/>
          <w:rtl w:val="true"/>
        </w:rPr>
        <w:footnoteReference w:id="5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نقله عنه الشهيد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كتابي البيان</w:t>
      </w:r>
      <w:r>
        <w:rPr>
          <w:rStyle w:val="FootnoteAnchor"/>
          <w:rtl w:val="true"/>
        </w:rPr>
        <w:footnoteReference w:id="525"/>
      </w:r>
      <w:r>
        <w:rPr>
          <w:rFonts w:ascii="Amiri" w:hAnsi="Amiri" w:eastAsia="Amiri" w:cs="Amiri"/>
          <w:color w:val="111111"/>
          <w:sz w:val="28"/>
          <w:sz w:val="28"/>
          <w:szCs w:val="28"/>
          <w:rtl w:val="true"/>
          <w:lang w:bidi="ar-SA"/>
        </w:rPr>
        <w:t>، والذكرى</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ينقل عنه صاحب الوسائل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1104</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مباشرةً؛ لعدم توفّره عليه، وإنّما </w:t>
      </w:r>
    </w:p>
    <w:p>
      <w:pPr>
        <w:pStyle w:val="BookText"/>
        <w:rPr/>
      </w:pPr>
      <w:r>
        <w:rPr>
          <w:rFonts w:ascii="IRNazanin" w:hAnsi="IRNazanin" w:eastAsia="IRNazanin"/>
          <w:color w:val="111111"/>
          <w:sz w:val="28"/>
          <w:sz w:val="28"/>
          <w:szCs w:val="28"/>
          <w:rtl w:val="true"/>
          <w:lang w:bidi="fa-IR"/>
        </w:rPr>
        <w:t>نقل عن الإقبال لابن طاووس عنه</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وكذا صاحب البحار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1111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وإنّما كان ينقل ما يجده في كتب الشهيد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بخطّه عنه</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ولكن وصلت نسخة منه إلى المحدّث النوري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عثر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في الكتب التي جاء بها بعض السادة من أهل العلم من بلاد الهند، وكان مع قرب الإسناد، ومسائل علي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وكتاب سليم في مجلّد</w:t>
      </w:r>
      <w:r>
        <w:rPr>
          <w:rFonts w:eastAsia="IRNazanin" w:cs="IRNazanin"/>
          <w:color w:val="111111"/>
          <w:sz w:val="28"/>
          <w:szCs w:val="28"/>
          <w:rtl w:val="true"/>
          <w:lang w:bidi="fa-IR"/>
        </w:rPr>
        <w:t>)</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قال تلميذه الأقا بزرگ الطهراني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الكتاب ممّا لم يظفر به العلّامة المجلسي ولا المحدّث الحرّ العاملي مع شدّة تنقيبهما للكتب وإنّما ذخره الله تعالى لشيخنا العلّامة النوري ومنّ عليه بحصول نسخة منه ضمن مجموعة عنده، ثُمَّ هيّأ له مصادر أخرى مصحّحة معتبرة ووفقه لتأليف مستدرك الوسائل عن تلك المصادر كما ذكرها مع براهين صحّتها واعتبارها في أوّل خاتمة المستدرك، وكان حصوله عنده أوّل داع وأقوى محرّك له على هذا التأليف؛ ولذا بدأ بذكره في الخاتمة قبل سائر المصادر، كما أنّه قدّم أحاديثه في كلّ باب على سائر الأحاديث فأصبح كتاب المستدرك من بركة هذا الكتاب ومصادره المعتبرة</w:t>
      </w:r>
      <w:r>
        <w:rPr>
          <w:rFonts w:eastAsia="IRNazanin" w:cs="IRNazanin"/>
          <w:color w:val="111111"/>
          <w:sz w:val="28"/>
          <w:szCs w:val="28"/>
          <w:rtl w:val="true"/>
          <w:lang w:bidi="fa-IR"/>
        </w:rPr>
        <w:t>)</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تناول الأعلام السابقون على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الجعفريات من </w:t>
      </w:r>
    </w:p>
    <w:p>
      <w:pPr>
        <w:pStyle w:val="BookText"/>
        <w:rPr/>
      </w:pPr>
      <w:r>
        <w:rPr>
          <w:rFonts w:ascii="Amiri" w:hAnsi="Amiri" w:eastAsia="Amiri" w:cs="Amiri"/>
          <w:color w:val="111111"/>
          <w:sz w:val="28"/>
          <w:sz w:val="28"/>
          <w:szCs w:val="28"/>
          <w:rtl w:val="true"/>
          <w:lang w:bidi="ar-SA"/>
        </w:rPr>
        <w:t xml:space="preserve">حيث اعتباره، فقال صاحبا المدارك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1009</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والذخيرة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1090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نقله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الشهيد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الجعفريات مجهول الإسناد</w:t>
      </w:r>
      <w:r>
        <w:rPr>
          <w:rFonts w:eastAsia="Amiri" w:cs="Amiri" w:ascii="Amiri" w:hAnsi="Amiri"/>
          <w:color w:val="111111"/>
          <w:sz w:val="28"/>
          <w:szCs w:val="28"/>
          <w:rtl w:val="true"/>
          <w:lang w:bidi="ar-SA"/>
        </w:rPr>
        <w:t>)</w:t>
      </w:r>
      <w:r>
        <w:rPr>
          <w:rStyle w:val="FootnoteAnchor"/>
          <w:rtl w:val="true"/>
        </w:rPr>
        <w:footnoteReference w:id="5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صاحب الحدائق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1186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الكتاب المذكور مجهول لا يمكن الاعتماد عليه</w:t>
      </w:r>
      <w:r>
        <w:rPr>
          <w:rFonts w:eastAsia="Amiri" w:cs="Amiri" w:ascii="Amiri" w:hAnsi="Amiri"/>
          <w:color w:val="111111"/>
          <w:sz w:val="28"/>
          <w:szCs w:val="28"/>
          <w:rtl w:val="true"/>
          <w:lang w:bidi="ar-SA"/>
        </w:rPr>
        <w:t>)</w:t>
      </w:r>
      <w:r>
        <w:rPr>
          <w:rStyle w:val="FootnoteAnchor"/>
          <w:rtl w:val="true"/>
        </w:rPr>
        <w:footnoteReference w:id="532"/>
      </w:r>
      <w:r>
        <w:rPr>
          <w:rFonts w:ascii="Amiri" w:hAnsi="Amiri" w:eastAsia="Amiri" w:cs="Amiri"/>
          <w:color w:val="111111"/>
          <w:sz w:val="28"/>
          <w:sz w:val="28"/>
          <w:szCs w:val="28"/>
          <w:rtl w:val="true"/>
          <w:lang w:bidi="ar-SA"/>
        </w:rPr>
        <w:t xml:space="preserve">، وعلّق المحقّق النراقي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1244</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رواية للجعفريات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 ضعيف في نفسه</w:t>
      </w:r>
      <w:r>
        <w:rPr>
          <w:rFonts w:eastAsia="Amiri" w:cs="Amiri" w:ascii="Amiri" w:hAnsi="Amiri"/>
          <w:color w:val="111111"/>
          <w:sz w:val="28"/>
          <w:szCs w:val="28"/>
          <w:rtl w:val="true"/>
          <w:lang w:bidi="ar-SA"/>
        </w:rPr>
        <w:t>)</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وتعرّض صاحب الجواهر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1266</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لبيان عدم اعتبار كتاب الجعفريات بشكل تفصيلي، وقد أصبح كلامه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 الكتاب المذكور محطاً لأنظار العلماء والباحثين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كتاب الأشعثيات لمحمّد بن محمّد بن الأشعث بإسناده عن الصادق، عن أبيه، عن آبائه،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يصلح الحكم ولا الحدود ولا الجمعة إلّا بإمام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الضعيف سنداً، بل الكتاب المزبور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ما حكي عن بعض الأفاضل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من الأصول المشهورة بل ولا المعتبرة، ولم يحكم أحد بصحّته من أصحابنا، بل لم تتواتر نسبته إلى مصنّفه، بل ولم تصحّ على وجه تطمئن النفس بها، ولذا لم ينقل عنه الحرّ في الوسائل ولا المجلسي في البحار مع شدّة حرصهما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كتب الحديث، ومن البعيد عدم عثورهما عليه، والشيخ والنجاشي وإن ذكرا أنّ مصنّفه من أصحاب الكتب إلّا أنّهما لم يذكرا الكتاب المزبور بعبارة تشعر بتعيينه، ومع ذلك فإنّ تتبّعه وتتبّع كتب الأصول يعطيان أنّه ليس جارياً على منوالها فإنّ أكثره بخلافها، وإنّما تطابق روايته في الأكثرية رواية العامّة إلى آخره</w:t>
      </w:r>
      <w:r>
        <w:rPr>
          <w:rFonts w:eastAsia="IRNazanin" w:cs="IRNazanin"/>
          <w:color w:val="111111"/>
          <w:sz w:val="28"/>
          <w:szCs w:val="28"/>
          <w:rtl w:val="true"/>
          <w:lang w:bidi="fa-IR"/>
        </w:rPr>
        <w:t>)</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وحاصل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المناقشة في روايةٍ للجعفريات بضعف سندها، وعدم اعتبار الكتاب الذي رويت عنه، وقد تعرّض المحدّث النوري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المستدرك إلى نقدها، وسنحاول هنا عرض نقاط المناقشة، ونقد المحدّث النوري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وما يمكن أن يعلّق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ضعف سندها فلأنّ إسناد ابن الأشعث يقع في طريقه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موسى بن إسماعيل ابن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وذكره النجاشي والشيخ من غير مدح أو ذم</w:t>
      </w:r>
      <w:r>
        <w:rPr>
          <w:rStyle w:val="FootnoteAnchor"/>
          <w:rtl w:val="true"/>
        </w:rPr>
        <w:footnoteReference w:id="535"/>
      </w:r>
      <w:r>
        <w:rPr>
          <w:rFonts w:ascii="IRNazanin" w:hAnsi="IRNazanin" w:eastAsia="IRNazanin"/>
          <w:color w:val="111111"/>
          <w:sz w:val="28"/>
          <w:sz w:val="28"/>
          <w:szCs w:val="28"/>
          <w:rtl w:val="true"/>
          <w:lang w:bidi="fa-IR"/>
        </w:rPr>
        <w:t>، فهو مهمل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قول ابن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رأيت ورويت من كتاب الجعفريات، وهي ألف حديث بإسناد واحد عظيم الشأن، إلى مولانا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Style w:val="FootnoteAnchor"/>
          <w:rtl w:val="true"/>
        </w:rPr>
        <w:footnoteReference w:id="536"/>
      </w:r>
      <w:r>
        <w:rPr>
          <w:rFonts w:ascii="Amiri" w:hAnsi="Amiri" w:eastAsia="Amiri" w:cs="Amiri"/>
          <w:color w:val="111111"/>
          <w:sz w:val="28"/>
          <w:sz w:val="28"/>
          <w:szCs w:val="28"/>
          <w:rtl w:val="true"/>
          <w:lang w:bidi="ar-SA"/>
        </w:rPr>
        <w:t>فإنّ وصف السند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عظم الشأن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ما يقتضيه هو مدح رواته بذلك، لكن الوصف المذكور لا يقضي اعتبارهم؛ لأنَّ المدح الذي يوجب ذلك هو ما كان راجعاً لنقله للأخبار،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عظم الشأن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وصف للراوي باعتبار ذاته لا رواياته</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ذكره المحدّث النوري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محاولة بيان وثاقته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كونه من المؤلّفين، وشيخ إجازة، ورواية ثلاثة من الأجلّاء عنه، وهم محمّد بن الأشعث، ومحمّد بن يحيى، وإبراهيم بن هاشم</w:t>
      </w:r>
      <w:r>
        <w:rPr>
          <w:rStyle w:val="FootnoteAnchor"/>
          <w:rtl w:val="true"/>
        </w:rPr>
        <w:footnoteReference w:id="5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تقدّم عن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اعتبار شيء من ذلك في إثبات وثاقة الراوي</w:t>
      </w:r>
      <w:r>
        <w:rPr>
          <w:rFonts w:eastAsia="Amiri" w:cs="Amiri" w:ascii="Amiri" w:hAnsi="Amiri"/>
          <w:color w:val="111111"/>
          <w:sz w:val="28"/>
          <w:szCs w:val="28"/>
          <w:rtl w:val="true"/>
          <w:lang w:bidi="ar-SA"/>
        </w:rPr>
        <w:t xml:space="preserve">. </w:t>
      </w:r>
      <w:bookmarkStart w:id="558" w:name="pg9142_80785"/>
    </w:p>
    <w:p>
      <w:pPr>
        <w:pStyle w:val="BookText"/>
        <w:rPr/>
      </w:pPr>
      <w:bookmarkEnd w:id="558"/>
      <w:r>
        <w:rPr>
          <w:rFonts w:ascii="Amiri" w:hAnsi="Amiri" w:eastAsia="Amiri" w:cs="Amiri"/>
          <w:color w:val="111111"/>
          <w:sz w:val="28"/>
          <w:sz w:val="28"/>
          <w:szCs w:val="28"/>
          <w:rtl w:val="true"/>
          <w:lang w:bidi="ar-SA"/>
        </w:rPr>
        <w:t>وأمّا عدم اعتبار كتاب الجعفريات فقد ذكر فيه تفاصيل نقلها عمّن حكى له عن بعض الأفاضل، لكن لم يتسنَّ لنا تحديده</w:t>
      </w:r>
      <w:r>
        <w:rPr>
          <w:rStyle w:val="FootnoteAnchor"/>
          <w:rtl w:val="true"/>
        </w:rPr>
        <w:footnoteReference w:id="5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وأنّ من سبقه من الأعلام ممّن وقف على ملاحظة عدم اعتبار الكتاب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تقدّمت الإشارة لهم ولعباراتهم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يتطرّقوا للتفاصيل التي ذكرها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أيّة حال فقد تناولت هذه المناقشة عدّة نقاط، وهي</w:t>
      </w:r>
      <w:r>
        <w:rPr>
          <w:rFonts w:eastAsia="Amiri" w:cs="Amiri" w:ascii="Amiri" w:hAnsi="Amiri"/>
          <w:color w:val="111111"/>
          <w:sz w:val="28"/>
          <w:szCs w:val="28"/>
          <w:rtl w:val="true"/>
          <w:lang w:bidi="ar-SA"/>
        </w:rPr>
        <w:t>:</w:t>
      </w:r>
    </w:p>
    <w:p>
      <w:pPr>
        <w:pStyle w:val="Heading4"/>
        <w:numPr>
          <w:ilvl w:val="3"/>
          <w:numId w:val="1"/>
        </w:numPr>
        <w:rPr/>
      </w:pPr>
      <w:bookmarkStart w:id="559" w:name="__RefHeading___Toc3266468_2870459653"/>
      <w:bookmarkStart w:id="560" w:name="_Toc215"/>
      <w:bookmarkEnd w:id="559"/>
      <w:r>
        <w:rPr>
          <w:rtl w:val="true"/>
        </w:rPr>
        <w:t>النقطة الأولى</w:t>
      </w:r>
      <w:bookmarkEnd w:id="560"/>
    </w:p>
    <w:p>
      <w:pPr>
        <w:pStyle w:val="BookText"/>
        <w:rPr/>
      </w:pPr>
      <w:r>
        <w:rPr>
          <w:rFonts w:ascii="Amiri" w:hAnsi="Amiri" w:eastAsia="Amiri" w:cs="Amiri"/>
          <w:color w:val="111111"/>
          <w:sz w:val="28"/>
          <w:sz w:val="28"/>
          <w:szCs w:val="28"/>
          <w:rtl w:val="true"/>
          <w:lang w:bidi="ar-SA"/>
        </w:rPr>
        <w:t>أنّ كتاب الجعفريات ليس من الأصول المشهورة، ولا المعتبرة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وعلّق عليها صاحب المستدرك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يثبت كونه كتاباً مشهوراً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كتابٍ من الرواة الأقدمين أشهر منه، وأيُّ مؤلِّف لم ينقل منه؟ بل لم يذكروا كتاباً مخصوصاً منه في طي الإجازات سواه</w:t>
      </w:r>
      <w:r>
        <w:rPr>
          <w:rFonts w:eastAsia="Amiri" w:cs="Amiri" w:ascii="Amiri" w:hAnsi="Amiri"/>
          <w:color w:val="111111"/>
          <w:sz w:val="28"/>
          <w:szCs w:val="28"/>
          <w:rtl w:val="true"/>
          <w:lang w:bidi="ar-SA"/>
        </w:rPr>
        <w:t>)</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ملاحظة ما تقدّم من كلمات العلماء من العامّة والخاصّة حول الكتاب، مضافاً إلى نقل روايته في كتب الأخبار تدلّ بوضوح على كونه مشهوراً كتاباً وروايةً</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لا يخفى ما في كلام المستدرك من مبالغة في شهرة الكتاب، فإنّه بلا شكّ لم </w:t>
      </w:r>
    </w:p>
    <w:p>
      <w:pPr>
        <w:pStyle w:val="BookText"/>
        <w:rPr/>
      </w:pPr>
      <w:r>
        <w:rPr>
          <w:rFonts w:ascii="Amiri" w:hAnsi="Amiri" w:eastAsia="Amiri" w:cs="Amiri"/>
          <w:color w:val="111111"/>
          <w:sz w:val="28"/>
          <w:sz w:val="28"/>
          <w:szCs w:val="28"/>
          <w:rtl w:val="true"/>
          <w:lang w:bidi="ar-SA"/>
        </w:rPr>
        <w:t xml:space="preserve">يصل إلى شهرة مصنّفات الكليني والمفيد والمرتضى والشيخ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 الله جميعاً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وغيرهم الذين كانت مصنّفاتهم ممّا أجازه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لبني زهرة</w:t>
      </w:r>
      <w:r>
        <w:rPr>
          <w:rStyle w:val="FootnoteAnchor"/>
          <w:rtl w:val="true"/>
        </w:rPr>
        <w:footnoteReference w:id="5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أنّه ذكر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طي إجازته المذكورة جملة من الكتب غير المشهورة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روضة الواعظين وتبصرة المتّعظين</w:t>
      </w:r>
      <w:r>
        <w:rPr>
          <w:rFonts w:eastAsia="Amiri" w:cs="Amiri" w:ascii="Amiri" w:hAnsi="Amiri"/>
          <w:color w:val="111111"/>
          <w:sz w:val="28"/>
          <w:szCs w:val="28"/>
          <w:rtl w:val="true"/>
          <w:lang w:bidi="ar-SA"/>
        </w:rPr>
        <w:t>)</w:t>
      </w:r>
      <w:r>
        <w:rPr>
          <w:rStyle w:val="FootnoteAnchor"/>
          <w:rtl w:val="true"/>
        </w:rPr>
        <w:footnoteReference w:id="542"/>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الولاية</w:t>
      </w:r>
      <w:r>
        <w:rPr>
          <w:rFonts w:eastAsia="Amiri" w:cs="Amiri" w:ascii="Amiri" w:hAnsi="Amiri"/>
          <w:color w:val="111111"/>
          <w:sz w:val="28"/>
          <w:szCs w:val="28"/>
          <w:rtl w:val="true"/>
          <w:lang w:bidi="ar-SA"/>
        </w:rPr>
        <w:t>)</w:t>
      </w:r>
      <w:r>
        <w:rPr>
          <w:rStyle w:val="FootnoteAnchor"/>
          <w:rtl w:val="true"/>
        </w:rPr>
        <w:footnoteReference w:id="543"/>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مناقب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r>
        <w:rPr>
          <w:rStyle w:val="FootnoteAnchor"/>
          <w:rtl w:val="true"/>
        </w:rPr>
        <w:footnoteReference w:id="544"/>
      </w:r>
      <w:r>
        <w:rPr>
          <w:rFonts w:ascii="Amiri" w:hAnsi="Amiri" w:eastAsia="Amiri" w:cs="Amiri"/>
          <w:color w:val="111111"/>
          <w:sz w:val="28"/>
          <w:sz w:val="28"/>
          <w:szCs w:val="28"/>
          <w:rtl w:val="true"/>
          <w:lang w:bidi="ar-SA"/>
        </w:rPr>
        <w:t>،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حاول أن يستدلّ على اعتباره من خلال نقل الأعلام عنه في كتبهم كابن طاووس في الإقبال، والشهيد الأوّل في ما تقدّم من الإشارة إليه من كتبه، وكونه سلك فيه كسلوكه مع باقي الكتب الأربعة، وأنّ ذلك لا يتمّ ما لم يكن الكتاب معلوم الانتساب إلى مؤلّفه</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أن يلاحظ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لِما عرفت من تعليق جملة من الأعلام على ما رواه الشهيد عن الجعفريات بعدم اعتبار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ممّا رواه عنه حمله على الكراهة كعدم تسمية رمضان برمضان بل بشهر رمضان؛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ثبت في كثير من الأخبار من وروده مجرّداً عن لفظ شهر</w:t>
      </w:r>
      <w:r>
        <w:rPr>
          <w:rFonts w:eastAsia="Amiri" w:cs="Amiri" w:ascii="Amiri" w:hAnsi="Amiri"/>
          <w:color w:val="111111"/>
          <w:sz w:val="28"/>
          <w:szCs w:val="28"/>
          <w:rtl w:val="true"/>
          <w:lang w:bidi="ar-SA"/>
        </w:rPr>
        <w:t>)</w:t>
      </w:r>
      <w:r>
        <w:rPr>
          <w:rStyle w:val="FootnoteAnchor"/>
          <w:rtl w:val="true"/>
        </w:rPr>
        <w:footnoteReference w:id="546"/>
      </w:r>
      <w:r>
        <w:rPr>
          <w:rFonts w:ascii="Amiri" w:hAnsi="Amiri" w:eastAsia="Amiri" w:cs="Amiri"/>
          <w:color w:val="111111"/>
          <w:sz w:val="28"/>
          <w:sz w:val="28"/>
          <w:szCs w:val="28"/>
          <w:rtl w:val="true"/>
          <w:lang w:bidi="ar-SA"/>
        </w:rPr>
        <w:t xml:space="preserve">، فيكون العمل به من باب التسامح في أدلّة السنن، </w:t>
      </w:r>
      <w:bookmarkStart w:id="561" w:name="pg9142_80789"/>
    </w:p>
    <w:p>
      <w:pPr>
        <w:pStyle w:val="BookText"/>
        <w:rPr/>
      </w:pPr>
      <w:bookmarkEnd w:id="561"/>
      <w:r>
        <w:rPr>
          <w:rFonts w:ascii="Amiri" w:hAnsi="Amiri" w:eastAsia="Amiri" w:cs="Amiri"/>
          <w:color w:val="111111"/>
          <w:sz w:val="28"/>
          <w:sz w:val="28"/>
          <w:szCs w:val="28"/>
          <w:rtl w:val="true"/>
          <w:lang w:bidi="ar-SA"/>
        </w:rPr>
        <w:t>وليس لاعتبار الكتاب، وكونه معلوم الانتساب لمؤلّفه</w:t>
      </w:r>
      <w:r>
        <w:rPr>
          <w:rFonts w:eastAsia="Amiri" w:cs="Amiri" w:ascii="Amiri" w:hAnsi="Amiri"/>
          <w:color w:val="111111"/>
          <w:sz w:val="28"/>
          <w:szCs w:val="28"/>
          <w:rtl w:val="true"/>
          <w:lang w:bidi="ar-SA"/>
        </w:rPr>
        <w:t>.</w:t>
      </w:r>
    </w:p>
    <w:p>
      <w:pPr>
        <w:pStyle w:val="Heading4"/>
        <w:numPr>
          <w:ilvl w:val="3"/>
          <w:numId w:val="1"/>
        </w:numPr>
        <w:rPr/>
      </w:pPr>
      <w:bookmarkStart w:id="562" w:name="__RefHeading___Toc3266470_2870459653"/>
      <w:bookmarkStart w:id="563" w:name="_Toc216"/>
      <w:bookmarkEnd w:id="562"/>
      <w:r>
        <w:rPr>
          <w:rtl w:val="true"/>
        </w:rPr>
        <w:t>النقطة الثانية</w:t>
      </w:r>
      <w:bookmarkEnd w:id="563"/>
    </w:p>
    <w:p>
      <w:pPr>
        <w:pStyle w:val="BookText"/>
        <w:rPr/>
      </w:pPr>
      <w:r>
        <w:rPr>
          <w:rFonts w:ascii="Amiri" w:hAnsi="Amiri" w:eastAsia="Amiri" w:cs="Amiri"/>
          <w:color w:val="111111"/>
          <w:sz w:val="28"/>
          <w:sz w:val="28"/>
          <w:szCs w:val="28"/>
          <w:rtl w:val="true"/>
          <w:lang w:bidi="ar-SA"/>
        </w:rPr>
        <w:t>أنّ كتاب الجعفريات لم تثبت نسبته إلى مؤلّفه؛ فإنّها لم تتواتر عنه، بل ولم تصحّ على وجه تطمئن النفس بها، ويشهد بذلك عدم نقل صاحبي الوسائل والبحار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لعلّهما لم يعثرا عليه، ولذا لم ينقلا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البعيد ذلك خصوصاً مع ما هو المعروف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وبالأخصّ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شدّة حرصهما على متابعة الكتب والأصول الروائية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في ثبوت انتساب الجعفريات إلى مؤلّفها ما تقدّم من عبارة النجاشي والشيخ في ترجمة ابن الأشعث، وإسماعيل بن موسى حيث ذكرا أنّ لإسماعيل كتباً يرويها عن أبيه، وذكرا جملةً منها، وأنّ راويها عنه هو ابن الأشعث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الشيخ في ترجمة ابن الأشعث بأنّه يروي نسخة موسى بن إسماعيل بن موسى عن آبائه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صحيح، لكنّهما لم يذكرا الكتاب بعبارة تشعر بتعيّنه صريحاً، بل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لإسماعيل كتباً، وقال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الأشعث روى نسخة موسى بن إسماعيل عن آبائه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يلاحظ عليه</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كثرة الكتب التي تحدّثت أو نقلت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اتّفاقها على نسبة الكتاب إلى 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تكشف عن كونه معلوم الانتساب له، بل لم ينقل وقوع اختلاف في نسبته إليه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نسبة النجاشي والشيخ وإن كانت في الجملة في ترجمة الرجلين إلّا أنّ النسبة الإجمالية يمكن التحقّق منها بملاحظة انطباق عناوين الأبواب التي ذكراها على الكتاب المذكور، مضافاً إلى تصريح الشيخ به في ترجمة محمّد بن داود بن سليمان الكاتب في الرجال، كما صرّح به الخليلي، وابن الغضائري، وقد تقدّم نصّ عباراتهم</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علّق صاحب المستدرك على عدم نقل صاحبي الوسائل والبحار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عدم نقلهما كان لعدم توفّرهما على الكتاب المذكور، بشهادة أنّ صاحب الوسائل نقل عمّا هو أضعف منه في الاعتبار والنسبة، وأنّه ذكر في كتابه أمل الآمل الكتب التي لم يَعرف مؤلّفيها، ولذا لم ينقل عنها، ولم يذكر من ضمنها الجعفريات، مع أنّه يتشبّث في الاعتماد والنسبة بوجوه ضعيفة، وقرائن خفية، كما أنّه نقل عنه ما موجود في إقبال السيّد ابن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تقدّمت الإشارة إليه، وأنّ صاحب البحار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كتاب النوادر فمؤلِّفه من الأفاضل الكرام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وأكثر أحاديث هذا الكتاب مأخوذ من كتاب موسى بن إسماعيل بن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الذي رواه سهل بن أحمد الديباجي، عن محمّد بن محمّد بن الأشعث،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سهل فمدحه النجاشي، وقال ابن الغضائري بعد ذمّه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بما يروي عن الأشعثيات، وما يجري مجراها ممّا رواه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 الأشعث وثّقه النجاشي،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يروي نسخة عن موسى بن إسماعيل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وروى الصدوق في المجالس من كتابه بسند آخر هكذا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الحسين بن أحمد بن إدريس، عن أبيه، عن أحمد بن محمّد بن عيسى، عن محمّد بن يحيى الخزاز، عن موسى بن إسماعيل، فبتلك القرائن يقوى العمل بأحاديثه</w:t>
      </w:r>
      <w:r>
        <w:rPr>
          <w:rFonts w:eastAsia="IRNazanin" w:cs="IRNazanin"/>
          <w:color w:val="111111"/>
          <w:sz w:val="28"/>
          <w:szCs w:val="28"/>
          <w:rtl w:val="true"/>
          <w:lang w:bidi="fa-IR"/>
        </w:rPr>
        <w:t>)</w:t>
      </w:r>
      <w:r>
        <w:rPr>
          <w:rStyle w:val="FootnoteAnchor"/>
          <w:rtl w:val="true"/>
        </w:rPr>
        <w:footnoteReference w:id="547"/>
      </w:r>
      <w:r>
        <w:rPr>
          <w:rFonts w:ascii="Amiri" w:hAnsi="Amiri" w:eastAsia="Amiri" w:cs="Amiri"/>
          <w:color w:val="111111"/>
          <w:sz w:val="28"/>
          <w:sz w:val="28"/>
          <w:szCs w:val="28"/>
          <w:rtl w:val="true"/>
          <w:lang w:bidi="ar-SA"/>
        </w:rPr>
        <w:t xml:space="preserve">، أي أنّه جعل كون </w:t>
      </w:r>
      <w:bookmarkStart w:id="564" w:name="pg9142_80793"/>
    </w:p>
    <w:p>
      <w:pPr>
        <w:pStyle w:val="BookText"/>
        <w:rPr/>
      </w:pPr>
      <w:bookmarkEnd w:id="564"/>
      <w:r>
        <w:rPr>
          <w:rFonts w:ascii="Amiri" w:hAnsi="Amiri" w:eastAsia="Amiri" w:cs="Amiri"/>
          <w:color w:val="111111"/>
          <w:sz w:val="28"/>
          <w:sz w:val="28"/>
          <w:szCs w:val="28"/>
          <w:rtl w:val="true"/>
          <w:lang w:bidi="ar-SA"/>
        </w:rPr>
        <w:t>أكثر روايات النوادر عن الجعفريات من القرائن التي ساهمت في قوّة العمل بأحاديث النوادر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بدوره يكشف عن أنّ كتاب الجعفريات لو كان عنده لنقل منه</w:t>
      </w:r>
      <w:r>
        <w:rPr>
          <w:rFonts w:eastAsia="Amiri" w:cs="Amiri" w:ascii="Amiri" w:hAnsi="Amiri"/>
          <w:color w:val="111111"/>
          <w:sz w:val="28"/>
          <w:szCs w:val="28"/>
          <w:rtl w:val="true"/>
          <w:lang w:bidi="ar-SA"/>
        </w:rPr>
        <w:t>.</w:t>
      </w:r>
    </w:p>
    <w:p>
      <w:pPr>
        <w:pStyle w:val="Heading4"/>
        <w:numPr>
          <w:ilvl w:val="3"/>
          <w:numId w:val="1"/>
        </w:numPr>
        <w:rPr/>
      </w:pPr>
      <w:bookmarkStart w:id="565" w:name="__RefHeading___Toc3266472_2870459653"/>
      <w:bookmarkStart w:id="566" w:name="_Toc217"/>
      <w:bookmarkEnd w:id="565"/>
      <w:r>
        <w:rPr>
          <w:rtl w:val="true"/>
        </w:rPr>
        <w:t>النقطة الثالثة</w:t>
      </w:r>
      <w:bookmarkEnd w:id="566"/>
    </w:p>
    <w:p>
      <w:pPr>
        <w:pStyle w:val="BookText"/>
        <w:rPr/>
      </w:pPr>
      <w:r>
        <w:rPr>
          <w:rFonts w:ascii="Amiri" w:hAnsi="Amiri" w:eastAsia="Amiri" w:cs="Amiri"/>
          <w:color w:val="111111"/>
          <w:sz w:val="28"/>
          <w:sz w:val="28"/>
          <w:szCs w:val="28"/>
          <w:rtl w:val="true"/>
          <w:lang w:bidi="ar-SA"/>
        </w:rPr>
        <w:t xml:space="preserve">أنّ متابعة كتاب الجعفريات ومقارنته بالأصول الروائية الأخرى تكشف عن أنّه لم يكن جارياً على منوالها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كون الطابع العامّ على مروياتها هو ممّا يوافق أصول المذهب وقواعده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الكتاب المذكور أكثر رواياته تطابق روايات العامّة، ولا تنسجم مع مرويات أصولنا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وعلّق عليه صاحب المستدرك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من الغرابة بمكان؛ إذ هو أحسن كتاب رأيناه من كتب الأصول ترتيباً ووضعاً، وجلّ متون أخباره موجود في الكتب الأربعة، وكتب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باختلاف يسير في بعضها، كما لا يخفى على من راجع كتابنا هذا، والوسائل، وليس فيه ما يوافق العامّة ويجب حمله على التقية إلّا نزر يسير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الكتب الأربعة التي عليها تدور رحى مذهب الإمامية من سنخ هذه الأخبار ما لا يحصى</w:t>
      </w:r>
      <w:r>
        <w:rPr>
          <w:rFonts w:eastAsia="Amiri" w:cs="Amiri" w:ascii="Amiri" w:hAnsi="Amiri"/>
          <w:color w:val="111111"/>
          <w:sz w:val="28"/>
          <w:szCs w:val="28"/>
          <w:rtl w:val="true"/>
          <w:lang w:bidi="ar-SA"/>
        </w:rPr>
        <w:t>)</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وهناك وجوه أخرى ذكرها الأعلام في بيان وجه عدم اعتبار كتاب الجعفريات، وتعرّض بعضهم إلى ردّها وتقويمها بوجه آخر</w:t>
      </w:r>
      <w:r>
        <w:rPr>
          <w:rStyle w:val="FootnoteAnchor"/>
          <w:rtl w:val="true"/>
        </w:rPr>
        <w:footnoteReference w:id="549"/>
      </w:r>
      <w:r>
        <w:rPr>
          <w:rFonts w:ascii="Amiri" w:hAnsi="Amiri" w:eastAsia="Amiri" w:cs="Amiri"/>
          <w:color w:val="111111"/>
          <w:sz w:val="28"/>
          <w:sz w:val="28"/>
          <w:szCs w:val="28"/>
          <w:rtl w:val="true"/>
          <w:lang w:bidi="ar-SA"/>
        </w:rPr>
        <w:t>، والدخول فيها يخرج البحث عمّا وضع له من الوقوف على مباني صاحب الجواهر</w:t>
      </w:r>
      <w:r>
        <w:rPr>
          <w:rFonts w:eastAsia="Amiri" w:cs="Amiri" w:ascii="Amiri" w:hAnsi="Amiri"/>
          <w:color w:val="111111"/>
          <w:sz w:val="28"/>
          <w:szCs w:val="28"/>
          <w:rtl w:val="true"/>
          <w:lang w:bidi="ar-SA"/>
        </w:rPr>
        <w:t xml:space="preserve">. </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67" w:name="pg9142_80797"/>
      <w:bookmarkStart w:id="568" w:name="pg9142_80797"/>
      <w:bookmarkEnd w:id="568"/>
    </w:p>
    <w:p>
      <w:pPr>
        <w:pStyle w:val="Heading2"/>
        <w:numPr>
          <w:ilvl w:val="1"/>
          <w:numId w:val="1"/>
        </w:numPr>
        <w:rPr/>
      </w:pPr>
      <w:bookmarkStart w:id="569" w:name="pg9142_80797"/>
      <w:bookmarkStart w:id="570" w:name="__RefHeading___Toc3266474_2870459653"/>
      <w:bookmarkStart w:id="571" w:name="_Toc218"/>
      <w:bookmarkEnd w:id="569"/>
      <w:bookmarkEnd w:id="570"/>
      <w:r>
        <w:rPr>
          <w:rtl w:val="true"/>
        </w:rPr>
        <w:t xml:space="preserve">شذرات فقهيّة للفقيه الكبير الشّيخ أحمد آل كاشف الغطاء </w:t>
      </w:r>
      <w:r>
        <w:rPr>
          <w:rtl w:val="true"/>
        </w:rPr>
        <w:t>(</w:t>
      </w:r>
      <w:r>
        <w:rPr>
          <w:rtl w:val="true"/>
        </w:rPr>
        <w:t>قدس سره</w:t>
      </w:r>
      <w:r>
        <w:rPr>
          <w:rtl w:val="true"/>
        </w:rPr>
        <w:t xml:space="preserve">) - </w:t>
      </w:r>
      <w:r>
        <w:rPr>
          <w:rtl w:val="true"/>
        </w:rPr>
        <w:t>تحقيق</w:t>
      </w:r>
      <w:r>
        <w:rPr>
          <w:rtl w:val="true"/>
        </w:rPr>
        <w:t xml:space="preserve">: </w:t>
      </w:r>
      <w:r>
        <w:rPr>
          <w:rtl w:val="true"/>
        </w:rPr>
        <w:t xml:space="preserve">السّيّد عليّ البعّاج </w:t>
      </w:r>
      <w:r>
        <w:rPr>
          <w:rtl w:val="true"/>
        </w:rPr>
        <w:t>(</w:t>
      </w:r>
      <w:r>
        <w:rPr>
          <w:rtl w:val="true"/>
        </w:rPr>
        <w:t>دام عزه</w:t>
      </w:r>
      <w:r>
        <w:rPr>
          <w:rtl w:val="true"/>
        </w:rPr>
        <w:t>)</w:t>
      </w:r>
      <w:bookmarkEnd w:id="571"/>
    </w:p>
    <w:p>
      <w:pPr>
        <w:pStyle w:val="Heading3"/>
        <w:numPr>
          <w:ilvl w:val="2"/>
          <w:numId w:val="1"/>
        </w:numPr>
        <w:rPr/>
      </w:pPr>
      <w:bookmarkStart w:id="572" w:name="__RefHeading___Toc3266476_2870459653"/>
      <w:bookmarkStart w:id="573" w:name="_Toc219"/>
      <w:bookmarkEnd w:id="572"/>
      <w:r>
        <w:rPr>
          <w:rtl w:val="true"/>
        </w:rPr>
        <w:t>اشارة</w:t>
      </w:r>
      <w:bookmarkEnd w:id="573"/>
    </w:p>
    <w:p>
      <w:pPr>
        <w:pStyle w:val="BookText"/>
        <w:rPr/>
      </w:pPr>
      <w:r>
        <w:rPr>
          <w:rFonts w:ascii="Amiri" w:hAnsi="Amiri" w:eastAsia="Amiri" w:cs="Amiri"/>
          <w:color w:val="111111"/>
          <w:sz w:val="28"/>
          <w:sz w:val="28"/>
          <w:szCs w:val="28"/>
          <w:rtl w:val="true"/>
          <w:lang w:bidi="ar-SA"/>
        </w:rPr>
        <w:t>شذرات فقهيّة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حقیقة الأحداث و الأغسال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تعاقب الأحداث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نقصان السهوی فی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الكبير الشّيخ أحمد آل كاشف الغطاء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1292-1344</w:t>
      </w:r>
      <w:r>
        <w:rPr>
          <w:rFonts w:eastAsia="Times New Roman" w:cs="Times New Roman" w:ascii="Times New Roman" w:hAnsi="Times New Roman"/>
          <w:color w:val="111111"/>
          <w:sz w:val="28"/>
          <w:szCs w:val="28"/>
          <w:rtl w:val="true"/>
          <w:lang w:val="en-US" w:bidi="en-US"/>
        </w:rPr>
        <w:t xml:space="preserve"> </w:t>
      </w:r>
      <w:r>
        <w:rPr>
          <w:rFonts w:ascii="Times New Roman" w:hAnsi="Times New Roman" w:eastAsia="Times New Roman" w:cs="Times New Roman"/>
          <w:color w:val="111111"/>
          <w:sz w:val="28"/>
          <w:sz w:val="28"/>
          <w:szCs w:val="28"/>
          <w:rtl w:val="true"/>
          <w:lang w:val="en-US" w:bidi="en-US"/>
        </w:rPr>
        <w:t>ﻫ</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تحقيق</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السّيّد عليّ البعّاج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عزه</w:t>
      </w:r>
      <w:r>
        <w:rPr>
          <w:rFonts w:eastAsia="Amiri" w:cs="Amiri" w:ascii="Amiri" w:hAnsi="Amiri"/>
          <w:color w:val="111111"/>
          <w:sz w:val="28"/>
          <w:szCs w:val="28"/>
          <w:rtl w:val="true"/>
          <w:lang w:bidi="ar-SA"/>
        </w:rPr>
        <w:t xml:space="preserve">) </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74" w:name="pg9142_80800"/>
      <w:bookmarkStart w:id="575" w:name="pg9142_80800"/>
      <w:bookmarkEnd w:id="575"/>
    </w:p>
    <w:p>
      <w:pPr>
        <w:pStyle w:val="Heading3"/>
        <w:numPr>
          <w:ilvl w:val="2"/>
          <w:numId w:val="1"/>
        </w:numPr>
        <w:rPr/>
      </w:pPr>
      <w:bookmarkStart w:id="576" w:name="pg9142_80800"/>
      <w:bookmarkStart w:id="577" w:name="__RefHeading___Toc3266478_2870459653"/>
      <w:bookmarkStart w:id="578" w:name="_Toc220"/>
      <w:bookmarkEnd w:id="576"/>
      <w:bookmarkEnd w:id="577"/>
      <w:r>
        <w:rPr>
          <w:rtl w:val="true"/>
        </w:rPr>
        <w:t>مقدمة</w:t>
      </w:r>
      <w:bookmarkEnd w:id="578"/>
    </w:p>
    <w:p>
      <w:pPr>
        <w:pStyle w:val="Heading4"/>
        <w:numPr>
          <w:ilvl w:val="3"/>
          <w:numId w:val="1"/>
        </w:numPr>
        <w:rPr/>
      </w:pPr>
      <w:bookmarkStart w:id="579" w:name="__RefHeading___Toc3266480_2870459653"/>
      <w:bookmarkStart w:id="580" w:name="_Toc221"/>
      <w:bookmarkEnd w:id="579"/>
      <w:r>
        <w:rPr>
          <w:rtl w:val="true"/>
        </w:rPr>
        <w:t>اشارة</w:t>
      </w:r>
      <w:bookmarkEnd w:id="580"/>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الحمد لله بعدد الرّمل والحصى، حمداً يبلغ من رضاه المنتهى، وأفضل الصّلوات وأتمّها على نبيّه الأعظم محمّد بن عبد الله كهف الورى، وعلى آله مصابيح الدُّجى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فإنّ موروث كلّ أُمّة يمثّل مؤشّراً على مدى عطائها أو خمولها، كما أنّه يعدّ بوصلة لتحديد اهتمامات الأُمم، فتراها تتبارى فيما بينها في إخراج ذلك الموروث لتثبت أنّ لها جذراً في التاريخ، وعمقاً في الحضارة، ولا تعيش قطيعةً مع ماضيها، فالماضي نقطة انطلاق الحاضر، وليس جزءاً ميّتاً من التّاريخ، كما أنّ الحاضر إنّما هو امتداد للماضي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ويشكّل التّراث المخطوط أوثق الكواشف في هذا المجال، إذ هو يسلّط الضّوء على المسيرة العلميّة، ومقدارها، ومدى تطوّرها، فالحركة العلميّة قد تتوقّف بعد انطلاقها لعوامل عدّة، وقد تكون شاخصةً في ماضيها وحاضرها، شاهدةً على رجال أكفَاء بذلوا المهج، وخاضوا اللُّجج، فأناروا الدّرب، فصارت بهم صبحاً أبلج</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ولأجل ذلك كان إحياء التّراث يحظى بأهمّية بالغة</w:t>
      </w:r>
      <w:r>
        <w:rPr>
          <w:rFonts w:eastAsia="Amiri" w:cs="Amiri" w:ascii="Amiri" w:hAnsi="Amiri"/>
          <w:color w:val="111111"/>
          <w:sz w:val="28"/>
          <w:szCs w:val="28"/>
          <w:rtl w:val="true"/>
          <w:lang w:bidi="ar-SA"/>
        </w:rPr>
        <w:t xml:space="preserve">. </w:t>
      </w:r>
      <w:bookmarkStart w:id="581" w:name="pg9142_80802"/>
    </w:p>
    <w:p>
      <w:pPr>
        <w:pStyle w:val="BookText"/>
        <w:rPr/>
      </w:pPr>
      <w:bookmarkEnd w:id="581"/>
      <w:r>
        <w:rPr>
          <w:rFonts w:ascii="IRNazanin" w:hAnsi="IRNazanin" w:eastAsia="IRNazanin"/>
          <w:color w:val="111111"/>
          <w:sz w:val="28"/>
          <w:sz w:val="28"/>
          <w:szCs w:val="28"/>
          <w:rtl w:val="true"/>
          <w:lang w:bidi="fa-IR"/>
        </w:rPr>
        <w:t xml:space="preserve">ولمدرسة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تراثٌ ثمينٌ من حيث النّوع، كبيرٌ من حيث الكمّ، لا زال مقدار كبير منه لم يرَ النّور بالرّغم من الجهود المشكورة للمؤسّسات ذات الاهتمام، فإنّ هذا الكمّ من التّراث نتيجة طبيعيّة لما يزيد عن ألف وأربعمائة عام من حركة علميّة سيّالة لا جمود فيها، ينظر فيها الخَلف لما كتبه السّلف تدقيقاً وتحقيقاً وإثارةً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دواعي سرورنا أن نضع بين يدي القارئ الكريم ثلاثة مباحث فقهيّة للفقيه الكبير الشّيخ أحمد آل كاشف الغطاء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وحيث إنّها لم تكن رسائل مستقلّة أسميناها بالشذرات الفقهيّة، انتقيناها من مجموعة ما جاد بها قلمه الشّريف مراعين في ذلك ما يتناسب والأسس المعتمدة للنشر في المجلّة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سبق أن نشرت المجلّة ذاتها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دراسات 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عددها الحادي عشر بحثين قيّمين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أحدهما في الوصاية بالولاية لمن يتجدّد من الأولاد مع وجود قرينة على التّعميم، والآخر في تعريف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التّعميم والتّقييد، فجزاها الله عنه كلّ خير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وتجدر الإشارة إلى أنّا اكتفينا في ترجمة حياة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كتبه صاحب الفضيلة الشّيخ محمّد الجعفريّ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مقدّمة البحثين المشار إليهما، سائلين المولى أن يوفقنا لنشر آثاره العلميّة الأخرى وأن يتقبّل منّا إنّه نعم المولى ونعم النصير</w:t>
      </w:r>
      <w:r>
        <w:rPr>
          <w:rFonts w:eastAsia="IRNazanin" w:cs="IRNazanin"/>
          <w:color w:val="111111"/>
          <w:sz w:val="28"/>
          <w:szCs w:val="28"/>
          <w:rtl w:val="true"/>
          <w:lang w:bidi="fa-IR"/>
        </w:rPr>
        <w:t>.</w:t>
      </w:r>
    </w:p>
    <w:p>
      <w:pPr>
        <w:pStyle w:val="Heading4"/>
        <w:numPr>
          <w:ilvl w:val="3"/>
          <w:numId w:val="1"/>
        </w:numPr>
        <w:rPr/>
      </w:pPr>
      <w:bookmarkStart w:id="582" w:name="__RefHeading___Toc3266482_2870459653"/>
      <w:bookmarkStart w:id="583" w:name="_Toc222"/>
      <w:bookmarkEnd w:id="582"/>
      <w:r>
        <w:rPr>
          <w:rtl w:val="true"/>
        </w:rPr>
        <w:t>تعريف بالشّذرات التي بين يديك ونسخها</w:t>
      </w:r>
      <w:bookmarkEnd w:id="583"/>
    </w:p>
    <w:p>
      <w:pPr>
        <w:pStyle w:val="Heading5"/>
        <w:numPr>
          <w:ilvl w:val="4"/>
          <w:numId w:val="1"/>
        </w:numPr>
        <w:rPr/>
      </w:pPr>
      <w:bookmarkStart w:id="584" w:name="__RefHeading___Toc3266484_2870459653"/>
      <w:bookmarkStart w:id="585" w:name="_Toc223"/>
      <w:bookmarkEnd w:id="584"/>
      <w:r>
        <w:rPr>
          <w:rtl w:val="true"/>
        </w:rPr>
        <w:t>الأولى</w:t>
      </w:r>
      <w:bookmarkEnd w:id="585"/>
    </w:p>
    <w:p>
      <w:pPr>
        <w:pStyle w:val="BookText"/>
        <w:rPr/>
      </w:pPr>
      <w:r>
        <w:rPr>
          <w:rFonts w:ascii="Amiri" w:hAnsi="Amiri" w:eastAsia="Amiri" w:cs="Amiri"/>
          <w:color w:val="111111"/>
          <w:sz w:val="28"/>
          <w:sz w:val="28"/>
          <w:szCs w:val="28"/>
          <w:rtl w:val="true"/>
          <w:lang w:bidi="ar-SA"/>
        </w:rPr>
        <w:t xml:space="preserve">هي تعليقة على 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العروة الوثقى في اجتماع الأغسال، وذكر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ذيلها أنّه خرج عن أُسلوب التّعليقة نظراً لأهمّيّة المسألة</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في ماهيّة الحدث والغسل، ولم يتعرّض لتفصيل الحكم في </w:t>
      </w:r>
      <w:bookmarkStart w:id="586" w:name="pg9142_80804"/>
    </w:p>
    <w:p>
      <w:pPr>
        <w:pStyle w:val="BookText"/>
        <w:rPr/>
      </w:pPr>
      <w:bookmarkEnd w:id="586"/>
      <w:r>
        <w:rPr>
          <w:rFonts w:ascii="Amiri" w:hAnsi="Amiri" w:eastAsia="Amiri" w:cs="Amiri"/>
          <w:color w:val="111111"/>
          <w:sz w:val="28"/>
          <w:sz w:val="28"/>
          <w:szCs w:val="28"/>
          <w:rtl w:val="true"/>
          <w:lang w:bidi="ar-SA"/>
        </w:rPr>
        <w:t>المسألة، ومن هنا ارتأينا أن نعنونها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حقيقة الأحداث والأغسال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وهي تقع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أوراق</w:t>
      </w:r>
      <w:r>
        <w:rPr>
          <w:rFonts w:eastAsia="Amiri" w:cs="Amiri" w:ascii="Amiri" w:hAnsi="Amiri"/>
          <w:color w:val="111111"/>
          <w:sz w:val="28"/>
          <w:szCs w:val="28"/>
          <w:rtl w:val="true"/>
          <w:lang w:bidi="ar-SA"/>
        </w:rPr>
        <w:t>.</w:t>
      </w:r>
    </w:p>
    <w:p>
      <w:pPr>
        <w:pStyle w:val="Heading5"/>
        <w:numPr>
          <w:ilvl w:val="4"/>
          <w:numId w:val="1"/>
        </w:numPr>
        <w:rPr/>
      </w:pPr>
      <w:bookmarkStart w:id="587" w:name="__RefHeading___Toc3266486_2870459653"/>
      <w:bookmarkStart w:id="588" w:name="_Toc224"/>
      <w:bookmarkEnd w:id="587"/>
      <w:r>
        <w:rPr>
          <w:rtl w:val="true"/>
        </w:rPr>
        <w:t>الثانية</w:t>
      </w:r>
      <w:bookmarkEnd w:id="588"/>
    </w:p>
    <w:p>
      <w:pPr>
        <w:pStyle w:val="BookText"/>
        <w:rPr/>
      </w:pPr>
      <w:r>
        <w:rPr>
          <w:rFonts w:ascii="Amiri" w:hAnsi="Amiri" w:eastAsia="Amiri" w:cs="Amiri"/>
          <w:color w:val="111111"/>
          <w:sz w:val="28"/>
          <w:sz w:val="28"/>
          <w:szCs w:val="28"/>
          <w:rtl w:val="true"/>
          <w:lang w:bidi="ar-SA"/>
        </w:rPr>
        <w:t xml:space="preserve">وهي فائدة فيما إذا تعاقب فردان من الحدث أو أكثر، بأن حدث اللّاحق في أثناء رافع السّابق، وذكر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صوراً ثلاث رئيسة،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التّساوي في الأثر والرّافع،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التّساوي في الأثر دون الرّافع،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الاختلاف في الأثر، وفصّل الكلام في ضمن الأخيرة على المسألة المعروفة المحرّرة في كلمات الفقهاء، وهي وقوع الحدث الأصغر في أثناء غسل الجنابة</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عثرنا على نسختين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الأُولى تقع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ورقتين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والأُخرى تقع في ضمن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أوراق، ويبدو أنّها مسوّدة؛ إذ فيها شطب وتعديل كثير، كما أنّ هناك جانباً فنّيّاً يساعد على ذلك، وهو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ابتدأها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العلماء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صور وقوع الحدث في أثناء الطّهارة صورة واحدة، وهي خصوص صورة وقوع الحدث الأصغر في أثناء غسل الجنابة، وذكروا الأقوال الّتي فيها، وتفصيل الحال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عقّبها في آخر البحث بمسألة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تعاقب الحدثين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بينما ابتدأ في الأُولى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تعاقب فردان من الحدث أو أكثر، بأن حدث اللّاحق في أثناء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ذكر صوراً للمسألة والتي منها وقوع الحدث الأصغر في أثناء غسل الجنابة،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وإن اختلفا على سبيل التّباين فهي المسألة المحرّرة في كلماتهم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أعني وقوع الحدث الأصغر الموجب للوضوء فقط في أثناء غسل الجنابة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والأقوال فيها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الواضح أنّ صورة وقوع الحدث الأصغر في أثناء غسل الجنابة تعدُّ من صغريات مسألة تعاقب الحدثين وتطبيقاتها</w:t>
      </w:r>
      <w:r>
        <w:rPr>
          <w:rFonts w:eastAsia="IRNazanin" w:cs="IRNazanin"/>
          <w:color w:val="111111"/>
          <w:sz w:val="28"/>
          <w:szCs w:val="28"/>
          <w:rtl w:val="true"/>
          <w:lang w:bidi="fa-IR"/>
        </w:rPr>
        <w:t xml:space="preserve">. </w:t>
      </w:r>
      <w:bookmarkStart w:id="589" w:name="pg9142_80806"/>
    </w:p>
    <w:p>
      <w:pPr>
        <w:pStyle w:val="BookText"/>
        <w:rPr/>
      </w:pPr>
      <w:bookmarkEnd w:id="589"/>
      <w:r>
        <w:rPr>
          <w:rFonts w:ascii="Amiri" w:hAnsi="Amiri" w:eastAsia="Amiri" w:cs="Amiri"/>
          <w:color w:val="111111"/>
          <w:sz w:val="28"/>
          <w:sz w:val="28"/>
          <w:szCs w:val="28"/>
          <w:rtl w:val="true"/>
          <w:lang w:bidi="ar-SA"/>
        </w:rPr>
        <w:t xml:space="preserve">ولا يخفى أنّ الأنسب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الجانب الفنّي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كبرى المسألة وتحقيقها، ثمّ بيان صغرياتها تمهيداً للبحث في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العكس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ما جرى عليه في النّسخة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عنونّاها بما يناسب موضوعها، وهو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تعاقب الأحداث</w:t>
      </w:r>
      <w:r>
        <w:rPr>
          <w:rFonts w:eastAsia="Amiri" w:cs="Amiri" w:ascii="Amiri" w:hAnsi="Amiri"/>
          <w:color w:val="111111"/>
          <w:sz w:val="28"/>
          <w:szCs w:val="28"/>
          <w:rtl w:val="true"/>
          <w:lang w:bidi="ar-SA"/>
        </w:rPr>
        <w:t>).</w:t>
      </w:r>
    </w:p>
    <w:p>
      <w:pPr>
        <w:pStyle w:val="Heading5"/>
        <w:numPr>
          <w:ilvl w:val="4"/>
          <w:numId w:val="1"/>
        </w:numPr>
        <w:rPr/>
      </w:pPr>
      <w:bookmarkStart w:id="590" w:name="__RefHeading___Toc3266488_2870459653"/>
      <w:bookmarkStart w:id="591" w:name="_Toc225"/>
      <w:bookmarkEnd w:id="590"/>
      <w:r>
        <w:rPr>
          <w:rtl w:val="true"/>
        </w:rPr>
        <w:t>الثّالثة</w:t>
      </w:r>
      <w:bookmarkEnd w:id="591"/>
    </w:p>
    <w:p>
      <w:pPr>
        <w:pStyle w:val="BookText"/>
        <w:rPr/>
      </w:pPr>
      <w:r>
        <w:rPr>
          <w:rFonts w:ascii="IRNazanin" w:hAnsi="IRNazanin" w:eastAsia="IRNazanin"/>
          <w:color w:val="111111"/>
          <w:sz w:val="28"/>
          <w:sz w:val="28"/>
          <w:szCs w:val="28"/>
          <w:rtl w:val="true"/>
          <w:lang w:bidi="fa-IR"/>
        </w:rPr>
        <w:t xml:space="preserve">وهي في حكم نسيان الأجزاء الواجبة أو الأركان أوشرائطهما في الصّلاة من حيث وجوب التّدارك وسجود السّهو، وتعرّض فيها إلى الأقسام الثّلاثة المعروفة في كلمات العلماء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علیهم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وجوب التّدارك في الأثناء ولا بعد الفراغ بلا حاجة إلى سجود السّهو، ووجوب التّدارك في الأثناء فقط دون سجود السهو، ووجوب التّدارك بعد الفراغ مع سجدتي السّهو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مستدركاً عليهم بأقسام أُخر، متتبّعاً للأمثلة التي ذكروها لكلّ قسم، مناقشاً في أحكامه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وهي تقع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أوراق، وعنونّاها بما يناسب موضوعها أيضاً، وهو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حكم النّقصان السّهويّ في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وجميع النّسخ التي اعتُمدت في هذا العمل محفوظة في خزانة مخطوطات مكتبة الإمام الشّيخ محمّد الحسين آل كاشف الغطاء العامّة، ولا تحمل رقماً، وهي أوراق متفرّقة بخطّ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مكتوبة بخط نستعليق، وأبعاد كلّ ورقة ما يقارب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وتحتوي على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سطراً، ويتضمّن بعضها إضافات بخطه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Heading4"/>
        <w:numPr>
          <w:ilvl w:val="3"/>
          <w:numId w:val="1"/>
        </w:numPr>
        <w:rPr/>
      </w:pPr>
      <w:bookmarkStart w:id="592" w:name="__RefHeading___Toc3266490_2870459653"/>
      <w:bookmarkStart w:id="593" w:name="_Toc226"/>
      <w:bookmarkEnd w:id="592"/>
      <w:r>
        <w:rPr>
          <w:rtl w:val="true"/>
        </w:rPr>
        <w:t>طريقة العمل</w:t>
      </w:r>
      <w:bookmarkEnd w:id="59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صفّ حروف النّصّ، ومقابلته مع المخطوط، ثمّ تقطيعه وتقويمه بما يشتمل على ضبطه وفق القواعد الإملائيّة والنّحويّة، ووضع علائم التّرقيم</w:t>
      </w:r>
      <w:r>
        <w:rPr>
          <w:rFonts w:eastAsia="Amiri" w:cs="Amiri" w:ascii="Amiri" w:hAnsi="Amiri"/>
          <w:color w:val="111111"/>
          <w:sz w:val="28"/>
          <w:szCs w:val="28"/>
          <w:rtl w:val="true"/>
          <w:lang w:bidi="ar-SA"/>
        </w:rPr>
        <w:t>.</w:t>
      </w:r>
      <w:bookmarkStart w:id="594" w:name="pg9142_80808"/>
    </w:p>
    <w:p>
      <w:pPr>
        <w:pStyle w:val="BookText"/>
        <w:rPr/>
      </w:pPr>
      <w:bookmarkEnd w:id="594"/>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اقتراح عناوين رئيسة وفرعيّة وجعلها بين معقوفين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تخريج الآيات الكريمة، والأحاديث الشّريفة من مصادرها، وإذا وجدنا اختلافاً يسيراً لا يضرّ بالاستدلال بين الأصل والمصدر أشرنا له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واقتصرنا في ضبط الاختلاف على ما لو كان مضرّاً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تخريج أقوال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مصادرها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إعداد فهرس لمصادر التّحقيق</w:t>
      </w:r>
      <w:r>
        <w:rPr>
          <w:rFonts w:eastAsia="Amiri" w:cs="Amiri" w:ascii="Amiri" w:hAnsi="Amiri"/>
          <w:color w:val="111111"/>
          <w:sz w:val="28"/>
          <w:szCs w:val="28"/>
          <w:rtl w:val="true"/>
          <w:lang w:bidi="ar-SA"/>
        </w:rPr>
        <w:t>.</w:t>
      </w:r>
    </w:p>
    <w:p>
      <w:pPr>
        <w:pStyle w:val="Heading4"/>
        <w:numPr>
          <w:ilvl w:val="3"/>
          <w:numId w:val="1"/>
        </w:numPr>
        <w:rPr/>
      </w:pPr>
      <w:bookmarkStart w:id="595" w:name="__RefHeading___Toc3266492_2870459653"/>
      <w:bookmarkStart w:id="596" w:name="_Toc227"/>
      <w:bookmarkEnd w:id="595"/>
      <w:r>
        <w:rPr>
          <w:rtl w:val="true"/>
        </w:rPr>
        <w:t>شكر وتقدير</w:t>
      </w:r>
      <w:bookmarkEnd w:id="596"/>
    </w:p>
    <w:p>
      <w:pPr>
        <w:pStyle w:val="BookText"/>
        <w:rPr/>
      </w:pPr>
      <w:r>
        <w:rPr>
          <w:rFonts w:ascii="Amiri" w:hAnsi="Amiri" w:eastAsia="Amiri" w:cs="Amiri"/>
          <w:color w:val="111111"/>
          <w:sz w:val="28"/>
          <w:sz w:val="28"/>
          <w:szCs w:val="28"/>
          <w:rtl w:val="true"/>
          <w:lang w:bidi="ar-SA"/>
        </w:rPr>
        <w:t xml:space="preserve">وفي الختام نتقدّم بالشّكر والامتنان الجزيل إلى إدارة مكتبة الإمام الشّيخ محمّد الحسين آل كاشف الغطاء العامّة في النّجف الأشرف، لا سيّما فضيلة الشّيخ شريف آل كاشف الغطاء ألبسه الله ثوب العافية، ونجله الشّيخ أمير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عزّه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لتوفير مصوّرة هذه النّسخة الفريدة، وكان بعضها مصفوف الحروف</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نشكر كلّ مَن ساهم في إخراج هذا الأثر، ونسأل الله تعالى أن يوفّق الجميع لما فيه خير الدّارين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صورة</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الصّفحة الأولى من مخطوطة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حقيقة الأحداث والأغسال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صورة</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الصّفحة الأولى من مخطوطة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تعاقب الأحداث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صورة</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الصّفحة الأولى من مخطوطة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النّقصان السّهويّ في الصّلاة</w:t>
      </w:r>
      <w:r>
        <w:rPr>
          <w:rFonts w:eastAsia="Amiri" w:cs="Amiri" w:ascii="Amiri" w:hAnsi="Amiri"/>
          <w:color w:val="111111"/>
          <w:sz w:val="28"/>
          <w:szCs w:val="28"/>
          <w:rtl w:val="true"/>
          <w:lang w:bidi="ar-SA"/>
        </w:rPr>
        <w:t xml:space="preserve">) </w:t>
      </w:r>
      <w:bookmarkStart w:id="597" w:name="pg9142_80816"/>
    </w:p>
    <w:p>
      <w:pPr>
        <w:pStyle w:val="Heading3"/>
        <w:numPr>
          <w:ilvl w:val="2"/>
          <w:numId w:val="1"/>
        </w:numPr>
        <w:rPr/>
      </w:pPr>
      <w:bookmarkStart w:id="598" w:name="__RefHeading___Toc3266494_2870459653"/>
      <w:bookmarkStart w:id="599" w:name="_Toc228"/>
      <w:bookmarkEnd w:id="597"/>
      <w:bookmarkEnd w:id="598"/>
      <w:r>
        <w:rPr>
          <w:rtl w:val="true"/>
        </w:rPr>
        <w:t>حقیقة الأحداث و الأغسال</w:t>
      </w:r>
      <w:bookmarkEnd w:id="599"/>
    </w:p>
    <w:p>
      <w:pPr>
        <w:pStyle w:val="Heading4"/>
        <w:numPr>
          <w:ilvl w:val="3"/>
          <w:numId w:val="1"/>
        </w:numPr>
        <w:rPr/>
      </w:pPr>
      <w:bookmarkStart w:id="600" w:name="__RefHeading___Toc3266496_2870459653"/>
      <w:bookmarkStart w:id="601" w:name="_Toc229"/>
      <w:bookmarkEnd w:id="600"/>
      <w:r>
        <w:rPr>
          <w:rtl w:val="true"/>
        </w:rPr>
        <w:t>اشارة</w:t>
      </w:r>
      <w:bookmarkEnd w:id="601"/>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الكبير الشّيخ أحمد آل كاشف الغطاء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1292-1344</w:t>
      </w:r>
      <w:r>
        <w:rPr>
          <w:rFonts w:eastAsia="Times New Roman" w:cs="Times New Roman" w:ascii="Times New Roman" w:hAnsi="Times New Roman"/>
          <w:color w:val="111111"/>
          <w:sz w:val="28"/>
          <w:szCs w:val="28"/>
          <w:rtl w:val="true"/>
          <w:lang w:val="en-US" w:bidi="en-US"/>
        </w:rPr>
        <w:t xml:space="preserve"> </w:t>
      </w:r>
      <w:r>
        <w:rPr>
          <w:rFonts w:ascii="Times New Roman" w:hAnsi="Times New Roman" w:eastAsia="Times New Roman" w:cs="Times New Roman"/>
          <w:color w:val="111111"/>
          <w:sz w:val="28"/>
          <w:sz w:val="28"/>
          <w:szCs w:val="28"/>
          <w:rtl w:val="true"/>
          <w:lang w:val="en-US" w:bidi="en-US"/>
        </w:rPr>
        <w:t>ﻫ</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تحقيق</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السّيّد عليّ البعّاج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عزه</w:t>
      </w:r>
      <w:r>
        <w:rPr>
          <w:rFonts w:eastAsia="Amiri" w:cs="Amiri" w:ascii="Amiri" w:hAnsi="Amiri"/>
          <w:color w:val="111111"/>
          <w:sz w:val="28"/>
          <w:szCs w:val="28"/>
          <w:rtl w:val="true"/>
          <w:lang w:bidi="ar-SA"/>
        </w:rPr>
        <w:t xml:space="preserve">) </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02" w:name="pg9142_80819"/>
      <w:bookmarkStart w:id="603" w:name="pg9142_80819"/>
      <w:bookmarkEnd w:id="603"/>
    </w:p>
    <w:p>
      <w:pPr>
        <w:pStyle w:val="BookText"/>
        <w:rPr/>
      </w:pPr>
      <w:bookmarkStart w:id="604" w:name="pg9142_80819"/>
      <w:bookmarkEnd w:id="604"/>
      <w:r>
        <w:rPr>
          <w:rFonts w:ascii="Amiri" w:hAnsi="Amiri" w:eastAsia="Amiri" w:cs="Amiri"/>
          <w:color w:val="111111"/>
          <w:sz w:val="28"/>
          <w:sz w:val="28"/>
          <w:szCs w:val="28"/>
          <w:rtl w:val="true"/>
          <w:lang w:bidi="ar-SA"/>
        </w:rPr>
        <w:t>بسم الله الرّحمن الرّحيم وله الحمد</w:t>
      </w:r>
      <w:r>
        <w:rPr>
          <w:rStyle w:val="FootnoteAnchor"/>
          <w:rtl w:val="true"/>
        </w:rPr>
        <w:footnoteReference w:id="550"/>
      </w:r>
    </w:p>
    <w:p>
      <w:pPr>
        <w:pStyle w:val="Heading4"/>
        <w:numPr>
          <w:ilvl w:val="3"/>
          <w:numId w:val="1"/>
        </w:numPr>
        <w:rPr/>
      </w:pPr>
      <w:bookmarkStart w:id="605" w:name="__RefHeading___Toc3266498_2870459653"/>
      <w:bookmarkStart w:id="606" w:name="_Toc230"/>
      <w:bookmarkEnd w:id="605"/>
      <w:r>
        <w:rPr>
          <w:rtl w:val="true"/>
        </w:rPr>
        <w:t xml:space="preserve">مسألة </w:t>
      </w:r>
      <w:r>
        <w:rPr/>
        <w:t>15</w:t>
      </w:r>
      <w:r>
        <w:rPr>
          <w:rtl w:val="true"/>
        </w:rPr>
        <w:t xml:space="preserve">: </w:t>
      </w:r>
      <w:r>
        <w:rPr>
          <w:rtl w:val="true"/>
        </w:rPr>
        <w:t>قوله</w:t>
      </w:r>
      <w:r>
        <w:rPr>
          <w:rtl w:val="true"/>
        </w:rPr>
        <w:t>: (</w:t>
      </w:r>
      <w:r>
        <w:rPr>
          <w:rtl w:val="true"/>
        </w:rPr>
        <w:t>إذا اجتمع عليه أغسال متعدّدة</w:t>
      </w:r>
      <w:r>
        <w:rPr>
          <w:rtl w:val="true"/>
        </w:rPr>
        <w:t>)</w:t>
      </w:r>
      <w:bookmarkEnd w:id="606"/>
    </w:p>
    <w:p>
      <w:pPr>
        <w:pStyle w:val="Heading5"/>
        <w:numPr>
          <w:ilvl w:val="4"/>
          <w:numId w:val="1"/>
        </w:numPr>
        <w:rPr/>
      </w:pPr>
      <w:bookmarkStart w:id="607" w:name="__RefHeading___Toc3266500_2870459653"/>
      <w:bookmarkStart w:id="608" w:name="_Toc231"/>
      <w:bookmarkEnd w:id="607"/>
      <w:r>
        <w:rPr>
          <w:rtl w:val="true"/>
        </w:rPr>
        <w:t>اشارة</w:t>
      </w:r>
      <w:bookmarkEnd w:id="608"/>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اجتمع عليه أغسال متعدّدة</w:t>
      </w:r>
      <w:r>
        <w:rPr>
          <w:rFonts w:eastAsia="Amiri" w:cs="Amiri" w:ascii="Amiri" w:hAnsi="Amiri"/>
          <w:color w:val="111111"/>
          <w:sz w:val="28"/>
          <w:szCs w:val="28"/>
          <w:rtl w:val="true"/>
          <w:lang w:bidi="ar-SA"/>
        </w:rPr>
        <w:t>)</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09" w:name="__RefHeading___Toc3266502_2870459653"/>
      <w:bookmarkStart w:id="610" w:name="_Toc232"/>
      <w:bookmarkEnd w:id="609"/>
      <w:r>
        <w:rPr>
          <w:rtl w:val="true"/>
        </w:rPr>
        <w:t>تحرير محلّ البحث</w:t>
      </w:r>
      <w:bookmarkEnd w:id="610"/>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ذهب أكثر أصحابنا إلى اختلاف ماهيّة الحدث الأكبر وحقيقته، واختلاف ماهيّة الأغسال وكونها أنواعاً مختلفة</w:t>
      </w:r>
      <w:r>
        <w:rPr>
          <w:rStyle w:val="FootnoteAnchor"/>
          <w:rtl w:val="true"/>
        </w:rPr>
        <w:footnoteReference w:id="552"/>
      </w:r>
      <w:r>
        <w:rPr>
          <w:rFonts w:ascii="Amiri" w:hAnsi="Amiri" w:eastAsia="Amiri" w:cs="Amiri"/>
          <w:color w:val="111111"/>
          <w:sz w:val="28"/>
          <w:sz w:val="28"/>
          <w:szCs w:val="28"/>
          <w:rtl w:val="true"/>
          <w:lang w:bidi="ar-SA"/>
        </w:rPr>
        <w:t>، أشكل الأمر عليهم في هذه المسألة والقول بالتّداخل المستفاد من الأخبار الواردة فيها؛ إذ كيف يجزيء الواحد عن المتعدّد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يتّصف بالوجوب والاستحباب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ينوي غسلاً معيّناً فيقع عن أغسالٍ أُخر لم ينوها، مع وضوح أنّ لكلّ امرئ ما نوى</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غير ذلك من جهات الإشكال النّاشئة من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ولأجل ذلك اضطربت كلماتهم فيه اضطراباً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أنكر التّداخل رأساً؛ تحكيماً لأصالة عدمه على الأخبار</w:t>
      </w:r>
      <w:r>
        <w:rPr>
          <w:rStyle w:val="FootnoteAnchor"/>
          <w:rtl w:val="true"/>
        </w:rPr>
        <w:footnoteReference w:id="554"/>
      </w:r>
      <w:r>
        <w:rPr>
          <w:rFonts w:ascii="Amiri" w:hAnsi="Amiri" w:eastAsia="Amiri" w:cs="Amiri"/>
          <w:color w:val="111111"/>
          <w:sz w:val="28"/>
          <w:sz w:val="28"/>
          <w:szCs w:val="28"/>
          <w:rtl w:val="true"/>
          <w:lang w:bidi="ar-SA"/>
        </w:rPr>
        <w:t>، فصار ذلك منه اجتهاداً في مقابل النّصّ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اعترف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المعترفين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مَن التزم به للأخبار تعبّداً على اختلافٍ فيما بينهم في مقدار مفادها</w:t>
      </w:r>
      <w:r>
        <w:rPr>
          <w:rStyle w:val="FootnoteAnchor"/>
          <w:rtl w:val="true"/>
        </w:rPr>
        <w:footnoteReference w:id="5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حاول تطبيقه على القواعد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اختلف هؤلاء في وجه ذلك، فمنهم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التزم بأنّها وإن كانت متعدّدة عن أسباب متعدّدة لكنّها تتصادق في الوجود الخارجي على الفرد الواقع امتثالاً للجميع، فالفرد الخارجي يصدق عليه أنّه غسل جنابةٍ وجمعةٍ وإحرامٍ، وغيرها من العناوين الّتي يسقط أمرها به، نظير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إكرام الهاشميّ الفقير العالم المؤمن</w:t>
      </w:r>
      <w:r>
        <w:rPr>
          <w:rFonts w:eastAsia="Amiri" w:cs="Amiri" w:ascii="Amiri" w:hAnsi="Amiri"/>
          <w:color w:val="111111"/>
          <w:sz w:val="28"/>
          <w:szCs w:val="28"/>
          <w:rtl w:val="true"/>
          <w:lang w:bidi="ar-SA"/>
        </w:rPr>
        <w:t xml:space="preserve">) </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التزم بخروج هذا الغسل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المجزئ عن 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تحت جميع </w:t>
      </w:r>
    </w:p>
    <w:p>
      <w:pPr>
        <w:pStyle w:val="BookText"/>
        <w:rPr/>
      </w:pPr>
      <w:r>
        <w:rPr>
          <w:rFonts w:ascii="Amiri" w:hAnsi="Amiri" w:eastAsia="Amiri" w:cs="Amiri"/>
          <w:color w:val="111111"/>
          <w:sz w:val="28"/>
          <w:sz w:val="28"/>
          <w:szCs w:val="28"/>
          <w:rtl w:val="true"/>
          <w:lang w:bidi="ar-SA"/>
        </w:rPr>
        <w:t>العناوين، وكونه طبيعةً أُخرى مغايرة للكلّ</w:t>
      </w:r>
      <w:r>
        <w:rPr>
          <w:rStyle w:val="FootnoteAnchor"/>
          <w:rtl w:val="true"/>
        </w:rPr>
        <w:footnoteReference w:id="557"/>
      </w:r>
      <w:r>
        <w:rPr>
          <w:rFonts w:ascii="Amiri" w:hAnsi="Amiri" w:eastAsia="Amiri" w:cs="Amiri"/>
          <w:color w:val="111111"/>
          <w:sz w:val="28"/>
          <w:sz w:val="28"/>
          <w:szCs w:val="28"/>
          <w:rtl w:val="true"/>
          <w:lang w:bidi="ar-SA"/>
        </w:rPr>
        <w:t>نظراً إلى استحالة صيرورة الشّيئين شيئاً واحداً، فهو أمر آخر مغاير لجميع الأغسال ذاتاً، وقد جعله الشّارع مجزياً عنها تعبّداً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وتسميةُ الأغسال متداخلة مسامحةٌ نشأت عن المشابهة الصّوريّة بين الأغسال وبين هذا الأمر الأجنبيّ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تُفصِّي بذلك عن إشكال اجتماع الوجوب والاستحباب في الواحد الشّخصيّ، بدعوى خروجه عن موضوع كلا الحكمين، فهو في حدّ ذاته لا واجب ولا مستحبّ، ولكنّه مجزٍ عنهما تعبّداً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إنّ المراد بتداخل الواجب والمستحبّ تأدّي إحدى الوظيفتين بفعل الأُخرى، كما تُؤدّى صلاة التّحيّة بقضاء الفريضة، وصوم الأيّام المسنونة بقضاء الواجب</w:t>
      </w:r>
      <w:r>
        <w:rPr>
          <w:rStyle w:val="FootnoteAnchor"/>
          <w:rtl w:val="true"/>
        </w:rPr>
        <w:footnoteReference w:id="558"/>
      </w:r>
      <w:r>
        <w:rPr>
          <w:rFonts w:ascii="Amiri" w:hAnsi="Amiri" w:eastAsia="Amiri" w:cs="Amiri"/>
          <w:color w:val="111111"/>
          <w:sz w:val="28"/>
          <w:sz w:val="28"/>
          <w:szCs w:val="28"/>
          <w:rtl w:val="true"/>
          <w:lang w:bidi="ar-SA"/>
        </w:rPr>
        <w:t>، ونحو ذلك ممّا يجري هذا المجرى الرّاجع ذلك إلى أنّ تعلّق الأمر الاستحبابيّ بذلك الفعل في طول تعلّق الوجوب به في الامتثال، إلى غير ذلك من الوجوه الّتي تُعلم بمراجعة كلماتهم</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وهي كما ترى، منها ما هو باطل في نفسه، ومنها ما لا ينطبق على مفاد الأخبار، ومنها ما لا يفي بدفع الإشكالات عن جميع صور المسألة</w:t>
      </w:r>
      <w:r>
        <w:rPr>
          <w:rFonts w:eastAsia="Amiri" w:cs="Amiri" w:ascii="Amiri" w:hAnsi="Amiri"/>
          <w:color w:val="111111"/>
          <w:sz w:val="28"/>
          <w:szCs w:val="28"/>
          <w:rtl w:val="true"/>
          <w:lang w:bidi="ar-SA"/>
        </w:rPr>
        <w:t xml:space="preserve">. </w:t>
      </w:r>
      <w:bookmarkStart w:id="611" w:name="pg9142_80825"/>
    </w:p>
    <w:p>
      <w:pPr>
        <w:pStyle w:val="Heading5"/>
        <w:numPr>
          <w:ilvl w:val="4"/>
          <w:numId w:val="1"/>
        </w:numPr>
        <w:rPr/>
      </w:pPr>
      <w:bookmarkStart w:id="612" w:name="__RefHeading___Toc3266504_2870459653"/>
      <w:bookmarkStart w:id="613" w:name="_Toc233"/>
      <w:bookmarkEnd w:id="611"/>
      <w:bookmarkEnd w:id="612"/>
      <w:r>
        <w:rPr>
          <w:rtl w:val="true"/>
        </w:rPr>
        <w:t>القول المختار</w:t>
      </w:r>
      <w:bookmarkEnd w:id="613"/>
    </w:p>
    <w:p>
      <w:pPr>
        <w:pStyle w:val="BookText"/>
        <w:rPr/>
      </w:pPr>
      <w:r>
        <w:rPr>
          <w:rFonts w:ascii="Amiri" w:hAnsi="Amiri" w:eastAsia="Amiri" w:cs="Amiri"/>
          <w:color w:val="111111"/>
          <w:sz w:val="28"/>
          <w:sz w:val="28"/>
          <w:szCs w:val="28"/>
          <w:rtl w:val="true"/>
          <w:lang w:bidi="ar-SA"/>
        </w:rPr>
        <w:t>والتّحقيق فساد ما ذهبوا إليه من تعدّد الأحداث والأغسال، بل الحدث الأكبر كالأصغر أمر وحدانيّ لا يتكرّر بتكرّر أسبابه، فالحدث الحاصل من الحيض بعينه هو الحدث الحاصل من الجنابة، أو من غيرها من الأسباب، والاختلاف الحاصل بين مصاديقه لاختلاف أسبابه إنّما هو لأجل اختلاف تلك الأسباب في التّأثير شدّة وضعفاً، لا لأجل اختلاف أثرها ذاتاً حتّى يتكرّر بسببها الحدث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الغسل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طبيعةٌ واحدة مؤثّرة في حصول الطّهارة الّتي من آثارها الشّرعيّة القهريّة إزالة الحدث لو صادفته وإن لم يكن مقصوداً للفاعل إزالته ما لم يمنع من ذلك مانع، فتوجب خفّة فيه كالوضوء في حال الجنابة أو الحيض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تصادفه أثّرت طهارة تجديديّة، كالوضوء على الوضوء الّذي هو نور على نور</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سبحانه وتعالى في كتابه المجيد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كُنتُمْ جُنُبًا فَاطَّهَّرُوا</w:t>
      </w:r>
      <w:r>
        <w:rPr>
          <w:rStyle w:val="FootnoteAnchor"/>
          <w:rtl w:val="true"/>
        </w:rPr>
        <w:footnoteReference w:id="560"/>
      </w:r>
      <w:r>
        <w:rPr>
          <w:rFonts w:ascii="Amiri" w:hAnsi="Amiri" w:eastAsia="Amiri" w:cs="Amiri"/>
          <w:color w:val="111111"/>
          <w:sz w:val="28"/>
          <w:sz w:val="28"/>
          <w:szCs w:val="28"/>
          <w:rtl w:val="true"/>
          <w:lang w:bidi="ar-SA"/>
        </w:rPr>
        <w:t>، والمراد الاغتسال، فهذه الآية الشّريفة دليل قاطع على ما قلناه من أنّ الغسل في حدّ ذاته موجب للطّهارة، فإنّ زوال الجنابة به متفرّع على كونه طهارة في حدّ ذاته، لا أنّ صيرورته طهارة متفرّع على استعماله في رفع الجنابة</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يُعلم أنّه ليس معنى كون الغسل غسل جنابة إلّا أنّه صادف جنابة فرفعها، كما أنّ معنى كونه غسل حيض أنّه صادف حدث الحيض فرفعه، والغسل في </w:t>
      </w:r>
      <w:bookmarkStart w:id="614" w:name="pg9142_80827"/>
    </w:p>
    <w:p>
      <w:pPr>
        <w:pStyle w:val="BookText"/>
        <w:rPr/>
      </w:pPr>
      <w:bookmarkEnd w:id="614"/>
      <w:r>
        <w:rPr>
          <w:rFonts w:ascii="Amiri" w:hAnsi="Amiri" w:eastAsia="Amiri" w:cs="Amiri"/>
          <w:color w:val="111111"/>
          <w:sz w:val="28"/>
          <w:sz w:val="28"/>
          <w:szCs w:val="28"/>
          <w:rtl w:val="true"/>
          <w:lang w:bidi="ar-SA"/>
        </w:rPr>
        <w:t xml:space="preserve">المقامين واحد لم تختلف حقيقته حتّى لو قلنا باختلاف الحدثين، فإنّ اختلاف المُزال وتعدّده لا يوجب اختلاف المزيل وتعدّده، فنسبة الغُسل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الأحداث الكبرى من الجنابة والحيض وغيرهما كنسبة الغَسل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النّجاسات الظّاهريّة والقذارات الصّوريّة، فإنّ الغَسل بالماء مزيل لها على اختلافها وتعدّدها، ولا يوجب ذلك اختلافاً وتعدّداً فيه، وهذا ظاهر في نفسه غاية الظّهور، والآية الشّريفة برهان قطعيّ عليه، فلا ينبغي الرّيب فيه</w:t>
      </w:r>
      <w:r>
        <w:rPr>
          <w:rFonts w:eastAsia="Amiri" w:cs="Amiri" w:ascii="Amiri" w:hAnsi="Amiri"/>
          <w:color w:val="111111"/>
          <w:sz w:val="28"/>
          <w:szCs w:val="28"/>
          <w:rtl w:val="true"/>
          <w:lang w:bidi="ar-SA"/>
        </w:rPr>
        <w:t>.</w:t>
      </w:r>
    </w:p>
    <w:p>
      <w:pPr>
        <w:pStyle w:val="Heading5"/>
        <w:numPr>
          <w:ilvl w:val="4"/>
          <w:numId w:val="1"/>
        </w:numPr>
        <w:rPr/>
      </w:pPr>
      <w:bookmarkStart w:id="615" w:name="__RefHeading___Toc3266506_2870459653"/>
      <w:bookmarkStart w:id="616" w:name="_Toc234"/>
      <w:bookmarkEnd w:id="615"/>
      <w:r>
        <w:rPr>
          <w:rtl w:val="true"/>
        </w:rPr>
        <w:t>أدلّة القول المختار</w:t>
      </w:r>
      <w:bookmarkEnd w:id="616"/>
    </w:p>
    <w:p>
      <w:pPr>
        <w:pStyle w:val="BookText"/>
        <w:rPr/>
      </w:pPr>
      <w:r>
        <w:rPr>
          <w:rFonts w:ascii="Amiri" w:hAnsi="Amiri" w:eastAsia="Amiri" w:cs="Amiri"/>
          <w:color w:val="111111"/>
          <w:sz w:val="28"/>
          <w:sz w:val="28"/>
          <w:szCs w:val="28"/>
          <w:rtl w:val="true"/>
          <w:lang w:bidi="ar-SA"/>
        </w:rPr>
        <w:t>وإن بقِي مع ذلك في نفسك ريبٌ فأزله بالرّجوع إلى الأخبار الشّريفة الواردة في هذا الباب؛ فإنّها تدلّ على ذلك بأوضح دلالة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ألا ترى ابن سنان لمّا سأل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المرأة تحيض وهي جنب، عليها غسل الجنابة؟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غسل الجنابة والحيض واحد</w:t>
      </w:r>
      <w:r>
        <w:rPr>
          <w:rFonts w:eastAsia="IRNazanin" w:cs="IRNazanin"/>
          <w:color w:val="111111"/>
          <w:sz w:val="28"/>
          <w:szCs w:val="28"/>
          <w:rtl w:val="true"/>
          <w:lang w:bidi="fa-IR"/>
        </w:rPr>
        <w:t>)</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والصّدوق روى في الفقيه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جامع في أول شهر رمضان، ثمّ نسي حتّى خرج شهر رمضان أنّ عليه أن يغتسل، ويقضي صلاته وصومه، إلّا أن يكون قد اغتسل للجمعة فإنّه يقضي صلاته وصومه إلى ذلك اليوم، ولا يقضي ما بعد ذلك</w:t>
      </w:r>
      <w:r>
        <w:rPr>
          <w:rFonts w:eastAsia="Amiri" w:cs="Amiri" w:ascii="Amiri" w:hAnsi="Amiri"/>
          <w:color w:val="111111"/>
          <w:sz w:val="28"/>
          <w:szCs w:val="28"/>
          <w:rtl w:val="true"/>
          <w:lang w:bidi="ar-SA"/>
        </w:rPr>
        <w:t>)</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دليل صريح على ما قلناه من أنّ الطّهارة ورفع الحدث من الآثار القهريّة المترتّبة على الغسل الصّحيح المأتي به بداعي القربة ولو لم يكن مقصوداً للفاعل رفعه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وروى زرارة في الصّحيح،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اغتسلت بعد طلوع الفجر أجزأك غسلك ذلك للجنابة والجمعة وعرفة والنّحر والحلق والذبح والزّيارة، فإذا اجتمعت لله عليك حقوق أجزأك غسل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وكذلك المرأة يجزيها غسل واحد لجنابتها وإحرامها وجمعتها وغسلها من حيضها</w:t>
      </w:r>
      <w:r>
        <w:rPr>
          <w:rFonts w:eastAsia="IRNazanin" w:cs="IRNazanin"/>
          <w:color w:val="111111"/>
          <w:sz w:val="28"/>
          <w:szCs w:val="28"/>
          <w:rtl w:val="true"/>
          <w:lang w:bidi="fa-IR"/>
        </w:rPr>
        <w:t>)</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وروى جميل بن درّاج 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اغتسل الجنب بعد طلوع الفجر أجزأ عنه ذلك الغسل من كلّ غسل يلزمه في ذلك اليوم</w:t>
      </w:r>
      <w:r>
        <w:rPr>
          <w:rFonts w:eastAsia="IRNazanin" w:cs="IRNazanin"/>
          <w:color w:val="111111"/>
          <w:sz w:val="28"/>
          <w:szCs w:val="28"/>
          <w:rtl w:val="true"/>
          <w:lang w:bidi="fa-IR"/>
        </w:rPr>
        <w:t>)</w:t>
      </w:r>
      <w:r>
        <w:rPr>
          <w:rStyle w:val="FootnoteAnchor"/>
          <w:rtl w:val="true"/>
        </w:rPr>
        <w:footnoteReference w:id="5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معناها رواية عثمان بن يزيد،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اغتسل بعد طلوع الفجر كفاه غسله إلى اللّيل في كلّ موضع يجب فيه الغسل، ومَن اغتسل ليلاً كفاه غسله إلى طلوع الفجر</w:t>
      </w:r>
      <w:r>
        <w:rPr>
          <w:rFonts w:eastAsia="Amiri" w:cs="Amiri" w:ascii="Amiri" w:hAnsi="Amiri"/>
          <w:color w:val="111111"/>
          <w:sz w:val="28"/>
          <w:szCs w:val="28"/>
          <w:rtl w:val="true"/>
          <w:lang w:bidi="ar-SA"/>
        </w:rPr>
        <w:t>)</w:t>
      </w:r>
      <w:r>
        <w:rPr>
          <w:rStyle w:val="FootnoteAnchor"/>
          <w:rtl w:val="true"/>
        </w:rPr>
        <w:footnoteReference w:id="5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وصحيحة عمر بن يزيد،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غسل يومك ليومك، وغسل ليلك لليلك</w:t>
      </w:r>
      <w:r>
        <w:rPr>
          <w:rFonts w:eastAsia="IRNazanin" w:cs="IRNazanin"/>
          <w:color w:val="111111"/>
          <w:sz w:val="28"/>
          <w:szCs w:val="28"/>
          <w:rtl w:val="true"/>
          <w:lang w:bidi="fa-IR"/>
        </w:rPr>
        <w:t>)</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والمراد من الغسل الّذي يلزمه في ذلك اليوم هو الغسل الّذي يلزمه في ذلك اليوم للزوم غاياته فيه وإن تجدّدت بعده، كما إذا تجدّد له عزم على الإحرام أو الزّيارة بعد الغسل، فإنّ الغسل السّابق كافٍ؛ إذ مطلوبيّته للزيارة والإحرام إنّما هي لغرض أن يقعا مع الطّهارة الحاصلة منه، وهذا الغرض حاصل بالغسل السّابق، فإنّ أثره لتلك الأفعال باقٍ تمام اليوم ما لم ينقضه ناقض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الغسل الّذي يلزمه في ذلك </w:t>
      </w:r>
      <w:bookmarkStart w:id="617" w:name="pg9142_80832"/>
    </w:p>
    <w:p>
      <w:pPr>
        <w:pStyle w:val="BookText"/>
        <w:rPr/>
      </w:pPr>
      <w:bookmarkEnd w:id="617"/>
      <w:r>
        <w:rPr>
          <w:rFonts w:ascii="Amiri" w:hAnsi="Amiri" w:eastAsia="Amiri" w:cs="Amiri"/>
          <w:color w:val="111111"/>
          <w:sz w:val="28"/>
          <w:sz w:val="28"/>
          <w:szCs w:val="28"/>
          <w:rtl w:val="true"/>
          <w:lang w:bidi="ar-SA"/>
        </w:rPr>
        <w:t xml:space="preserve">اليوم لتجدّد سببه النّاقض للغسل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على سبيل الوجوب كجنابة جديدة، أو على نحو الاستحباب كقتل الوزغ أو النّظر إلى المصلوب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يُعقل كفاية الغسل السّابق بالنّسبة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الأخبار الدّالّة على ذلك</w:t>
      </w:r>
      <w:r>
        <w:rPr>
          <w:rFonts w:eastAsia="Amiri" w:cs="Amiri" w:ascii="Amiri" w:hAnsi="Amiri"/>
          <w:color w:val="111111"/>
          <w:sz w:val="28"/>
          <w:szCs w:val="28"/>
          <w:rtl w:val="true"/>
          <w:lang w:bidi="ar-SA"/>
        </w:rPr>
        <w:t>.</w:t>
      </w:r>
    </w:p>
    <w:p>
      <w:pPr>
        <w:pStyle w:val="Heading5"/>
        <w:numPr>
          <w:ilvl w:val="4"/>
          <w:numId w:val="1"/>
        </w:numPr>
        <w:rPr/>
      </w:pPr>
      <w:bookmarkStart w:id="618" w:name="__RefHeading___Toc3266508_2870459653"/>
      <w:bookmarkStart w:id="619" w:name="_Toc235"/>
      <w:bookmarkEnd w:id="618"/>
      <w:r>
        <w:rPr>
          <w:rtl w:val="true"/>
        </w:rPr>
        <w:t>أدلّة القول باختلاف ماهيّة الأحداث والأغسال</w:t>
      </w:r>
      <w:bookmarkEnd w:id="619"/>
    </w:p>
    <w:p>
      <w:pPr>
        <w:pStyle w:val="BookText"/>
        <w:rPr/>
      </w:pPr>
      <w:r>
        <w:rPr>
          <w:rFonts w:ascii="IRNazanin" w:hAnsi="IRNazanin" w:eastAsia="IRNazanin"/>
          <w:color w:val="111111"/>
          <w:sz w:val="28"/>
          <w:sz w:val="28"/>
          <w:szCs w:val="28"/>
          <w:rtl w:val="true"/>
          <w:lang w:bidi="fa-IR"/>
        </w:rPr>
        <w:t>احتجّ القائلون بتعدّد الأحداث والأغسال</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في الأحداث فباختلاف آثارها، وبما دلّ على تعدّد الأغسال؛ فإنّ تعدّدها يستلزم تعدّد الأحداث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الأغسال فبأُمور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اجتمعت لله عليك حقوق أجزأك غسل واحد</w:t>
      </w:r>
      <w:r>
        <w:rPr>
          <w:rFonts w:eastAsia="IRNazanin" w:cs="IRNazanin"/>
          <w:color w:val="111111"/>
          <w:sz w:val="28"/>
          <w:szCs w:val="28"/>
          <w:rtl w:val="true"/>
          <w:lang w:bidi="fa-IR"/>
        </w:rPr>
        <w:t>)</w:t>
      </w:r>
      <w:r>
        <w:rPr>
          <w:rStyle w:val="FootnoteAnchor"/>
          <w:rtl w:val="true"/>
        </w:rPr>
        <w:footnoteReference w:id="568"/>
      </w:r>
      <w:r>
        <w:rPr>
          <w:rFonts w:ascii="Amiri" w:hAnsi="Amiri" w:eastAsia="Amiri" w:cs="Amiri"/>
          <w:color w:val="111111"/>
          <w:sz w:val="28"/>
          <w:sz w:val="28"/>
          <w:szCs w:val="28"/>
          <w:rtl w:val="true"/>
          <w:lang w:bidi="ar-SA"/>
        </w:rPr>
        <w:t>، فإنّه صريح في تعدّد الحقوق، وليس المراد بها إلّا الأغسال</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غسل قبله وضوء إلّا غسل الجنابة</w:t>
      </w:r>
      <w:r>
        <w:rPr>
          <w:rFonts w:eastAsia="IRNazanin" w:cs="IRNazanin"/>
          <w:color w:val="111111"/>
          <w:sz w:val="28"/>
          <w:szCs w:val="28"/>
          <w:rtl w:val="true"/>
          <w:lang w:bidi="fa-IR"/>
        </w:rPr>
        <w:t>)</w:t>
      </w:r>
      <w:r>
        <w:rPr>
          <w:rStyle w:val="FootnoteAnchor"/>
          <w:rtl w:val="true"/>
        </w:rPr>
        <w:footnoteReference w:id="569"/>
      </w:r>
      <w:r>
        <w:rPr>
          <w:rFonts w:ascii="Amiri" w:hAnsi="Amiri" w:eastAsia="Amiri" w:cs="Amiri"/>
          <w:color w:val="111111"/>
          <w:sz w:val="28"/>
          <w:sz w:val="28"/>
          <w:szCs w:val="28"/>
          <w:rtl w:val="true"/>
          <w:lang w:bidi="ar-SA"/>
        </w:rPr>
        <w:t xml:space="preserve">، فإنّ ظاهره إرادة </w:t>
      </w:r>
    </w:p>
    <w:p>
      <w:pPr>
        <w:pStyle w:val="BookText"/>
        <w:rPr/>
      </w:pPr>
      <w:r>
        <w:rPr>
          <w:rFonts w:ascii="IRNazanin" w:hAnsi="IRNazanin" w:eastAsia="IRNazanin"/>
          <w:color w:val="111111"/>
          <w:sz w:val="28"/>
          <w:sz w:val="28"/>
          <w:szCs w:val="28"/>
          <w:rtl w:val="true"/>
          <w:lang w:bidi="fa-IR"/>
        </w:rPr>
        <w:t xml:space="preserve">العموم بالنّسبة إلى أنواع الغسل لا أفراده، كما يشهد به استثناء غسل الجنابة، ونظيره في ذلك ما في رواية جميل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أجزأ عنه ذلك الغسل من كلّ غسل يلزمه في ذلك اليوم</w:t>
      </w:r>
      <w:r>
        <w:rPr>
          <w:rFonts w:eastAsia="IRNazanin" w:cs="IRNazanin"/>
          <w:color w:val="111111"/>
          <w:sz w:val="28"/>
          <w:szCs w:val="28"/>
          <w:rtl w:val="true"/>
          <w:lang w:bidi="fa-IR"/>
        </w:rPr>
        <w:t>)</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مشروعيّة الوضوء مع غسل الجنابة دون سائر الأغسال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التعبير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جملة من أخبار الباب</w:t>
      </w:r>
      <w:r>
        <w:rPr>
          <w:rStyle w:val="FootnoteAnchor"/>
          <w:rtl w:val="true"/>
        </w:rPr>
        <w:footnoteReference w:id="571"/>
      </w:r>
      <w:r>
        <w:rPr>
          <w:rFonts w:ascii="Amiri" w:hAnsi="Amiri" w:eastAsia="Amiri" w:cs="Amiri"/>
          <w:color w:val="111111"/>
          <w:sz w:val="28"/>
          <w:sz w:val="28"/>
          <w:szCs w:val="28"/>
          <w:rtl w:val="true"/>
          <w:lang w:bidi="ar-SA"/>
        </w:rPr>
        <w:t>، فإنّه يدلّ على ذلك من وجهين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ظهوره في كون الحكم مبنياً على الرّخصة في مقام الامتثال؛ إذ على تقدير وحدة الطّبيعة لا تكون الكفاية إلّا عزيمة، وقد صُرّح بذلك في رواية عمّار السّاباطيّ،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المرأة يواقعها زوجها، ثمّ تحيض قبل أن تغتسل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شاءت أن تغتسل فعلت، وإن لم تفعل فليس عليها شيء، فإذا طهرت اغتسلت غسلاً واحداً للحيض والجنابة</w:t>
      </w:r>
      <w:r>
        <w:rPr>
          <w:rFonts w:eastAsia="IRNazanin" w:cs="IRNazanin"/>
          <w:color w:val="111111"/>
          <w:sz w:val="28"/>
          <w:szCs w:val="28"/>
          <w:rtl w:val="true"/>
          <w:lang w:bidi="fa-IR"/>
        </w:rPr>
        <w:t>)</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تضمّن الإجزاء معنى الإسقاط المستلزم لتعدّد الواجب</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غسل الحيض والجنابة في روايات متعدّدة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تجعلهما غسلاُ واحداً</w:t>
      </w:r>
      <w:r>
        <w:rPr>
          <w:rFonts w:eastAsia="IRNazanin" w:cs="IRNazanin"/>
          <w:color w:val="111111"/>
          <w:sz w:val="28"/>
          <w:szCs w:val="28"/>
          <w:rtl w:val="true"/>
          <w:lang w:bidi="fa-IR"/>
        </w:rPr>
        <w:t>)</w:t>
      </w:r>
      <w:r>
        <w:rPr>
          <w:rStyle w:val="FootnoteAnchor"/>
          <w:rtl w:val="true"/>
        </w:rPr>
        <w:footnoteReference w:id="573"/>
      </w:r>
      <w:r>
        <w:rPr>
          <w:rFonts w:ascii="Amiri" w:hAnsi="Amiri" w:eastAsia="Amiri" w:cs="Amiri"/>
          <w:color w:val="111111"/>
          <w:sz w:val="28"/>
          <w:sz w:val="28"/>
          <w:szCs w:val="28"/>
          <w:rtl w:val="true"/>
          <w:lang w:bidi="ar-SA"/>
        </w:rPr>
        <w:t>، فإنّ إسناد الاتّحاد إلى جعل المكلّف في مقام الأداء والامتثال ظاهر في تعدّدهما في أنفسهما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زرارة فيمن مات وهو جنب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يغسّل غسلاً واحداً يجزئ ذلك للجنابة ولغسل الميّت؛ لأنّهما حرمتان اجتمعا في حرمة واحدة</w:t>
      </w:r>
      <w:r>
        <w:rPr>
          <w:rFonts w:eastAsia="Amiri" w:cs="Amiri" w:ascii="Amiri" w:hAnsi="Amiri"/>
          <w:color w:val="111111"/>
          <w:sz w:val="28"/>
          <w:szCs w:val="28"/>
          <w:rtl w:val="true"/>
          <w:lang w:bidi="ar-SA"/>
        </w:rPr>
        <w:t>)</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بعض المحقّقين</w:t>
      </w:r>
      <w:r>
        <w:rPr>
          <w:rStyle w:val="FootnoteAnchor"/>
          <w:rtl w:val="true"/>
        </w:rPr>
        <w:footnoteReference w:id="5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الرّواية ورواية عمّار السّاباطيّ أوضح من جميع أخبار الباب في الدّلالة على تعدّد ماهيّات الأغسال، فإنّ فيهما جهات من الدّلالة، كما لا يخفى على المتأمّل</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سماعة بن مهران، عن أبي عبد الله وأبي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الرّجل يجامع امرأته فتحيض قبل أن تغتسل من الجنابة،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غسل الجنابة عليها واجب</w:t>
      </w:r>
      <w:r>
        <w:rPr>
          <w:rFonts w:eastAsia="IRNazanin" w:cs="IRNazanin"/>
          <w:color w:val="111111"/>
          <w:sz w:val="28"/>
          <w:szCs w:val="28"/>
          <w:rtl w:val="true"/>
          <w:lang w:bidi="fa-IR"/>
        </w:rPr>
        <w:t>)</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 xml:space="preserve">. </w:t>
      </w:r>
      <w:bookmarkStart w:id="620" w:name="pg9142_80837"/>
    </w:p>
    <w:p>
      <w:pPr>
        <w:pStyle w:val="Heading5"/>
        <w:numPr>
          <w:ilvl w:val="4"/>
          <w:numId w:val="1"/>
        </w:numPr>
        <w:rPr/>
      </w:pPr>
      <w:bookmarkStart w:id="621" w:name="__RefHeading___Toc3266510_2870459653"/>
      <w:bookmarkStart w:id="622" w:name="_Toc236"/>
      <w:bookmarkEnd w:id="620"/>
      <w:bookmarkEnd w:id="621"/>
      <w:r>
        <w:rPr>
          <w:rtl w:val="true"/>
        </w:rPr>
        <w:t>مناقشة أدلّة القول بالاختلاف</w:t>
      </w:r>
      <w:bookmarkEnd w:id="622"/>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عن تعدّد الآثار فبأنّ ذلك لا يستلزم تعدّد الحقيقة والماهيّة، بل يكفي فيه تعدّد أنحاء الوجود شدّةً وضعفاً بحسب اختلاف السّبب، فإنّ أسباب الحدث الأكبر مشتركة في أكثر الآثار، وهو مستند إلى الجامع الّذي هو تلك الحقيقة الواحدة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يختصّ به البعض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كحدث الحيض حيث يختصّ بمرجوحيّة الوطء حرمةً أو كراهةً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مستند إلى الشّدّة الآتية من قوّة السّبب، نظير السّواد القابل للشدّة والضعف بحسب قوّة سببه وضعفه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الاستناد إلى تعدّد الأغسال عليه فهو مندفع ببطلان ما ذُكر من أدلّته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 يردّ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المراد من الحقوق 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اجتمعت لله عليك حقوق أجزأك غسل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الغايات المطلوب فيها الطّهارة، واجبة كانت أو مندوبة أو مختلفة من صلاة وصوم وإحرام وزيارة ونحر وحلق وغيرها، فيكون ذلك نظير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رواية جميل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أجزأ عنه ذلك الغسل من كلّ غسل يلزمه في ذلك اليوم</w:t>
      </w:r>
      <w:r>
        <w:rPr>
          <w:rFonts w:eastAsia="IRNazanin" w:cs="IRNazanin"/>
          <w:color w:val="111111"/>
          <w:sz w:val="28"/>
          <w:szCs w:val="28"/>
          <w:rtl w:val="true"/>
          <w:lang w:bidi="fa-IR"/>
        </w:rPr>
        <w:t>)</w:t>
      </w:r>
      <w:r>
        <w:rPr>
          <w:rStyle w:val="FootnoteAnchor"/>
          <w:rtl w:val="true"/>
        </w:rPr>
        <w:footnoteReference w:id="577"/>
      </w:r>
      <w:r>
        <w:rPr>
          <w:rFonts w:ascii="Amiri" w:hAnsi="Amiri" w:eastAsia="Amiri" w:cs="Amiri"/>
          <w:color w:val="111111"/>
          <w:sz w:val="28"/>
          <w:sz w:val="28"/>
          <w:szCs w:val="28"/>
          <w:rtl w:val="true"/>
          <w:lang w:bidi="ar-SA"/>
        </w:rPr>
        <w:t>، ولا يكاد تعجّبي ينقضي كيف خفي هذا المعنى عليهم مع وضوحه حتّى فسّروا الحقوق بالأغسال أو أسبابها</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غاية ما يستفاد من الخبرين تعدّد الغسل، ويكفي فيه تعدّده بالإضافة إلى موجباته وغاياته الّذي لا إشكال فيه، وأمّا استظهار أنّ ذلك التّعدّد بحسب النّوع فمن أين؟ </w:t>
      </w:r>
    </w:p>
    <w:p>
      <w:pPr>
        <w:pStyle w:val="BookText"/>
        <w:rPr/>
      </w:pPr>
      <w:r>
        <w:rPr>
          <w:rFonts w:ascii="Amiri" w:hAnsi="Amiri" w:eastAsia="Amiri" w:cs="Amiri"/>
          <w:color w:val="111111"/>
          <w:sz w:val="28"/>
          <w:sz w:val="28"/>
          <w:szCs w:val="28"/>
          <w:rtl w:val="true"/>
          <w:lang w:bidi="ar-SA"/>
        </w:rPr>
        <w:t>وأعجب من ذلك الاستشهاد عليه باستثناء غسل الجنابة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كون ذلك من استثناء النّوع عين المتنازع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الاحتياج إلى الوضوء في غير غسل الجنابة عند القائلين به يتصوّر على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الوضوء له مدخلية في رفع الحدث الأكبر، فيكون الرّافع لحدث الحيض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مركّباً من الغسل والوضوء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للوضوء مدخلية في ذلك، بل يرتفع الحدث الأكبر بالغسل وحده، وإنّما يعتبر الوضوء لرفع الحدث الأصغر لو اتّفق وجود سببه مع الأكبر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وتتفرّع على الوجهين فروع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اتّفق وجود الحدث الأكبر وحده من دون سبب الأصغر، كما لو جاءها النّفاس لحظة ثمّ انقطع، فعلى الأوّل لا تستبيح الصّلاة وما ماثلها إلّا بالغسل والوضوء، وعلى الثّاني تستبيحها بالغسل وحده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على الأوّل لا يستبيح المحدث بالأكبر ما يمنع منه الحدث الأكبر حسب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كدخول المساجد وقراءة العزائم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بهما، وعلى الثّاني يستبيح ذلك بالغسل وحده، وإنّما يحتاج إلى الوضوء في ما يمنع منه الحدث الأصغر كالصّلاة، ونحوها</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على الأوّل لا يكشف ذلك عن اختلاف في حقيقة الغسل، وإنّما هو لاختلافٍ في الحدث، ولا يستلزم ذلك اختلافاً في ماهيّة الحدث أيضاً، بل يكفي فيه اختلاف ذلك للماهيّة الواحدة بالشّدة والضّعف، فكأنّ الحدث النّاشئ من غير الجنابة أشدّ من النّاشئ منها، فلا يكفي في رفعه الغسل وحده، بل لا بدّ من ضمّ الوضوء معه، بخلاف النّاشئ منها فيرفعه الغسل وحده، وعلى الثّاني يكشف عن </w:t>
      </w:r>
    </w:p>
    <w:p>
      <w:pPr>
        <w:pStyle w:val="BookText"/>
        <w:rPr/>
      </w:pPr>
      <w:r>
        <w:rPr>
          <w:rFonts w:ascii="Amiri" w:hAnsi="Amiri" w:eastAsia="Amiri" w:cs="Amiri"/>
          <w:color w:val="111111"/>
          <w:sz w:val="28"/>
          <w:sz w:val="28"/>
          <w:szCs w:val="28"/>
          <w:rtl w:val="true"/>
          <w:lang w:bidi="ar-SA"/>
        </w:rPr>
        <w:t>اختلاف في حقيقة الغسل، فالغسل المستعمل في رفع الجنابة أقوى في التّطهير من المستعمل في رفع غيرها، فلذا يرفع الأكبر والأصغر، بخلاف المستعمل في رفع غيرها، فإنّه لضعفه لا يرفع إلّا الأكبر، فيبقى الأصغر محتاجاً إلى رافعه، وأمّا الأكبر فهو واحد في الجميع، ولذا ارتفع بالغسل وحده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يعلم أنّ الاستدلال بذلك إنّما يتمّ على الوجه الثّاني دون الأوّل، وكلمات القائلين به غير واضحة الدّلالة في تعيين أحد الوجهين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الأخبار فظاهرها الأوّل، وبه يسقط ذلك عن الاستدلال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الحقّ الّذي تدلّ عليه الأخبار الواردة في هذا الباب أنّ الأغسال كلّها شرع سواء في عدم الحاجة معها إلى الوضوء مطلقاً، فإنّها على طوائف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نصّ على عدم الوضوء مع غسل الجنابة مع السّكوت عن غيره، إلّا ما يفهم من التعليل الّذي في بعضها من جريان ذلك في غيره أيضاً، مثل</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رواه محمّد بن مسلم،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أهل الكوفة يروون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كان يأمر بالوضوء قبل الغسل من الجنابة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كذبوا على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 وجدوا ذلك في كتاب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الله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وَإِن كُنتُمْ جُنُبًا فَاطَّهَّرُوا</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78"/>
      </w:r>
      <w:r>
        <w:rPr>
          <w:rFonts w:ascii="Amiri" w:hAnsi="Amiri" w:eastAsia="Amiri" w:cs="Amiri"/>
          <w:color w:val="111111"/>
          <w:sz w:val="28"/>
          <w:sz w:val="28"/>
          <w:szCs w:val="28"/>
          <w:rtl w:val="true"/>
          <w:lang w:bidi="ar-SA"/>
        </w:rPr>
        <w:t>، وكأنّ المقصود بالاستدلال بالآية الشريفة أنّ التّفصيل قاطع للشركة؛ لأنّ الله سبحانه وتعالى فصّل بين المحدث بالأصغر فأمره بالوضوء، والمحدث بالأكبر فأمره بالغسل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وما رواه حكم بن حكيم،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غسل الجنابة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النّاس يقولون يتوضّأ وضوء الصّلاة قبل الغسل، فضحك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وأيُّ وضوء أنقى من الغسل وأبلغ</w:t>
      </w:r>
      <w:r>
        <w:rPr>
          <w:rFonts w:eastAsia="IRNazanin" w:cs="IRNazanin"/>
          <w:color w:val="111111"/>
          <w:sz w:val="28"/>
          <w:szCs w:val="28"/>
          <w:rtl w:val="true"/>
          <w:lang w:bidi="fa-IR"/>
        </w:rPr>
        <w:t>)</w:t>
      </w:r>
      <w:r>
        <w:rPr>
          <w:rStyle w:val="FootnoteAnchor"/>
          <w:rtl w:val="true"/>
        </w:rPr>
        <w:footnoteReference w:id="579"/>
      </w:r>
      <w:r>
        <w:rPr>
          <w:rFonts w:ascii="IRNazanin" w:hAnsi="IRNazanin" w:eastAsia="IRNazanin"/>
          <w:color w:val="111111"/>
          <w:sz w:val="28"/>
          <w:sz w:val="28"/>
          <w:szCs w:val="28"/>
          <w:rtl w:val="true"/>
          <w:lang w:bidi="fa-IR"/>
        </w:rPr>
        <w:t xml:space="preserve">، وضحكه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إلى أنّ جمع الضّعيف مع ما هو أقوى منه</w:t>
      </w:r>
      <w:r>
        <w:rPr>
          <w:rFonts w:eastAsia="IRNazanin" w:cs="IRNazanin"/>
          <w:color w:val="111111"/>
          <w:sz w:val="28"/>
          <w:szCs w:val="28"/>
          <w:rtl w:val="true"/>
          <w:lang w:bidi="fa-IR"/>
        </w:rPr>
        <w:t>...</w:t>
      </w:r>
      <w:r>
        <w:rPr>
          <w:rStyle w:val="FootnoteAnchor"/>
          <w:rtl w:val="true"/>
        </w:rPr>
        <w:footnoteReference w:id="580"/>
      </w:r>
      <w:r>
        <w:rPr>
          <w:rFonts w:ascii="Amiri" w:hAnsi="Amiri" w:eastAsia="Amiri" w:cs="Amiri"/>
          <w:color w:val="111111"/>
          <w:sz w:val="28"/>
          <w:sz w:val="28"/>
          <w:szCs w:val="28"/>
          <w:rtl w:val="true"/>
          <w:lang w:bidi="ar-SA"/>
        </w:rPr>
        <w:t>كجمع السّراج مع الشّمس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وما رواه يعقوب بن يقطين، عن 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غسل الجنابة فيه وضوء أم لا في ما نزل به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الجنب يغتسل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أن وصف كيفيّة الغسل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قد قضى، ولا وضوء عليه</w:t>
      </w:r>
      <w:r>
        <w:rPr>
          <w:rFonts w:eastAsia="IRNazanin" w:cs="IRNazanin"/>
          <w:color w:val="111111"/>
          <w:sz w:val="28"/>
          <w:szCs w:val="28"/>
          <w:rtl w:val="true"/>
          <w:lang w:bidi="fa-IR"/>
        </w:rPr>
        <w:t>)</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وما رواه زرارة،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وذكر كيفيّة غسل الجنابة،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قبله ولا بعده وضوء</w:t>
      </w:r>
      <w:r>
        <w:rPr>
          <w:rFonts w:eastAsia="IRNazanin" w:cs="IRNazanin"/>
          <w:color w:val="111111"/>
          <w:sz w:val="28"/>
          <w:szCs w:val="28"/>
          <w:rtl w:val="true"/>
          <w:lang w:bidi="fa-IR"/>
        </w:rPr>
        <w:t>)</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وما رواه ابن أبي نصر،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غسل الجنابة فبيّن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كيفيته، إلى 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وضوء فيه</w:t>
      </w:r>
      <w:r>
        <w:rPr>
          <w:rFonts w:eastAsia="IRNazanin" w:cs="IRNazanin"/>
          <w:color w:val="111111"/>
          <w:sz w:val="28"/>
          <w:szCs w:val="28"/>
          <w:rtl w:val="true"/>
          <w:lang w:bidi="fa-IR"/>
        </w:rPr>
        <w:t>)</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نصّ على عدم الوضوء في الأغسال الأُخر، كغسل الجمعة ونحوه، </w:t>
      </w:r>
    </w:p>
    <w:p>
      <w:pPr>
        <w:pStyle w:val="BookText"/>
        <w:rPr/>
      </w:pP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رواه محمّد بن عبد الرّحمن الهمدانيّ، أنّه كتب إلى أبي الحسن الثّالث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يسأله عن الوضوء للصلاة في غسل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فكتب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وضوء للصلاة في غسل يوم الجمعة، ولا غيره</w:t>
      </w:r>
      <w:r>
        <w:rPr>
          <w:rFonts w:eastAsia="IRNazanin" w:cs="IRNazanin"/>
          <w:color w:val="111111"/>
          <w:sz w:val="28"/>
          <w:szCs w:val="28"/>
          <w:rtl w:val="true"/>
          <w:lang w:bidi="fa-IR"/>
        </w:rPr>
        <w:t>)</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وما رواه عمّار السّاباطيّ،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إذا اغتسل من جنابته، أو يوم جمعةٍ، أو يوم عيدٍ، هل عليه وضوء قبل ذلك أو بعده؟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ليس عليه قبلُ ولا بعدُ، قد أجزأه الغسل، والمرأة مثل ذلك إذا اغتسلت من حيض أو غير ذلك فليس عليها الوضوء، لا قبلُ ولا بعدُ، قد أجزأها الغسل</w:t>
      </w:r>
      <w:r>
        <w:rPr>
          <w:rFonts w:eastAsia="IRNazanin" w:cs="IRNazanin"/>
          <w:color w:val="111111"/>
          <w:sz w:val="28"/>
          <w:szCs w:val="28"/>
          <w:rtl w:val="true"/>
          <w:lang w:bidi="fa-IR"/>
        </w:rPr>
        <w:t>)</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رواه حمّاد بن عثمان، عن رجل،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الرّجل يغتسل للجمعة أو غير ذلك أيجزيه من الوضوء؟ فقال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وأيّ وضوء أطهر من الغسل</w:t>
      </w:r>
      <w:r>
        <w:rPr>
          <w:rFonts w:eastAsia="IRNazanin" w:cs="IRNazanin"/>
          <w:color w:val="111111"/>
          <w:sz w:val="28"/>
          <w:szCs w:val="28"/>
          <w:rtl w:val="true"/>
          <w:lang w:bidi="fa-IR"/>
        </w:rPr>
        <w:t>)</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نفي الوضوء مع الغسل على سبيل الإطلاق، 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روي بعدّة طرق أنّ الوضوء بعد الغسل بدعة، وفي بعضها أنّه قبل الغسل وبعده بدعة</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دلّ على ثبوت الوضوء قبل غسل الجنابة، مثل ما رواه أبو بكر الحضرميّ،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أصنع إذا أجنبت؟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اغسل كفّيك وفرجك، وتوضّأ وضوء الصّلاة، ثمّ اغتسل</w:t>
      </w:r>
      <w:r>
        <w:rPr>
          <w:rFonts w:eastAsia="IRNazanin" w:cs="IRNazanin"/>
          <w:color w:val="111111"/>
          <w:sz w:val="28"/>
          <w:szCs w:val="28"/>
          <w:rtl w:val="true"/>
          <w:lang w:bidi="fa-IR"/>
        </w:rPr>
        <w:t>)</w:t>
      </w:r>
      <w:r>
        <w:rPr>
          <w:rStyle w:val="FootnoteAnchor"/>
          <w:rtl w:val="true"/>
        </w:rPr>
        <w:footnoteReference w:id="588"/>
      </w:r>
      <w:r>
        <w:rPr>
          <w:rFonts w:ascii="Amiri" w:hAnsi="Amiri" w:eastAsia="Amiri" w:cs="Amiri"/>
          <w:color w:val="111111"/>
          <w:sz w:val="28"/>
          <w:sz w:val="28"/>
          <w:szCs w:val="28"/>
          <w:rtl w:val="true"/>
          <w:lang w:bidi="ar-SA"/>
        </w:rPr>
        <w:t>، وعن المفيد بطريق آخر مثله</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الوضوء قبل غسل الجمعة، مثل ما رواه عليّ بن يقطين، عن أبي الحسن الأوّل،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أردت أن تغتسل للجمعة فتوضّأ واغتسل</w:t>
      </w:r>
      <w:r>
        <w:rPr>
          <w:rFonts w:eastAsia="Amiri" w:cs="Amiri" w:ascii="Amiri" w:hAnsi="Amiri"/>
          <w:color w:val="111111"/>
          <w:sz w:val="28"/>
          <w:szCs w:val="28"/>
          <w:rtl w:val="true"/>
          <w:lang w:bidi="ar-SA"/>
        </w:rPr>
        <w:t>)</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سادسها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دلّ على التّفصيل بين غسل الجنابة فلا وضوء معه، وغيره ففيه الوضوء، مثل ما رُوي عن ابن أبي عمير بعدّة طرق، عن رجل،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غسل قبله وضوء إلّا غسل الجنابة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وفي بعضها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كلّ غسل وضوء إلّا الجنابة</w:t>
      </w:r>
      <w:r>
        <w:rPr>
          <w:rFonts w:eastAsia="IRNazanin" w:cs="IRNazanin"/>
          <w:color w:val="111111"/>
          <w:sz w:val="28"/>
          <w:szCs w:val="28"/>
          <w:rtl w:val="true"/>
          <w:lang w:bidi="fa-IR"/>
        </w:rPr>
        <w:t>)</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طوائف 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منها مقتضاها الاكتفاء بالغسل عن الوضوء، وثلاثٌ مقتضاها العدم، ويتعيّن العمل على مقتضى الثّلاث الأُول من جهات شتّى، أوضحها أنّها مبيِّنة لوجه صدور الطّائفة الثّانية من الجري فيها على قول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ما ربّما يستفاد من بعض الأخبار</w:t>
      </w:r>
      <w:r>
        <w:rPr>
          <w:rStyle w:val="FootnoteAnchor"/>
          <w:rtl w:val="true"/>
        </w:rPr>
        <w:footnoteReference w:id="592"/>
      </w:r>
      <w:r>
        <w:rPr>
          <w:rFonts w:ascii="Amiri" w:hAnsi="Amiri" w:eastAsia="Amiri" w:cs="Amiri"/>
          <w:color w:val="111111"/>
          <w:sz w:val="28"/>
          <w:sz w:val="28"/>
          <w:szCs w:val="28"/>
          <w:rtl w:val="true"/>
          <w:lang w:bidi="ar-SA"/>
        </w:rPr>
        <w:t>من أنّ الأصل في رفع الأحداث هو الغسل، والاكتفاء بالوضوء من باب الإرفاق</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ويردّ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الاجتزاء بالغسل الواحد وإن كان على نحو العزيمة، ولكن صحّح التّعبير به كون المقام مقام توهّم الحظر، نظير التّعبير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نفي الجناح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آية القصر</w:t>
      </w:r>
      <w:r>
        <w:rPr>
          <w:rStyle w:val="FootnoteAnchor"/>
          <w:rtl w:val="true"/>
        </w:rPr>
        <w:footnoteReference w:id="5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رواية السّاباطيّ الدّالة على الرّخصة في اغتسال الحائض فيعارضها في موردها ما رواه سعيد بن يسار،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المرأة ترى الدّم وهي جنب، </w:t>
      </w:r>
    </w:p>
    <w:p>
      <w:pPr>
        <w:pStyle w:val="BookText"/>
        <w:rPr/>
      </w:pPr>
      <w:r>
        <w:rPr>
          <w:rFonts w:ascii="Amiri" w:hAnsi="Amiri" w:eastAsia="Amiri" w:cs="Amiri"/>
          <w:color w:val="111111"/>
          <w:sz w:val="28"/>
          <w:sz w:val="28"/>
          <w:szCs w:val="28"/>
          <w:rtl w:val="true"/>
          <w:lang w:bidi="ar-SA"/>
        </w:rPr>
        <w:t>أتغتسل من الجنابة، أو غسل الجنابة والحيض واحد؟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أتاها ما هو أعظم من ذلك</w:t>
      </w:r>
      <w:r>
        <w:rPr>
          <w:rFonts w:eastAsia="Amiri" w:cs="Amiri" w:ascii="Amiri" w:hAnsi="Amiri"/>
          <w:color w:val="111111"/>
          <w:sz w:val="28"/>
          <w:szCs w:val="28"/>
          <w:rtl w:val="true"/>
          <w:lang w:bidi="ar-SA"/>
        </w:rPr>
        <w:t>)</w:t>
      </w:r>
      <w:r>
        <w:rPr>
          <w:rStyle w:val="FootnoteAnchor"/>
          <w:rtl w:val="true"/>
        </w:rPr>
        <w:footnoteReference w:id="594"/>
      </w:r>
      <w:r>
        <w:rPr>
          <w:rFonts w:ascii="IRNazanin" w:hAnsi="IRNazanin" w:eastAsia="IRNazanin"/>
          <w:color w:val="111111"/>
          <w:sz w:val="28"/>
          <w:sz w:val="28"/>
          <w:szCs w:val="28"/>
          <w:rtl w:val="true"/>
          <w:lang w:bidi="fa-IR"/>
        </w:rPr>
        <w:t xml:space="preserve">، وما رواه الكاهليّ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المرأة يجامعها زوجها فتحيض وهي في المغتسل، تغتسل أو لا تغتسل؟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جاءها ما يفسد الصّلاة، فلا تغتسل</w:t>
      </w:r>
      <w:r>
        <w:rPr>
          <w:rFonts w:eastAsia="IRNazanin" w:cs="IRNazanin"/>
          <w:color w:val="111111"/>
          <w:sz w:val="28"/>
          <w:szCs w:val="28"/>
          <w:rtl w:val="true"/>
          <w:lang w:bidi="fa-IR"/>
        </w:rPr>
        <w:t>)</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الجمع بينهما بحمل رواية السّاباطيّ على أنّ الإذن في الاغتسال ليس لرفع حدث الجنابة، بل ليفيد مرتبة من الطّهارة، نظير ما يفيده إذا أوقعته الحائض للإحرام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تضمّن الإجزاء معنى الإسقاط المستلزم لتعدّد الواجب فلا شاهد له، بل لا يُفهم منه إلّا الكفاية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ويردّ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المراد من جعلهما واحداً الاقتصار على واحدٍ؛ دفعاً لما يتوهّم من أنّ الواجب غسلان، يعني أنّ الواجب أن تأتي بواحدٍ لا أزيد، ونسبة الجعل إليها إنّما هو من حيث إنّ الفعل الاختياريّ راجع إليها، فهي قادرة على الاقتصار على واحد كما أنّها قادرة على الإتيان بالمتعدّد، فأمرها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تجعله واحداً، يعني تجعل عملها غسلاً واحداً لا غسلين، ولا دلالة في ذلك على أنّها في مقام الامتثال تمتثل الواجبين بفعل واحد يتصادقان عليه حتّى يكون دالَّاً على التّعدّد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ويردّ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الظّاهر أنّ المراد من الحرمتين المذكورتين في الصّحيحة الحرمة الآتية من جهة حدث الجنابة، والحرمة الآتية من جهة نجاسته بالموت، ومعنى </w:t>
      </w:r>
    </w:p>
    <w:p>
      <w:pPr>
        <w:pStyle w:val="BookText"/>
        <w:rPr/>
      </w:pPr>
      <w:r>
        <w:rPr>
          <w:rFonts w:ascii="Amiri" w:hAnsi="Amiri" w:eastAsia="Amiri" w:cs="Amiri"/>
          <w:color w:val="111111"/>
          <w:sz w:val="28"/>
          <w:sz w:val="28"/>
          <w:szCs w:val="28"/>
          <w:rtl w:val="true"/>
          <w:lang w:bidi="ar-SA"/>
        </w:rPr>
        <w:t>اجتماعهما في حرمة واحدة أنّ هذا الغسل الواحد مطهّر منهما معاً فيحصل المقصود، ولا يبقى محلّ لتأثير الحرمة الأُخرى؛ لاستحالة تحصيل الحاصل، وحينئذٍ فلا إشعار فيها بتعدّد ماهيّة الأغسال، فضلاً عن كونها أوضح ما في الباب دلالة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من وجوب غسل الجنابة عليها أنّ الّذي يجب عليها بعد الطّهر هو غسل الجنابة؛ لأنّ الحدث الّذي كان حاصلاً لها كان منها، غاية ما هناك أنّ مجيء الدّم صار مانعاً عن قابليّته للارتفاع ما دام الدّم، وبعد زواله ليس هناك إلّا الحدث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حدوث الدّم أثّر فيه شدّةً باعتبار تأثيره في حرمة الوطء، أو كراهيّته، حتّى بعد النّقاء، فالغسل الواجب عليها هو غسل الجنابة، يعني غسلاً يرتفع به حدث الجنابة الّذي اشتدّ بواسطة عروض الحيض، وإلّا فليس المراد وجوبه عليها في حال وجود الدّم أو بعد انقطاعه، بحيث يجب عليها بعد الانقطاع غسلان، وإلّا كان معارضاً بالأخبار المتقدّمة الصّريحة في خلافه الّتي هي أرجح منه من جهات عديدة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اتّضح بما ذكرناه أنّ الحقّ الّذي لا ريب فيه أنّ الحدث الأكبر كالحدث الأصغر حقيقة واحدة، سوى أنّه في الأكبر قابل للشدّة والضّعف باعتبار قوّة السّبب وضعفه، بخلاف الأصغر فإنّ أسبابه على حدٍّ سواء، وأنّ الغسل كالوضوء ماهيّة واحدة مؤثّرة في الطّهارة، ويترتّب عليها رفع الحدث قهراً، سواء كان مقصوداً رفعه أم لا، فجميع ما تقدّم في الحدث الأصغر والوضوء من الأحكام جارٍ هنا</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تبيّن أيضاً أنّ الغسل بجميع أفراده متى وقع صحيحاً جاز الدّخول فيه بالصّلاة من دون حاجة إلى الوضوء حتّى الأغسال المستحبّة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أطلنا الكلام في هذه المسألة، وخرجنا بها عن وضع التّعليقة لكثرة الاهتمام والابتلاء بها</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والله وليّ التّوفيق، وهو الهادي إلى الصّواب</w:t>
      </w:r>
      <w:r>
        <w:rPr>
          <w:rFonts w:eastAsia="Amiri" w:cs="Amiri" w:ascii="Amiri" w:hAnsi="Amiri"/>
          <w:color w:val="111111"/>
          <w:sz w:val="28"/>
          <w:szCs w:val="28"/>
          <w:rtl w:val="true"/>
          <w:lang w:bidi="ar-SA"/>
        </w:rPr>
        <w:t xml:space="preserve">. </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23" w:name="pg9142_80860"/>
      <w:bookmarkStart w:id="624" w:name="pg9142_80860"/>
      <w:bookmarkEnd w:id="624"/>
    </w:p>
    <w:p>
      <w:pPr>
        <w:pStyle w:val="Heading3"/>
        <w:numPr>
          <w:ilvl w:val="2"/>
          <w:numId w:val="1"/>
        </w:numPr>
        <w:rPr/>
      </w:pPr>
      <w:bookmarkStart w:id="625" w:name="pg9142_80860"/>
      <w:bookmarkStart w:id="626" w:name="__RefHeading___Toc3266512_2870459653"/>
      <w:bookmarkStart w:id="627" w:name="_Toc237"/>
      <w:bookmarkEnd w:id="625"/>
      <w:bookmarkEnd w:id="626"/>
      <w:r>
        <w:rPr>
          <w:rtl w:val="true"/>
        </w:rPr>
        <w:t>تعاقب الأحداث</w:t>
      </w:r>
      <w:bookmarkEnd w:id="627"/>
    </w:p>
    <w:p>
      <w:pPr>
        <w:pStyle w:val="Heading4"/>
        <w:numPr>
          <w:ilvl w:val="3"/>
          <w:numId w:val="1"/>
        </w:numPr>
        <w:rPr/>
      </w:pPr>
      <w:bookmarkStart w:id="628" w:name="__RefHeading___Toc3266514_2870459653"/>
      <w:bookmarkStart w:id="629" w:name="_Toc238"/>
      <w:bookmarkEnd w:id="628"/>
      <w:r>
        <w:rPr>
          <w:rtl w:val="true"/>
        </w:rPr>
        <w:t>اشارة</w:t>
      </w:r>
      <w:bookmarkEnd w:id="629"/>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الكبير الشّيخ أحمد آل كاشف الغطاء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1292-1344</w:t>
      </w:r>
      <w:r>
        <w:rPr>
          <w:rFonts w:eastAsia="Times New Roman" w:cs="Times New Roman" w:ascii="Times New Roman" w:hAnsi="Times New Roman"/>
          <w:color w:val="111111"/>
          <w:sz w:val="28"/>
          <w:szCs w:val="28"/>
          <w:rtl w:val="true"/>
          <w:lang w:val="en-US" w:bidi="en-US"/>
        </w:rPr>
        <w:t xml:space="preserve"> </w:t>
      </w:r>
      <w:r>
        <w:rPr>
          <w:rFonts w:ascii="Times New Roman" w:hAnsi="Times New Roman" w:eastAsia="Times New Roman" w:cs="Times New Roman"/>
          <w:color w:val="111111"/>
          <w:sz w:val="28"/>
          <w:sz w:val="28"/>
          <w:szCs w:val="28"/>
          <w:rtl w:val="true"/>
          <w:lang w:val="en-US" w:bidi="en-US"/>
        </w:rPr>
        <w:t>ﻫ</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تحقيق</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السّيّد عليّ البعّاج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عزه</w:t>
      </w:r>
      <w:r>
        <w:rPr>
          <w:rFonts w:eastAsia="Amiri" w:cs="Amiri" w:ascii="Amiri" w:hAnsi="Amiri"/>
          <w:color w:val="111111"/>
          <w:sz w:val="28"/>
          <w:szCs w:val="28"/>
          <w:rtl w:val="true"/>
          <w:lang w:bidi="ar-SA"/>
        </w:rPr>
        <w:t xml:space="preserve">) </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30" w:name="pg9142_80863"/>
      <w:bookmarkStart w:id="631" w:name="pg9142_80863"/>
      <w:bookmarkEnd w:id="631"/>
    </w:p>
    <w:p>
      <w:pPr>
        <w:pStyle w:val="BookText"/>
        <w:rPr/>
      </w:pPr>
      <w:bookmarkStart w:id="632" w:name="pg9142_80863"/>
      <w:bookmarkEnd w:id="632"/>
      <w:r>
        <w:rPr>
          <w:rFonts w:ascii="Amiri" w:hAnsi="Amiri" w:eastAsia="Amiri" w:cs="Amiri"/>
          <w:color w:val="111111"/>
          <w:sz w:val="28"/>
          <w:sz w:val="28"/>
          <w:szCs w:val="28"/>
          <w:rtl w:val="true"/>
          <w:lang w:bidi="ar-SA"/>
        </w:rPr>
        <w:t>بسم الله الرّحمن الرّحيم وله الحمد</w:t>
      </w:r>
    </w:p>
    <w:p>
      <w:pPr>
        <w:pStyle w:val="BookText"/>
        <w:rPr/>
      </w:pP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تعاقب فردان من الحدث أو أكثر، بأن حدث اللّاحق في أثناء رافع السّابق</w:t>
      </w:r>
      <w:r>
        <w:rPr>
          <w:rFonts w:eastAsia="Amiri" w:cs="Amiri" w:ascii="Amiri" w:hAnsi="Amiri"/>
          <w:color w:val="111111"/>
          <w:sz w:val="28"/>
          <w:szCs w:val="28"/>
          <w:rtl w:val="true"/>
          <w:lang w:bidi="ar-SA"/>
        </w:rPr>
        <w:t>:</w:t>
      </w:r>
    </w:p>
    <w:p>
      <w:pPr>
        <w:pStyle w:val="Heading4"/>
        <w:numPr>
          <w:ilvl w:val="3"/>
          <w:numId w:val="1"/>
        </w:numPr>
        <w:rPr/>
      </w:pPr>
      <w:bookmarkStart w:id="633" w:name="__RefHeading___Toc3266516_2870459653"/>
      <w:bookmarkStart w:id="634" w:name="_Toc239"/>
      <w:bookmarkEnd w:id="633"/>
      <w:r>
        <w:rPr>
          <w:rtl w:val="true"/>
        </w:rPr>
        <w:t>الصّورة الأولى</w:t>
      </w:r>
      <w:r>
        <w:rPr>
          <w:rtl w:val="true"/>
        </w:rPr>
        <w:t xml:space="preserve">: </w:t>
      </w:r>
      <w:r>
        <w:rPr>
          <w:rtl w:val="true"/>
        </w:rPr>
        <w:t>التساوي في الأثر والرّافع</w:t>
      </w:r>
      <w:bookmarkEnd w:id="634"/>
    </w:p>
    <w:p>
      <w:pPr>
        <w:pStyle w:val="BookText"/>
        <w:rPr/>
      </w:pPr>
      <w:r>
        <w:rPr>
          <w:rFonts w:ascii="Amiri" w:hAnsi="Amiri" w:eastAsia="Amiri" w:cs="Amiri"/>
          <w:color w:val="111111"/>
          <w:sz w:val="28"/>
          <w:sz w:val="28"/>
          <w:szCs w:val="28"/>
          <w:rtl w:val="true"/>
          <w:lang w:bidi="ar-SA"/>
        </w:rPr>
        <w:t xml:space="preserve">فإن تساويا في الأثر والرّافع كفردين من الأصغر الموجب للوضوء وحده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طبيعة كانا أو من طبيعتين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الأكبر الموجب للغسل وحده كالجنابة، أو الأصغر الموجب لهما كالمسّ، أو الأكبر الموجب لهما كالحيض 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طبيعة كانا أو من طبيعتين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ريب في نقض اللّاحق لما وقع من أجزاء رافع السّابق، غسلاً كان أو وضوءاً أو تيمّماً أو مركّباً من الغسل والوضوء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في هذه الصّورة بين وقوعه في أثناء الغسل، أو الوضوء، أو بينهما، قدّم الوضوء على الغسل أو أخّره، فاللّاحق في جميع ذلك ناقض لما وقع ومبطل لأثره؛ وذلك لأنّه ناقض له بعد كماله، فلَئن يكون ناقضاً له قبل ذلك بالأولى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صحّ أن تتقعّد قاعدة كليّة، وهي</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كلّ ناقض للطّهارة إذا حدث بعد كمالها فهو ناقض لما وقع منها إذا حدث </w:t>
      </w:r>
      <w:bookmarkStart w:id="635" w:name="pg9142_80865"/>
    </w:p>
    <w:p>
      <w:pPr>
        <w:pStyle w:val="BookText"/>
        <w:rPr/>
      </w:pPr>
      <w:bookmarkEnd w:id="635"/>
      <w:r>
        <w:rPr>
          <w:rFonts w:ascii="Amiri" w:hAnsi="Amiri" w:eastAsia="Amiri" w:cs="Amiri"/>
          <w:color w:val="111111"/>
          <w:sz w:val="28"/>
          <w:sz w:val="28"/>
          <w:szCs w:val="28"/>
          <w:rtl w:val="true"/>
          <w:lang w:bidi="ar-SA"/>
        </w:rPr>
        <w:t>في أثنائها، ومبطل للأثر الناقص الحاصل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 أنّ الحدث السّابق لا يرتفع إلّا بعد كمال رافعه، فإذا حدث اللّاحق قبل ذلك لم يؤثّر شيئاً، وكان كما إذا حدث قبل الإتيان بشيء من ذلك، كما ترى؛ فإنّها مصادرة واضحة الفساد</w:t>
      </w:r>
      <w:r>
        <w:rPr>
          <w:rFonts w:eastAsia="Amiri" w:cs="Amiri" w:ascii="Amiri" w:hAnsi="Amiri"/>
          <w:color w:val="111111"/>
          <w:sz w:val="28"/>
          <w:szCs w:val="28"/>
          <w:rtl w:val="true"/>
          <w:lang w:bidi="ar-SA"/>
        </w:rPr>
        <w:t>.</w:t>
      </w:r>
    </w:p>
    <w:p>
      <w:pPr>
        <w:pStyle w:val="Heading4"/>
        <w:numPr>
          <w:ilvl w:val="3"/>
          <w:numId w:val="1"/>
        </w:numPr>
        <w:rPr/>
      </w:pPr>
      <w:bookmarkStart w:id="636" w:name="__RefHeading___Toc3266518_2870459653"/>
      <w:bookmarkStart w:id="637" w:name="_Toc240"/>
      <w:bookmarkEnd w:id="636"/>
      <w:r>
        <w:rPr>
          <w:rtl w:val="true"/>
        </w:rPr>
        <w:t>الصّورة الثّانية</w:t>
      </w:r>
      <w:r>
        <w:rPr>
          <w:rtl w:val="true"/>
        </w:rPr>
        <w:t xml:space="preserve">: </w:t>
      </w:r>
      <w:r>
        <w:rPr>
          <w:rtl w:val="true"/>
        </w:rPr>
        <w:t>التّساوي في الأثر والاختلاف في الرّافع</w:t>
      </w:r>
      <w:bookmarkEnd w:id="637"/>
    </w:p>
    <w:p>
      <w:pPr>
        <w:pStyle w:val="BookText"/>
        <w:rPr/>
      </w:pPr>
      <w:r>
        <w:rPr>
          <w:rFonts w:ascii="Amiri" w:hAnsi="Amiri" w:eastAsia="Amiri" w:cs="Amiri"/>
          <w:color w:val="111111"/>
          <w:sz w:val="28"/>
          <w:sz w:val="28"/>
          <w:szCs w:val="28"/>
          <w:rtl w:val="true"/>
          <w:lang w:bidi="ar-SA"/>
        </w:rPr>
        <w:t>وإن تساويا في الأثر واختلفا في الرّافع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كانا معاً من الأصغر، كفرد من موجب الوضوء وحده مع فرد ممّا يوجبهما كالمسّ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لحق موجب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وقع المسّ في أثناء 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ريب في إبطاله له، ولا يصحّ إتمامه، وأغنى الوضوء الّذي يأتي به مع الغسل عن الوضوء للأوّل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لحق موجب الأقلّ فوقع في أثناء ما يجب للمسّ، فأمّا بالنّسبة إلى الوضوء فمبطل، وقع في أثنائه أو بعده، قدّمه على الغسل أو أخّره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بالنّسبة إلى الغسل فغير مبطل إن وقع بعد تمامه، بل وكذا إن وقع في أثنائه، بناءً على المختار في الحدث الأصغر الواقع في أثناء غسل الجنابة، كما سيجيء بيانه</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كانا من الأكبر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كالجنابة والحيض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منهما يبطل رافع الآخر إذا وقع في أثنائه كما إذا وقع بعد تمامه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كفردي الحدث الأصغر إذا كانا من طبيعتين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فلو حدث الحيض في أثناء غسل الجنابة أبطله، وكذا العكس، ولزم تجديد الغسل، ويستغنى به عن الوضوء في الصّورتين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نُوي به رفع الجنابة، أو الحيض، أو هما معاً، أو طبيعة الحدث، أو القربة المطلقة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لوجود الجنابة بناءً على الاكتفاء بالغسل عند </w:t>
      </w:r>
      <w:bookmarkStart w:id="638" w:name="pg9142_80867"/>
    </w:p>
    <w:p>
      <w:pPr>
        <w:pStyle w:val="BookText"/>
        <w:rPr/>
      </w:pPr>
      <w:bookmarkEnd w:id="638"/>
      <w:r>
        <w:rPr>
          <w:rFonts w:ascii="Amiri" w:hAnsi="Amiri" w:eastAsia="Amiri" w:cs="Amiri"/>
          <w:color w:val="111111"/>
          <w:sz w:val="28"/>
          <w:sz w:val="28"/>
          <w:szCs w:val="28"/>
          <w:rtl w:val="true"/>
          <w:lang w:bidi="ar-SA"/>
        </w:rPr>
        <w:t>وجودها عن الوضوء فيما إذا كان رافعاً لها ولو مع عدم قصدها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جدّي الطّاهر المطهّر موسى بن جعفر في شرح رسالة والده</w:t>
      </w:r>
      <w:r>
        <w:rPr>
          <w:rStyle w:val="FootnoteAnchor"/>
          <w:rtl w:val="true"/>
        </w:rPr>
        <w:footnoteReference w:id="596"/>
      </w:r>
      <w:r>
        <w:rPr>
          <w:rFonts w:ascii="Amiri" w:hAnsi="Amiri" w:eastAsia="Amiri" w:cs="Amiri"/>
          <w:color w:val="111111"/>
          <w:sz w:val="28"/>
          <w:sz w:val="28"/>
          <w:szCs w:val="28"/>
          <w:rtl w:val="true"/>
          <w:lang w:bidi="ar-SA"/>
        </w:rPr>
        <w:t>، وأخوه الحسن صاحب أنوار الفقاهة في تعليقته على الرّسالة</w:t>
      </w:r>
      <w:r>
        <w:rPr>
          <w:rStyle w:val="FootnoteAnchor"/>
          <w:rtl w:val="true"/>
        </w:rPr>
        <w:footnoteReference w:id="597"/>
      </w:r>
      <w:r>
        <w:rPr>
          <w:rFonts w:ascii="Amiri" w:hAnsi="Amiri" w:eastAsia="Amiri" w:cs="Amiri"/>
          <w:color w:val="111111"/>
          <w:sz w:val="28"/>
          <w:sz w:val="28"/>
          <w:szCs w:val="28"/>
          <w:rtl w:val="true"/>
          <w:lang w:bidi="ar-SA"/>
        </w:rPr>
        <w:t xml:space="preserve">، وسيّدنا الأُستاذ في العروة الوثقى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أسرارهم</w:t>
      </w:r>
      <w:r>
        <w:rPr>
          <w:rFonts w:eastAsia="Amiri" w:cs="Amiri" w:ascii="Amiri" w:hAnsi="Amiri"/>
          <w:color w:val="111111"/>
          <w:sz w:val="28"/>
          <w:szCs w:val="28"/>
          <w:rtl w:val="true"/>
          <w:lang w:bidi="ar-SA"/>
        </w:rPr>
        <w:t>)</w:t>
      </w:r>
      <w:r>
        <w:rPr>
          <w:rStyle w:val="FootnoteAnchor"/>
          <w:rtl w:val="true"/>
        </w:rPr>
        <w:footnoteReference w:id="598"/>
      </w:r>
      <w:r>
        <w:rPr>
          <w:rFonts w:ascii="Amiri" w:hAnsi="Amiri" w:eastAsia="Amiri" w:cs="Amiri"/>
          <w:color w:val="111111"/>
          <w:sz w:val="28"/>
          <w:sz w:val="28"/>
          <w:szCs w:val="28"/>
          <w:rtl w:val="true"/>
          <w:lang w:bidi="ar-SA"/>
        </w:rPr>
        <w:t>إلى صحّة الغسل الأوّل في هذه الصّورة، ووجوب تجديد غسلٍ للثاني مع الوضوء أو بدونه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غير واضح الوجه</w:t>
      </w:r>
      <w:r>
        <w:rPr>
          <w:rFonts w:eastAsia="Amiri" w:cs="Amiri" w:ascii="Amiri" w:hAnsi="Amiri"/>
          <w:color w:val="111111"/>
          <w:sz w:val="28"/>
          <w:szCs w:val="28"/>
          <w:rtl w:val="true"/>
          <w:lang w:bidi="ar-SA"/>
        </w:rPr>
        <w:t>.</w:t>
      </w:r>
    </w:p>
    <w:p>
      <w:pPr>
        <w:pStyle w:val="Heading4"/>
        <w:numPr>
          <w:ilvl w:val="3"/>
          <w:numId w:val="1"/>
        </w:numPr>
        <w:rPr/>
      </w:pPr>
      <w:bookmarkStart w:id="639" w:name="__RefHeading___Toc3266520_2870459653"/>
      <w:bookmarkStart w:id="640" w:name="_Toc241"/>
      <w:bookmarkEnd w:id="639"/>
      <w:r>
        <w:rPr>
          <w:rtl w:val="true"/>
        </w:rPr>
        <w:t>الصّورة الثّالثة</w:t>
      </w:r>
      <w:r>
        <w:rPr>
          <w:rtl w:val="true"/>
        </w:rPr>
        <w:t xml:space="preserve">: </w:t>
      </w:r>
      <w:r>
        <w:rPr>
          <w:rtl w:val="true"/>
        </w:rPr>
        <w:t>الاختلاف في الأثر</w:t>
      </w:r>
      <w:bookmarkEnd w:id="640"/>
    </w:p>
    <w:p>
      <w:pPr>
        <w:pStyle w:val="BookText"/>
        <w:rPr/>
      </w:pPr>
      <w:r>
        <w:rPr>
          <w:rFonts w:ascii="Amiri" w:hAnsi="Amiri" w:eastAsia="Amiri" w:cs="Amiri"/>
          <w:color w:val="111111"/>
          <w:sz w:val="28"/>
          <w:sz w:val="28"/>
          <w:szCs w:val="28"/>
          <w:rtl w:val="true"/>
          <w:lang w:bidi="ar-SA"/>
        </w:rPr>
        <w:t xml:space="preserve">وإن اختلفا في الأثر، بأن كان أحدهما أصغر والآخر أكبر، تساويا في الرّافع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كالمسّ مع الحيض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اختلفا فيه على سبيل التّباين أو الأقلّ والأكثر، كموجب الوضوء وحده، وموجب الغسل كذلك، أو موجب الوضوء وحده مع موجبهما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لحق الأقوى أثراً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أبطل رافع سابقه في الصّور كلّها، سواء وقع في أثناء الوضوء أو الغسل أو فيما بينهما، ووجب الإتيان برافعه، فإن كان جنابة لم يحتج إلى وضوءٍ، وإلّا احتاج، وأغنى وضوؤه عن وضوءٍ للسّابق</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لحق الأضعف أثراً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الأصغر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تساويا في الرّافع فاللّاحق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الأصغر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مبطل للوضوء، وقع في أثنائه أو بعده، وغير مبطل للغسل إذا وقع بعده</w:t>
      </w:r>
      <w:r>
        <w:rPr>
          <w:rFonts w:eastAsia="Amiri" w:cs="Amiri" w:ascii="Amiri" w:hAnsi="Amiri"/>
          <w:color w:val="111111"/>
          <w:sz w:val="28"/>
          <w:szCs w:val="28"/>
          <w:rtl w:val="true"/>
          <w:lang w:bidi="ar-SA"/>
        </w:rPr>
        <w:t xml:space="preserve">. </w:t>
      </w:r>
      <w:bookmarkStart w:id="641" w:name="pg9142_80869"/>
    </w:p>
    <w:p>
      <w:pPr>
        <w:pStyle w:val="BookText"/>
        <w:rPr/>
      </w:pPr>
      <w:bookmarkEnd w:id="641"/>
      <w:r>
        <w:rPr>
          <w:rFonts w:ascii="Amiri" w:hAnsi="Amiri" w:eastAsia="Amiri" w:cs="Amiri"/>
          <w:color w:val="111111"/>
          <w:sz w:val="28"/>
          <w:sz w:val="28"/>
          <w:szCs w:val="28"/>
          <w:rtl w:val="true"/>
          <w:lang w:bidi="ar-SA"/>
        </w:rPr>
        <w:t>بل وكذا إن وقع في أثنائه بناءً على المختار في الحدث الأصغر الواقع في أثناء غسل الجنابة، وحينئذٍ فيلزمه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الغسل فيتخيّر بين إتمام ما وقع فيؤثّر في ارتفاع الحدث الأكبر، ويرتفع عنه المنع عمّا كان ممنوعاً عنه المحدث بالأكبر، كقراءة العزائم أو دخول المساجد ونحوهما، ويبقى ممنوعاً عمّا يُمنع عنه مطلق المحدث، فيحتاج في رفعه إلى غسلٍ آخر، أو أنّه يرفع اليد عن الغسل السّابق، ويستأنف غسلاً آخر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اختلفا على سبيل الأقلّ والأكثر فكذلك بالنّسبة إلى بطلان الوضوء، وعدم بطلان الغسل، لكن هنا لا يحتاج في رفع اللّاحق إلّا إلى الوضوء</w:t>
      </w:r>
      <w:r>
        <w:rPr>
          <w:rFonts w:eastAsia="Amiri" w:cs="Amiri" w:ascii="Amiri" w:hAnsi="Amiri"/>
          <w:color w:val="111111"/>
          <w:sz w:val="28"/>
          <w:szCs w:val="28"/>
          <w:rtl w:val="true"/>
          <w:lang w:bidi="ar-SA"/>
        </w:rPr>
        <w:t>.</w:t>
      </w:r>
    </w:p>
    <w:p>
      <w:pPr>
        <w:pStyle w:val="Heading4"/>
        <w:numPr>
          <w:ilvl w:val="3"/>
          <w:numId w:val="1"/>
        </w:numPr>
        <w:rPr/>
      </w:pPr>
      <w:bookmarkStart w:id="642" w:name="__RefHeading___Toc3266522_2870459653"/>
      <w:bookmarkStart w:id="643" w:name="_Toc242"/>
      <w:bookmarkEnd w:id="642"/>
      <w:r>
        <w:rPr>
          <w:rtl w:val="true"/>
        </w:rPr>
        <w:t>وقوع الحدث الأصغر أثناء غسل الجنابة، والأقوال فيه</w:t>
      </w:r>
      <w:bookmarkEnd w:id="643"/>
    </w:p>
    <w:p>
      <w:pPr>
        <w:pStyle w:val="BookText"/>
        <w:rPr/>
      </w:pPr>
      <w:r>
        <w:rPr>
          <w:rFonts w:ascii="Amiri" w:hAnsi="Amiri" w:eastAsia="Amiri" w:cs="Amiri"/>
          <w:color w:val="111111"/>
          <w:sz w:val="28"/>
          <w:sz w:val="28"/>
          <w:szCs w:val="28"/>
          <w:rtl w:val="true"/>
          <w:lang w:bidi="ar-SA"/>
        </w:rPr>
        <w:t xml:space="preserve">وإن اختلفا على سبيل التّباين فهي المسألة المحرّرة في كلماتهم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وقوع الحدث الأصغر الموجب للوضوء فقط في أثناء غسل الجنابة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والأقوال فيها ثلاثة</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نُسب إلى الأكثر</w:t>
      </w:r>
      <w:r>
        <w:rPr>
          <w:rStyle w:val="FootnoteAnchor"/>
          <w:rtl w:val="true"/>
        </w:rPr>
        <w:footnoteReference w:id="5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بطلانه</w:t>
      </w:r>
      <w:r>
        <w:rPr>
          <w:rStyle w:val="FootnoteAnchor"/>
          <w:rtl w:val="true"/>
        </w:rPr>
        <w:footnoteReference w:id="600"/>
      </w:r>
      <w:r>
        <w:rPr>
          <w:rFonts w:ascii="IRNazanin" w:hAnsi="IRNazanin" w:eastAsia="IRNazanin"/>
          <w:color w:val="111111"/>
          <w:sz w:val="28"/>
          <w:sz w:val="28"/>
          <w:szCs w:val="28"/>
          <w:rtl w:val="true"/>
          <w:lang w:bidi="fa-IR"/>
        </w:rPr>
        <w:t xml:space="preserve">، فتجب إعادته من رأسٍ من </w:t>
      </w:r>
    </w:p>
    <w:p>
      <w:pPr>
        <w:pStyle w:val="BookText"/>
        <w:rPr/>
      </w:pPr>
      <w:r>
        <w:rPr>
          <w:rFonts w:ascii="Amiri" w:hAnsi="Amiri" w:eastAsia="Amiri" w:cs="Amiri"/>
          <w:color w:val="111111"/>
          <w:sz w:val="28"/>
          <w:sz w:val="28"/>
          <w:szCs w:val="28"/>
          <w:rtl w:val="true"/>
          <w:lang w:bidi="ar-SA"/>
        </w:rPr>
        <w:t>دون 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صحّته، فيقتصر على إتمامه كذلك من دون وضوء</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إتمامه مع الوضوء</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وليس في المسألة أخبارٌ خاصّة تبيِّن حكمها عدا مرسلٍ محكيّ عن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عرض 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w:t>
      </w:r>
      <w:r>
        <w:rPr>
          <w:rStyle w:val="FootnoteAnchor"/>
          <w:rtl w:val="true"/>
        </w:rPr>
        <w:footnoteReference w:id="603"/>
      </w:r>
      <w:r>
        <w:rPr>
          <w:rFonts w:ascii="Amiri" w:hAnsi="Amiri" w:eastAsia="Amiri" w:cs="Amiri"/>
          <w:color w:val="111111"/>
          <w:sz w:val="28"/>
          <w:sz w:val="28"/>
          <w:szCs w:val="28"/>
          <w:rtl w:val="true"/>
          <w:lang w:bidi="ar-SA"/>
        </w:rPr>
        <w:t>دالّ على القول الأوّل، ومثله عن الفقه الرّضوي</w:t>
      </w:r>
      <w:r>
        <w:rPr>
          <w:rStyle w:val="FootnoteAnchor"/>
          <w:rtl w:val="true"/>
        </w:rPr>
        <w:footnoteReference w:id="6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ولضعف سندهما ضعفاً مسقطاً لهما عن درجة الحجّيّة لا يصحّ التّعويل عليهما</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كما أنّ أخبار الغسل العامّة كقوله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كلّ شيء أمسسته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w:t>
      </w:r>
      <w:r>
        <w:rPr>
          <w:rFonts w:eastAsia="IRNazanin" w:cs="IRNazanin"/>
          <w:color w:val="111111"/>
          <w:sz w:val="28"/>
          <w:szCs w:val="28"/>
          <w:rtl w:val="true"/>
          <w:lang w:bidi="fa-IR"/>
        </w:rPr>
        <w:t>]</w:t>
      </w:r>
      <w:r>
        <w:rPr>
          <w:rStyle w:val="FootnoteAnchor"/>
          <w:rtl w:val="true"/>
        </w:rPr>
        <w:footnoteReference w:id="605"/>
      </w:r>
      <w:r>
        <w:rPr>
          <w:rFonts w:ascii="IRNazanin" w:hAnsi="IRNazanin" w:eastAsia="IRNazanin"/>
          <w:color w:val="111111"/>
          <w:sz w:val="28"/>
          <w:sz w:val="28"/>
          <w:szCs w:val="28"/>
          <w:rtl w:val="true"/>
          <w:lang w:bidi="fa-IR"/>
        </w:rPr>
        <w:t xml:space="preserve">فقد </w:t>
      </w:r>
      <w:bookmarkStart w:id="644" w:name="pg9142_80873"/>
    </w:p>
    <w:p>
      <w:pPr>
        <w:pStyle w:val="BookText"/>
        <w:rPr/>
      </w:pPr>
      <w:bookmarkEnd w:id="644"/>
      <w:r>
        <w:rPr>
          <w:rFonts w:ascii="Amiri" w:hAnsi="Amiri" w:eastAsia="Amiri" w:cs="Amiri"/>
          <w:color w:val="111111"/>
          <w:sz w:val="28"/>
          <w:sz w:val="28"/>
          <w:szCs w:val="28"/>
          <w:rtl w:val="true"/>
          <w:lang w:bidi="ar-SA"/>
        </w:rPr>
        <w:t>أنقيته</w:t>
      </w:r>
      <w:r>
        <w:rPr>
          <w:rFonts w:eastAsia="Amiri" w:cs="Amiri" w:ascii="Amiri" w:hAnsi="Amiri"/>
          <w:color w:val="111111"/>
          <w:sz w:val="28"/>
          <w:szCs w:val="28"/>
          <w:rtl w:val="true"/>
          <w:lang w:bidi="ar-SA"/>
        </w:rPr>
        <w:t>)</w:t>
      </w:r>
      <w:r>
        <w:rPr>
          <w:rStyle w:val="FootnoteAnchor"/>
          <w:rtl w:val="true"/>
        </w:rPr>
        <w:footnoteReference w:id="606"/>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جرى عليه الماء فقد أجزأه</w:t>
      </w:r>
      <w:r>
        <w:rPr>
          <w:rFonts w:eastAsia="Amiri" w:cs="Amiri" w:ascii="Amiri" w:hAnsi="Amiri"/>
          <w:color w:val="111111"/>
          <w:sz w:val="28"/>
          <w:szCs w:val="28"/>
          <w:rtl w:val="true"/>
          <w:lang w:bidi="ar-SA"/>
        </w:rPr>
        <w:t>)</w:t>
      </w:r>
      <w:r>
        <w:rPr>
          <w:rStyle w:val="FootnoteAnchor"/>
          <w:rtl w:val="true"/>
        </w:rPr>
        <w:footnoteReference w:id="607"/>
      </w:r>
      <w:r>
        <w:rPr>
          <w:rFonts w:ascii="Amiri" w:hAnsi="Amiri" w:eastAsia="Amiri" w:cs="Amiri"/>
          <w:color w:val="111111"/>
          <w:sz w:val="28"/>
          <w:sz w:val="28"/>
          <w:szCs w:val="28"/>
          <w:rtl w:val="true"/>
          <w:lang w:bidi="ar-SA"/>
        </w:rPr>
        <w:t>، والخاصّة الواردة في مقام البيان الآمرة بغسل الرّأس والجسد</w:t>
      </w:r>
      <w:r>
        <w:rPr>
          <w:rStyle w:val="FootnoteAnchor"/>
          <w:rtl w:val="true"/>
        </w:rPr>
        <w:footnoteReference w:id="608"/>
      </w:r>
      <w:r>
        <w:rPr>
          <w:rFonts w:ascii="Amiri" w:hAnsi="Amiri" w:eastAsia="Amiri" w:cs="Amiri"/>
          <w:color w:val="111111"/>
          <w:sz w:val="28"/>
          <w:sz w:val="28"/>
          <w:szCs w:val="28"/>
          <w:rtl w:val="true"/>
          <w:lang w:bidi="ar-SA"/>
        </w:rPr>
        <w:t>لا يصحّ التّمسّك بإطلاقها للقول بالصّحّة بأحد نحويه؛ لورودها في مقام بيان حكم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يبعد الاستئناس له بما دلّ على عدم اعتبار الموالاة، وجواز تأخير غسل بعض الأعضاء ولو إلى نصف يومٍ أو أزيد</w:t>
      </w:r>
      <w:r>
        <w:rPr>
          <w:rStyle w:val="FootnoteAnchor"/>
          <w:rtl w:val="true"/>
        </w:rPr>
        <w:footnoteReference w:id="609"/>
      </w:r>
      <w:r>
        <w:rPr>
          <w:rFonts w:ascii="Amiri" w:hAnsi="Amiri" w:eastAsia="Amiri" w:cs="Amiri"/>
          <w:color w:val="111111"/>
          <w:sz w:val="28"/>
          <w:sz w:val="28"/>
          <w:szCs w:val="28"/>
          <w:rtl w:val="true"/>
          <w:lang w:bidi="ar-SA"/>
        </w:rPr>
        <w:t>فإنّه يستبعد إرادة ما لو لم يصدر الحدث في الأثناء وإلّا لبيّن؛ لكون المقام مقام حاجةٍ إلى البيان</w:t>
      </w:r>
      <w:r>
        <w:rPr>
          <w:rFonts w:eastAsia="Amiri" w:cs="Amiri" w:ascii="Amiri" w:hAnsi="Amiri"/>
          <w:color w:val="111111"/>
          <w:sz w:val="28"/>
          <w:szCs w:val="28"/>
          <w:rtl w:val="true"/>
          <w:lang w:bidi="ar-SA"/>
        </w:rPr>
        <w:t>.</w:t>
      </w:r>
    </w:p>
    <w:p>
      <w:pPr>
        <w:pStyle w:val="Heading4"/>
        <w:numPr>
          <w:ilvl w:val="3"/>
          <w:numId w:val="1"/>
        </w:numPr>
        <w:rPr/>
      </w:pPr>
      <w:bookmarkStart w:id="645" w:name="__RefHeading___Toc3266524_2870459653"/>
      <w:bookmarkStart w:id="646" w:name="_Toc243"/>
      <w:bookmarkEnd w:id="645"/>
      <w:r>
        <w:rPr>
          <w:rtl w:val="true"/>
        </w:rPr>
        <w:t>القول المختار وأدلّته</w:t>
      </w:r>
      <w:bookmarkEnd w:id="646"/>
    </w:p>
    <w:p>
      <w:pPr>
        <w:pStyle w:val="BookText"/>
        <w:rPr/>
      </w:pPr>
      <w:r>
        <w:rPr>
          <w:rFonts w:ascii="Amiri" w:hAnsi="Amiri" w:eastAsia="Amiri" w:cs="Amiri"/>
          <w:color w:val="111111"/>
          <w:sz w:val="28"/>
          <w:sz w:val="28"/>
          <w:szCs w:val="28"/>
          <w:rtl w:val="true"/>
          <w:lang w:bidi="ar-SA"/>
        </w:rPr>
        <w:t>وعلى أيّ حال فالأقوى الثّالث، فلنا دعويان</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صحّته في قبال القول الأوّل الحاكم بالبطلان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ثانيتهما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الوضوء معه وعدم الاكتفاء به عنه، في قبال القول الثّاني الحاكم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الأولى فالمستند فيها استصحاب صحّة الأجزاء الواقعة، وعدم ناقضيّة الحدث الحادث في الأثناء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الاستصحاب لا إشكال فيه وإن وقع الإشكال فيه في صورة الشّكّ في مانعيّة شيء أو شرطيّته للمأمور به حسب التّفصيل الّذي ذكره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رسائله</w:t>
      </w:r>
      <w:r>
        <w:rPr>
          <w:rStyle w:val="FootnoteAnchor"/>
          <w:rtl w:val="true"/>
        </w:rPr>
        <w:footnoteReference w:id="610"/>
      </w:r>
      <w:r>
        <w:rPr>
          <w:rFonts w:ascii="Amiri" w:hAnsi="Amiri" w:eastAsia="Amiri" w:cs="Amiri"/>
          <w:color w:val="111111"/>
          <w:sz w:val="28"/>
          <w:sz w:val="28"/>
          <w:szCs w:val="28"/>
          <w:rtl w:val="true"/>
          <w:lang w:bidi="ar-SA"/>
        </w:rPr>
        <w:t>، وهو حاكم على استصحاب الاشتغال وقاعدته، واستصحاب بقاء الجنابة وعدم ارتفاعها بالغسل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مستند القول الأوّل فليس هو إلّا تلك الأصول المحكومة، والخبران السّابقان غير الواصلين إلى مرتبة الحجّيّة، وأنّ الحدث الأصغر لو وقع بعد تمام الغسل لأبطله، واحتاج إلى الوضوء، فكيف لو وقع في أثنائه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إنّما يدلّ على بطلان القول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الاقتصار على إتمامه من دون وضوءٍ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على بطلان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الثّانية فالمستند فيها عموم ما دلّ على سببيّة الأحداث لوجوب الوضوء المقتصر في تخصيصها على ما لو صدرت قبل غسل الجنابة</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مستند القول الثّاني فليس إلّا دعوى أنّ الجنابة لا ترتفع إلّا بتمام الغسل، فالحدث الواقع في أثنائه كالواقع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وقوعه على الجنابة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أثر له، وحينئذٍ فيكون الغسل المذكور مشمولاً لما دلّ على كفاية غسل الجنابة عن الوضوء</w:t>
      </w:r>
      <w:r>
        <w:rPr>
          <w:rFonts w:eastAsia="Amiri" w:cs="Amiri" w:ascii="Amiri" w:hAnsi="Amiri"/>
          <w:color w:val="111111"/>
          <w:sz w:val="28"/>
          <w:szCs w:val="28"/>
          <w:rtl w:val="true"/>
          <w:lang w:bidi="ar-SA"/>
        </w:rPr>
        <w:t xml:space="preserve">. </w:t>
      </w:r>
      <w:bookmarkStart w:id="647" w:name="pg9142_80877"/>
    </w:p>
    <w:p>
      <w:pPr>
        <w:pStyle w:val="BookText"/>
        <w:rPr/>
      </w:pPr>
      <w:bookmarkEnd w:id="647"/>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إنّما يدلّ فيما إذا كانت أسباب الوضوء حادثة قبل الغسل، بحيث وقع الغسل كمَلاً بعدها، وأمّا ما وقع في أثنائه فالدّليل المذكور منصرف عنه جزماً، فيكون حاله حال ما لو صدر بعد الغسل في إيجاب ما يقتضيه؛ بمقتضى عموم دليله، والاحتياط يتأتّى باستئناف الغسل والوضوء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يتخيّل</w:t>
      </w:r>
      <w:r>
        <w:rPr>
          <w:rStyle w:val="FootnoteAnchor"/>
          <w:rtl w:val="true"/>
        </w:rPr>
        <w:footnoteReference w:id="611"/>
      </w:r>
      <w:r>
        <w:rPr>
          <w:rFonts w:ascii="IRNazanin" w:hAnsi="IRNazanin" w:eastAsia="IRNazanin"/>
          <w:color w:val="111111"/>
          <w:sz w:val="28"/>
          <w:sz w:val="28"/>
          <w:szCs w:val="28"/>
          <w:rtl w:val="true"/>
          <w:lang w:bidi="fa-IR"/>
        </w:rPr>
        <w:t>عدم حصوله إلّا بالإتمام، ثمّ الاستئناف والوضوء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وهو كما ترى؛ فإنّ الغسل ليس ممّا يحرم قطعه على تقدير صحّته ليتوقّف تمام الاحتياط على إتمامه لحاظاً لاحتمال صحّته، بل يجوز قطعه اختياراً، فالاستئناف والوضوء كافٍ في ذلك، فإنّ المقدار الّذي أتى به إن فسد للحدث الواقع في الأثناء أغنى ما أتى به جديداً، ولغى الوضوء، وإن بقِي على صحّته لحقته التّكملة من الغسل الجديد، ولغى ما كرّره من الأعضاء؛ فإنّ الفصل غير قادح، والموالاة غير معتبرة، فترتفع الجنابة به، والحدث الأصغر بالوضوء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الغسل والوضوء</w:t>
      </w:r>
      <w:r>
        <w:rPr>
          <w:rFonts w:eastAsia="Amiri" w:cs="Amiri" w:ascii="Amiri" w:hAnsi="Amiri"/>
          <w:color w:val="111111"/>
          <w:sz w:val="28"/>
          <w:szCs w:val="28"/>
          <w:rtl w:val="true"/>
          <w:lang w:bidi="ar-SA"/>
        </w:rPr>
        <w:t>.</w:t>
      </w:r>
    </w:p>
    <w:p>
      <w:pPr>
        <w:pStyle w:val="Heading4"/>
        <w:numPr>
          <w:ilvl w:val="3"/>
          <w:numId w:val="1"/>
        </w:numPr>
        <w:rPr/>
      </w:pPr>
      <w:bookmarkStart w:id="648" w:name="__RefHeading___Toc3266526_2870459653"/>
      <w:bookmarkStart w:id="649" w:name="_Toc244"/>
      <w:bookmarkEnd w:id="648"/>
      <w:r>
        <w:rPr>
          <w:rtl w:val="true"/>
        </w:rPr>
        <w:t>وقوع الحدث الأصغر أثناء التيمّم</w:t>
      </w:r>
      <w:bookmarkEnd w:id="649"/>
    </w:p>
    <w:p>
      <w:pPr>
        <w:pStyle w:val="BookText"/>
        <w:rPr/>
      </w:pPr>
      <w:r>
        <w:rPr>
          <w:rFonts w:ascii="Amiri" w:hAnsi="Amiri" w:eastAsia="Amiri" w:cs="Amiri"/>
          <w:color w:val="111111"/>
          <w:sz w:val="28"/>
          <w:sz w:val="28"/>
          <w:szCs w:val="28"/>
          <w:rtl w:val="true"/>
          <w:lang w:bidi="ar-SA"/>
        </w:rPr>
        <w:t xml:space="preserve">وأمّا التّيمّم فله حكم مبدله، فإن كان بدلاً عن الوضوء أُعطِي حكمه، وإن كان بدلاً عن الغسل الرّافع للأصغر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كغسل المسّ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فكذلك</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 بدلاً عن الغسل الرّافع للأكبر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كغسل الجنابة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جرى عليه حكمه، بناءً على </w:t>
      </w:r>
      <w:bookmarkStart w:id="650" w:name="pg9142_80879"/>
    </w:p>
    <w:p>
      <w:pPr>
        <w:pStyle w:val="BookText"/>
        <w:rPr/>
      </w:pPr>
      <w:bookmarkEnd w:id="650"/>
      <w:r>
        <w:rPr>
          <w:rFonts w:ascii="IRNazanin" w:hAnsi="IRNazanin" w:eastAsia="IRNazanin"/>
          <w:color w:val="111111"/>
          <w:sz w:val="28"/>
          <w:sz w:val="28"/>
          <w:szCs w:val="28"/>
          <w:rtl w:val="true"/>
          <w:lang w:bidi="fa-IR"/>
        </w:rPr>
        <w:t xml:space="preserve">ما هو الحقّ من عدم انتقاض ما هو بدلٌ عن الغسل بالحدث الأصغر، وأمّا بناء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Style w:val="FootnoteAnchor"/>
          <w:rtl w:val="true"/>
        </w:rPr>
        <w:footnoteReference w:id="612"/>
      </w:r>
      <w:r>
        <w:rPr>
          <w:rFonts w:ascii="Amiri" w:hAnsi="Amiri" w:eastAsia="Amiri" w:cs="Amiri"/>
          <w:color w:val="111111"/>
          <w:sz w:val="28"/>
          <w:sz w:val="28"/>
          <w:szCs w:val="28"/>
          <w:rtl w:val="true"/>
          <w:lang w:bidi="ar-SA"/>
        </w:rPr>
        <w:t>هو المشهور من انتقاضه بذلك إذا وقع بعده، فكذلك ينتقض به إذا وقع في أثنائه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ولازم ذلك انتقاضه بالحدث مطلقاً، سواء كان أكبر موجباً للغسل والوضوء، أو للغسل وحده، أو أصغر موجباً لهما، أو للوضوء وحده، وسواء كان التّيمّم عوضاً عن الوضوء، أو الغسل المنفرد، أو المشارك للوضوء</w:t>
      </w:r>
      <w:r>
        <w:rPr>
          <w:rFonts w:eastAsia="Amiri" w:cs="Amiri" w:ascii="Amiri" w:hAnsi="Amiri"/>
          <w:color w:val="111111"/>
          <w:sz w:val="28"/>
          <w:szCs w:val="28"/>
          <w:rtl w:val="true"/>
          <w:lang w:bidi="ar-SA"/>
        </w:rPr>
        <w:t>.</w:t>
      </w:r>
    </w:p>
    <w:p>
      <w:pPr>
        <w:pStyle w:val="Heading4"/>
        <w:numPr>
          <w:ilvl w:val="3"/>
          <w:numId w:val="1"/>
        </w:numPr>
        <w:rPr/>
      </w:pPr>
      <w:bookmarkStart w:id="651" w:name="__RefHeading___Toc3266528_2870459653"/>
      <w:bookmarkStart w:id="652" w:name="_Toc245"/>
      <w:bookmarkEnd w:id="651"/>
      <w:r>
        <w:rPr>
          <w:rtl w:val="true"/>
        </w:rPr>
        <w:t>انتقاض المقدّمات المستحبّة</w:t>
      </w:r>
      <w:bookmarkEnd w:id="652"/>
    </w:p>
    <w:p>
      <w:pPr>
        <w:pStyle w:val="BookText"/>
        <w:rPr/>
      </w:pPr>
      <w:r>
        <w:rPr>
          <w:rFonts w:ascii="Amiri" w:hAnsi="Amiri" w:eastAsia="Amiri" w:cs="Amiri"/>
          <w:color w:val="111111"/>
          <w:sz w:val="28"/>
          <w:sz w:val="28"/>
          <w:szCs w:val="28"/>
          <w:rtl w:val="true"/>
          <w:lang w:bidi="ar-SA"/>
        </w:rPr>
        <w:t>ثُمَّ لا يخفى أنّ كلّ حدث ينقض الطّهارة إذا وقع في أثنائها بحيث تبطل به الأجزاء الواقعة منها، فكذا ينقض المقدّمات المستحبّة لتلك الطّهارة، كغسل اليدين والمضمضة والاستنشاق ونحوها إذا وقع بعدها ولو قبل الشّروع في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الأغسال الرّافعة والوضوءات الرّافعة والتّيمّم الّذي هو بدلهما</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ليس برافع منهما ومن بدلهما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كالأغسال المستحبّة للزمان أو المكان أو الفعل، وكذا الوضوء الصّوري وبدلهما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حدث ينقضها إذا وقع بعدها ينقضها إذا وقع في أثنائها</w:t>
      </w:r>
      <w:r>
        <w:rPr>
          <w:rFonts w:eastAsia="Amiri" w:cs="Amiri" w:ascii="Amiri" w:hAnsi="Amiri"/>
          <w:color w:val="111111"/>
          <w:sz w:val="28"/>
          <w:szCs w:val="28"/>
          <w:rtl w:val="true"/>
          <w:lang w:bidi="ar-SA"/>
        </w:rPr>
        <w:t xml:space="preserve">. </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53" w:name="pg9142_80883"/>
      <w:bookmarkStart w:id="654" w:name="pg9142_80883"/>
      <w:bookmarkEnd w:id="654"/>
    </w:p>
    <w:p>
      <w:pPr>
        <w:pStyle w:val="Heading3"/>
        <w:numPr>
          <w:ilvl w:val="2"/>
          <w:numId w:val="1"/>
        </w:numPr>
        <w:rPr/>
      </w:pPr>
      <w:bookmarkStart w:id="655" w:name="pg9142_80883"/>
      <w:bookmarkStart w:id="656" w:name="__RefHeading___Toc3266530_2870459653"/>
      <w:bookmarkStart w:id="657" w:name="_Toc246"/>
      <w:bookmarkEnd w:id="655"/>
      <w:bookmarkEnd w:id="656"/>
      <w:r>
        <w:rPr>
          <w:rtl w:val="true"/>
        </w:rPr>
        <w:t>حکم النقصان السهوی فی الصلاة</w:t>
      </w:r>
      <w:bookmarkEnd w:id="657"/>
    </w:p>
    <w:p>
      <w:pPr>
        <w:pStyle w:val="Heading4"/>
        <w:numPr>
          <w:ilvl w:val="3"/>
          <w:numId w:val="1"/>
        </w:numPr>
        <w:rPr/>
      </w:pPr>
      <w:bookmarkStart w:id="658" w:name="__RefHeading___Toc3266532_2870459653"/>
      <w:bookmarkStart w:id="659" w:name="_Toc247"/>
      <w:bookmarkEnd w:id="658"/>
      <w:r>
        <w:rPr>
          <w:rtl w:val="true"/>
        </w:rPr>
        <w:t>اشارة</w:t>
      </w:r>
      <w:bookmarkEnd w:id="659"/>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الكبير الشّيخ أحمد آل كاشف الغطاء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1292-1344</w:t>
      </w:r>
      <w:r>
        <w:rPr>
          <w:rFonts w:eastAsia="Times New Roman" w:cs="Times New Roman" w:ascii="Times New Roman" w:hAnsi="Times New Roman"/>
          <w:color w:val="111111"/>
          <w:sz w:val="28"/>
          <w:szCs w:val="28"/>
          <w:rtl w:val="true"/>
          <w:lang w:val="en-US" w:bidi="en-US"/>
        </w:rPr>
        <w:t xml:space="preserve"> </w:t>
      </w:r>
      <w:r>
        <w:rPr>
          <w:rFonts w:ascii="Times New Roman" w:hAnsi="Times New Roman" w:eastAsia="Times New Roman" w:cs="Times New Roman"/>
          <w:color w:val="111111"/>
          <w:sz w:val="28"/>
          <w:sz w:val="28"/>
          <w:szCs w:val="28"/>
          <w:rtl w:val="true"/>
          <w:lang w:val="en-US" w:bidi="en-US"/>
        </w:rPr>
        <w:t>ﻫ</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تحقيق</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السّيّد عليّ البعّاج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عزه</w:t>
      </w:r>
      <w:r>
        <w:rPr>
          <w:rFonts w:eastAsia="Amiri" w:cs="Amiri" w:ascii="Amiri" w:hAnsi="Amiri"/>
          <w:color w:val="111111"/>
          <w:sz w:val="28"/>
          <w:szCs w:val="28"/>
          <w:rtl w:val="true"/>
          <w:lang w:bidi="ar-SA"/>
        </w:rPr>
        <w:t xml:space="preserve">) </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بسم الله الرّحمن الرّحيم وله الحمدذكر العلماء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w:t>
      </w:r>
      <w:r>
        <w:rPr>
          <w:rStyle w:val="FootnoteAnchor"/>
          <w:rtl w:val="true"/>
        </w:rPr>
        <w:footnoteReference w:id="613"/>
      </w:r>
      <w:r>
        <w:rPr>
          <w:rFonts w:ascii="Amiri" w:hAnsi="Amiri" w:eastAsia="Amiri" w:cs="Amiri"/>
          <w:color w:val="111111"/>
          <w:sz w:val="28"/>
          <w:sz w:val="28"/>
          <w:szCs w:val="28"/>
          <w:rtl w:val="true"/>
          <w:lang w:bidi="ar-SA"/>
        </w:rPr>
        <w:t>أنّ الأجزاء الواجبة في الصّلاة من الأركان وغيرها من حيث النّقصان السّهويّ المتعلّق بها على ثلاثة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يجب تداركه لا في الأثناء ولا بعد الفراغ، ولا يجب لأجله سجود السّهو، وهو جميع الأجزاء غير الرّكنيّة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عدا السّجدة الواحدة والتّشهّد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يذكرها إلّا بعد الدّخول في ركن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يجب تداركه في الأثناء من غير سجود سهو، وهو جميع الأجزاء من الأركان وغيرها إذا ذكرها قبل الدّخول في ركن</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يجب تداركه بعد الفراغ مع سجود السّهو، وهو خصوص السّجدة الواحدة والتّشهّد إذا لم يذكرهما إلّا بعد الدّخول في ركن</w:t>
      </w:r>
      <w:r>
        <w:rPr>
          <w:rFonts w:eastAsia="Amiri" w:cs="Amiri" w:ascii="Amiri" w:hAnsi="Amiri"/>
          <w:color w:val="111111"/>
          <w:sz w:val="28"/>
          <w:szCs w:val="28"/>
          <w:rtl w:val="true"/>
          <w:lang w:bidi="ar-SA"/>
        </w:rPr>
        <w:t xml:space="preserve">. </w:t>
      </w:r>
      <w:bookmarkStart w:id="660" w:name="pg9142_80889"/>
    </w:p>
    <w:p>
      <w:pPr>
        <w:pStyle w:val="BookText"/>
        <w:rPr/>
      </w:pPr>
      <w:bookmarkEnd w:id="660"/>
      <w:r>
        <w:rPr>
          <w:rFonts w:ascii="Amiri" w:hAnsi="Amiri" w:eastAsia="Amiri" w:cs="Amiri"/>
          <w:color w:val="111111"/>
          <w:sz w:val="28"/>
          <w:sz w:val="28"/>
          <w:szCs w:val="28"/>
          <w:rtl w:val="true"/>
          <w:lang w:bidi="ar-SA"/>
        </w:rPr>
        <w:t>وليس عندهم قسم رابع يجب فيه سجود السّهو من دون التّدارك إلّا على القول بوجوب سجود السّهو لكلّ نقصانٍ، لكن ينتفي حينئذٍ القسم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فالأقسام على كلّ حال ثلاثة، وقد مثّلوا للأوّل بمَن نسي القراءة كمَلاً، أو الجهر والإخفات في موضعهما، أو الحمد وحدها، أو السّورة وحدها، ولم يذكر إلّا بعد أن ركع، أو الذّكر في الرّكوع، أو الطّمأنينة فيه حتّى رفع رأسه، أو رفع رأسه، أو الطّمأنينة فيه حتّى سجد، أو الذّكر في السّجود، أو السّجود على الأعضاء السّبعة، أو الطّمأنينة فيه حتّى رفع رأسه، أو رفع رأسه من السّجود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إكماله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الطّمأنينة فيه حتّى سجد، أو الطّمأنينة فيه، أو الذّكر في السّجود الثّاني، أو السّجود على الأعضاء السّبعة، أو الطّمأنينة فيه حتّى رفع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ومثّلوا للثّاني بمَن نسي الحمد حتّى قرأ السّورة، أو السّورة حتّى قنتَ، أو الرّكوع وذكر قبل أن يسجد، أو السّجدتين، أو إحديهما، أو التّشهّد، وذكر قبل أن يركع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ومثّلوا للثّالث بمن ترك السّجدة الواحدة، أو التّشهّد، ولم يذكر حتّى ركع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وتفصيل هذه الجملة يتوقّف على بيان أمور</w:t>
      </w:r>
      <w:r>
        <w:rPr>
          <w:rFonts w:eastAsia="Amiri" w:cs="Amiri" w:ascii="Amiri" w:hAnsi="Amiri"/>
          <w:color w:val="111111"/>
          <w:sz w:val="28"/>
          <w:szCs w:val="28"/>
          <w:rtl w:val="true"/>
          <w:lang w:bidi="ar-SA"/>
        </w:rPr>
        <w:t>:</w:t>
      </w:r>
    </w:p>
    <w:p>
      <w:pPr>
        <w:pStyle w:val="Heading4"/>
        <w:numPr>
          <w:ilvl w:val="3"/>
          <w:numId w:val="1"/>
        </w:numPr>
        <w:rPr/>
      </w:pPr>
      <w:bookmarkStart w:id="661" w:name="__RefHeading___Toc3266534_2870459653"/>
      <w:bookmarkStart w:id="662" w:name="_Toc248"/>
      <w:bookmarkEnd w:id="661"/>
      <w:r>
        <w:rPr>
          <w:rtl w:val="true"/>
        </w:rPr>
        <w:t>بيان مقتضى القاعدة والأصل الثّانويّ</w:t>
      </w:r>
      <w:bookmarkEnd w:id="662"/>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تأسيس الأصل في ذلك لينفع في الموارد الخالية من النّصّ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 أنّ الجزء إمّا أن تثبت جزئيّته من دليل لفظيّ فيه إطلاق أو عموم لحالَي الذّكر والنّسيان، أو من دليل لبّيّ أو لفظيّ لا إطلاق فيه ولا عموم</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الأوّل فلا مجال للرّجوع فيه إلى الأصل العمليّ؛ لمكان ذلك العموم أو الإطلاق، بل لا بدّ من الرّجوع إليه، وهو قاضٍ ببطلان الصّلاة ولو بالنّقصان سهواً؛ </w:t>
      </w:r>
    </w:p>
    <w:p>
      <w:pPr>
        <w:pStyle w:val="BookText"/>
        <w:rPr/>
      </w:pPr>
      <w:r>
        <w:rPr>
          <w:rFonts w:ascii="Amiri" w:hAnsi="Amiri" w:eastAsia="Amiri" w:cs="Amiri"/>
          <w:color w:val="111111"/>
          <w:sz w:val="28"/>
          <w:sz w:val="28"/>
          <w:szCs w:val="28"/>
          <w:rtl w:val="true"/>
          <w:lang w:bidi="ar-SA"/>
        </w:rPr>
        <w:t>إذ هو مقتضى جزئيّته حتّى في ذلك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 فالقدر المتيقّن من دليله جزئيّتُه في حال الذّكر والالتفات، فبالنّسبة إلى حال السّهو والنّسيان لا بدّ من الرّجوع إلى الأصل العمليّ، كلٌّ على مذهبه من البراءة أو الاشتغال، أو مرجع الشّكّ إلى الشّكّ في جزئيّته في ذلك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مقتضى الأصل الأوّليّ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الأصل الثّانوي المستفاد من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w:t>
      </w:r>
      <w:r>
        <w:rPr>
          <w:rStyle w:val="FootnoteAnchor"/>
          <w:rtl w:val="true"/>
        </w:rPr>
        <w:footnoteReference w:id="614"/>
      </w:r>
      <w:r>
        <w:rPr>
          <w:rFonts w:ascii="IRNazanin" w:hAnsi="IRNazanin" w:eastAsia="IRNazanin"/>
          <w:color w:val="111111"/>
          <w:sz w:val="28"/>
          <w:sz w:val="28"/>
          <w:szCs w:val="28"/>
          <w:rtl w:val="true"/>
          <w:lang w:bidi="fa-IR"/>
        </w:rPr>
        <w:t xml:space="preserve">، وما أشبهه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حفظت الرّكوع والسّجود فقد تمّت صلاتك</w:t>
      </w:r>
      <w:r>
        <w:rPr>
          <w:rFonts w:eastAsia="IRNazanin" w:cs="IRNazanin"/>
          <w:color w:val="111111"/>
          <w:sz w:val="28"/>
          <w:szCs w:val="28"/>
          <w:rtl w:val="true"/>
          <w:lang w:bidi="fa-IR"/>
        </w:rPr>
        <w:t>)</w:t>
      </w:r>
      <w:r>
        <w:rPr>
          <w:rStyle w:val="FootnoteAnchor"/>
          <w:rtl w:val="true"/>
        </w:rPr>
        <w:footnoteReference w:id="615"/>
      </w:r>
      <w:r>
        <w:rPr>
          <w:rFonts w:ascii="Amiri" w:hAnsi="Amiri" w:eastAsia="Amiri" w:cs="Amiri"/>
          <w:color w:val="111111"/>
          <w:sz w:val="28"/>
          <w:sz w:val="28"/>
          <w:szCs w:val="28"/>
          <w:rtl w:val="true"/>
          <w:lang w:bidi="ar-SA"/>
        </w:rPr>
        <w:t>فهو سقوط ما عدا الرّكوع والسّجود من الأجزاء عن الجزئيّة في حال النّسيان إذا كان نسياناً لا يمكن فيه تلافي المنسيّ إلّا بإعادة الصّلاة، كأنْ لم يذكره إلّا بعد الفراغ من الصّلاة، أو بعد تحقّق محذورٍ لا يمكن معه تلافي ذلك المنسيّ من دون إعادة الصّلاة، كوقوع ركن منه بناءً على أنّ زيادته في مثل ذلك موجبة للبطلان</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إذا كان النّسيان ممّا يمكن معه تدارك المنسيّ في أثناء الصّلاة من دون إعادة فهو باقٍ على مقتضى القاعدة الأولى من الجزئيّة حتّى في ذلك الحال بالنّسبة إلى ما </w:t>
      </w:r>
      <w:bookmarkStart w:id="663" w:name="pg9142_80893"/>
    </w:p>
    <w:p>
      <w:pPr>
        <w:pStyle w:val="BookText"/>
        <w:rPr/>
      </w:pPr>
      <w:bookmarkEnd w:id="663"/>
      <w:r>
        <w:rPr>
          <w:rFonts w:ascii="Amiri" w:hAnsi="Amiri" w:eastAsia="Amiri" w:cs="Amiri"/>
          <w:color w:val="111111"/>
          <w:sz w:val="28"/>
          <w:sz w:val="28"/>
          <w:szCs w:val="28"/>
          <w:rtl w:val="true"/>
          <w:lang w:bidi="ar-SA"/>
        </w:rPr>
        <w:t>كان في دليله إطلاق أو 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ولازم ذلك كون الحكم الّذي ذكروه في القسم الثّاني موافقاً للقاعدة، فلا يحتاج فيه إلى دليل 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ذكروه في القسم الأوّل فكذلك أيضاً إن قلنا بأنّ زيادة الرّكن في مثل ذلك موجبة للبطلان، لكنّه إنّما يتمّ في الموارد الّتي يكون تدارك المنسيّ فيها مستلزماً لذلك، وهو غير مطّرد في جميع ما ذكروه من أمثلة القسم الأوّل، كما سيتّضح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إنّا لم نقل بذلك كما سلف في مسائل الزّيادة فالحقّ أنّ الحكم بذلك في ما كان دليل الجزئيّة مطلقاً أو عامّاً محتاجٌ إلى دليل خاصّ</w:t>
      </w:r>
      <w:r>
        <w:rPr>
          <w:rFonts w:eastAsia="Amiri" w:cs="Amiri" w:ascii="Amiri" w:hAnsi="Amiri"/>
          <w:color w:val="111111"/>
          <w:sz w:val="28"/>
          <w:szCs w:val="28"/>
          <w:rtl w:val="true"/>
          <w:lang w:bidi="ar-SA"/>
        </w:rPr>
        <w:t>.</w:t>
      </w:r>
    </w:p>
    <w:p>
      <w:pPr>
        <w:pStyle w:val="Heading4"/>
        <w:numPr>
          <w:ilvl w:val="3"/>
          <w:numId w:val="1"/>
        </w:numPr>
        <w:rPr/>
      </w:pPr>
      <w:bookmarkStart w:id="664" w:name="__RefHeading___Toc3266536_2870459653"/>
      <w:bookmarkStart w:id="665" w:name="_Toc249"/>
      <w:bookmarkEnd w:id="664"/>
      <w:r>
        <w:rPr>
          <w:rtl w:val="true"/>
        </w:rPr>
        <w:t>الاستدلال على تقسيم المشهور</w:t>
      </w:r>
      <w:bookmarkEnd w:id="665"/>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يخفى أنّهم ذكروا من جملة أمثلة القسم الأوّل الجهر والإخفات، ومقتضى تحديدهم أنّه لو ذكر الإخلال بهما قبل الدّخول في الرّكوع وجب التّدارك بإعادة القراءة، مع أنّه لا ينبغي الإشكال بعدم لزوم ذلك؛ فإنّ المستفاد من صحيحة زرارة الواردة فيمن جهر فيما لا ينبغي الجهر فيه أو أخفت فيما لا ينبغي الإخفات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 ذلك فعل متعمّداً فقد نقض صلاته، وإنْ فعل ذلك ناسياً أو جاهلاً أو لا يدري فليس عليه شيء، وقد تمّت صلاته</w:t>
      </w:r>
      <w:r>
        <w:rPr>
          <w:rFonts w:eastAsia="IRNazanin" w:cs="IRNazanin"/>
          <w:color w:val="111111"/>
          <w:sz w:val="28"/>
          <w:szCs w:val="28"/>
          <w:rtl w:val="true"/>
          <w:lang w:bidi="fa-IR"/>
        </w:rPr>
        <w:t>)</w:t>
      </w:r>
      <w:r>
        <w:rPr>
          <w:rStyle w:val="FootnoteAnchor"/>
          <w:rtl w:val="true"/>
        </w:rPr>
        <w:footnoteReference w:id="6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المدار على العمد </w:t>
      </w:r>
    </w:p>
    <w:p>
      <w:pPr>
        <w:pStyle w:val="BookText"/>
        <w:rPr/>
      </w:pPr>
      <w:r>
        <w:rPr>
          <w:rFonts w:ascii="Amiri" w:hAnsi="Amiri" w:eastAsia="Amiri" w:cs="Amiri"/>
          <w:color w:val="111111"/>
          <w:sz w:val="28"/>
          <w:sz w:val="28"/>
          <w:szCs w:val="28"/>
          <w:rtl w:val="true"/>
          <w:lang w:bidi="ar-SA"/>
        </w:rPr>
        <w:t>والنّسيان حتّى الإتيان، فلو خالف الوظيفة في القراءة ولم يذكر إلّا بعد الدّخول في القنوت لم تجب إعادة القراءة، بل لو خالف في الفاتحة ولم يذكر إلّا بعد الدّخول في السّورة لم تجب الإعادة كذلك، بل لو خالف في آيةٍ وذكر بعد الدّخول في الآية الأُخرى كان الحكم كذلك، بل لو خالف في كلمة وذكر بعد الدّخول في أُخرى كان الحكم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يعلم أنّه يلزم أن يزاد على الأقسام الّتي ذكروها قسم رابع، وهو ما لا يجب فيه التّدارك ولا سجود السّهو وإن لم يدخل في ركن بعده، بل وإن لم يدخل في فعل آخر بعده، وهو كلّ جزء أو شرط لجزء استفيد من دليله تقيّد جزئيّته، أو شرطيّته بالذّكر والالتفات إليه حال الإتيان به، وأنّه متى حصل النّسيان بالنّسبة إليه كان ساقطاً عن الجزئيّة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كبروياً لا إشكال فيه، وإنّما الإشكال في تعيين صغرياته ومصاديقه، وقد عرفت أنّه لا إشكال أنّ الجهر والإخفات من صغرياته، ولا يبعد أن تكون الطّمأنينة فيما تجب فيه من صغرياته أيضاً، فمن تركها فيما تجب فيه نسياناً لم تجب عليه إعادته ولو لم يدخل بعد في فعل آخر بعده، وسيجيء تفصيل ذلك</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ينبغي أن يزاد قسم خامس، وهو ما لا يجب فيه التّدارك ولا سجود السّهو، ولكنّه يوجب بطلان الصّلاة، وهو كلّ ركن تركه نسياناً ولم يذكر إلّا بعد </w:t>
      </w:r>
      <w:bookmarkStart w:id="666" w:name="pg9142_80897"/>
    </w:p>
    <w:p>
      <w:pPr>
        <w:pStyle w:val="BookText"/>
        <w:rPr/>
      </w:pPr>
      <w:bookmarkEnd w:id="666"/>
      <w:r>
        <w:rPr>
          <w:rFonts w:ascii="Amiri" w:hAnsi="Amiri" w:eastAsia="Amiri" w:cs="Amiri"/>
          <w:color w:val="111111"/>
          <w:sz w:val="28"/>
          <w:sz w:val="28"/>
          <w:szCs w:val="28"/>
          <w:rtl w:val="true"/>
          <w:lang w:bidi="ar-SA"/>
        </w:rPr>
        <w:t>الدّخول في ركن آخر، أو بعد الفراغ من الصّلاة وحصول المنافي، كما لا يخفى</w:t>
      </w:r>
      <w:r>
        <w:rPr>
          <w:rFonts w:eastAsia="Amiri" w:cs="Amiri" w:ascii="Amiri" w:hAnsi="Amiri"/>
          <w:color w:val="111111"/>
          <w:sz w:val="28"/>
          <w:szCs w:val="28"/>
          <w:rtl w:val="true"/>
          <w:lang w:bidi="ar-SA"/>
        </w:rPr>
        <w:t>.</w:t>
      </w:r>
    </w:p>
    <w:p>
      <w:pPr>
        <w:pStyle w:val="Heading4"/>
        <w:numPr>
          <w:ilvl w:val="3"/>
          <w:numId w:val="1"/>
        </w:numPr>
        <w:rPr/>
      </w:pPr>
      <w:bookmarkStart w:id="667" w:name="__RefHeading___Toc3266538_2870459653"/>
      <w:bookmarkStart w:id="668" w:name="_Toc250"/>
      <w:bookmarkEnd w:id="667"/>
      <w:r>
        <w:rPr>
          <w:rtl w:val="true"/>
        </w:rPr>
        <w:t>جريان حكم الرّكن على ما يتوقّف صدق الماهيّة عليه</w:t>
      </w:r>
      <w:bookmarkEnd w:id="668"/>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ينبغي الإشكال في أنّ ما كان من شرائط الأركان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كالرّكوع والسّجود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بحيث يتوقّف عليه صدق ماهيّة ذلك الشّيء لغةً وعرفاً، يجري عليه حكم الرّكن، فالإخلال به سهواً موجب لبطلان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لا ينبغي الإشكال في أنّ ما كان واجباً مستقلَّاً في الرّكن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كالذّكر الواجب في الرّكوع أو السّجود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يجري عليه ذلك الحكم، وإنّما الإشكال في باقي الشّرائط الّتي ليست داخلة في أحد القسمين، كالطّمأنينة في الرّكوع والسّجود بناءً على عدم مدخليّتها في ماهيّتهما، وكالوصول إلى حدّ الرّاكع في الرّكوع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إلى حدّ تصل يداه إلى ركبتيه، فإنّه لا إشكال في أنّه من الواجبات الشّرعيّة فيه، لا من محقِّقات ماهيّته لغةً وعرفاً؛ فإنّه لو استقرّ انحناؤه إلى ما دون ذلك تحقّق منه الرّكوع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وكالسّجود على المساجد السّبعة بالنّسبة إلى ما عدا الجبهة في السّجود، وكالسّجود على ما يصحّ عليه السّجود من الأرض أو نباتها من غير المأكول أو الملبوس فيه، وكاشتراط الطّهارة في موضع الجبهة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فهل هذه الأمور كنفس الرّكوع والسّجود في أنّ الإخلال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سهواً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يوجب بطلان الصّلاة وإن تحقّق أصل الرّكوع والسّجود، أم لا؟</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وهل يجري على ما فقدها، أو فقد بعضها سهواً، آثار الرّكن من فوات المحلّ بالدّخول فيه؟ وهكذا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يبعد أن يدّعى أنّ الظّاهر من كلماتهم</w:t>
      </w:r>
      <w:r>
        <w:rPr>
          <w:rStyle w:val="FootnoteAnchor"/>
          <w:rtl w:val="true"/>
        </w:rPr>
        <w:footnoteReference w:id="617"/>
      </w:r>
      <w:r>
        <w:rPr>
          <w:rFonts w:ascii="Amiri" w:hAnsi="Amiri" w:eastAsia="Amiri" w:cs="Amiri"/>
          <w:color w:val="111111"/>
          <w:sz w:val="28"/>
          <w:sz w:val="28"/>
          <w:szCs w:val="28"/>
          <w:rtl w:val="true"/>
          <w:lang w:bidi="ar-SA"/>
        </w:rPr>
        <w:t>عدم جريان أحكام الرّكن عليها عدا الوصول إلى حدّ الرّاكع؛ فإنّهم يجرون عليه ذلك</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كان دليل شرطيّته مهملاً بحيث لا يستفاد منه إلّا الشّرطيّة في حال الذّكر والالتفات فلا يجري عليه ذلك الحكم، وما كان دليل شرطيّته مطلقاً جرى عليه ذلك؛ فإنّ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بعض الأخبار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حفظت الرّكوع والسّجود فقد تمّت صلاتك</w:t>
      </w:r>
      <w:r>
        <w:rPr>
          <w:rFonts w:eastAsia="IRNazanin" w:cs="IRNazanin"/>
          <w:color w:val="111111"/>
          <w:sz w:val="28"/>
          <w:szCs w:val="28"/>
          <w:rtl w:val="true"/>
          <w:lang w:bidi="fa-IR"/>
        </w:rPr>
        <w:t>)</w:t>
      </w:r>
      <w:r>
        <w:rPr>
          <w:rStyle w:val="FootnoteAnchor"/>
          <w:rtl w:val="true"/>
        </w:rPr>
        <w:footnoteReference w:id="619"/>
      </w:r>
      <w:r>
        <w:rPr>
          <w:rFonts w:ascii="Amiri" w:hAnsi="Amiri" w:eastAsia="Amiri" w:cs="Amiri"/>
          <w:color w:val="111111"/>
          <w:sz w:val="28"/>
          <w:sz w:val="28"/>
          <w:szCs w:val="28"/>
          <w:rtl w:val="true"/>
          <w:lang w:bidi="ar-SA"/>
        </w:rPr>
        <w:t>، وكذا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تعاد الصلاة إلّا من خمس</w:t>
      </w:r>
      <w:r>
        <w:rPr>
          <w:rFonts w:eastAsia="Amiri" w:cs="Amiri" w:ascii="Amiri" w:hAnsi="Amiri"/>
          <w:color w:val="111111"/>
          <w:sz w:val="28"/>
          <w:szCs w:val="28"/>
          <w:rtl w:val="true"/>
          <w:lang w:bidi="ar-SA"/>
        </w:rPr>
        <w:t>)</w:t>
      </w:r>
      <w:r>
        <w:rPr>
          <w:rStyle w:val="FootnoteAnchor"/>
          <w:rtl w:val="true"/>
        </w:rPr>
        <w:footnoteReference w:id="620"/>
      </w:r>
      <w:r>
        <w:rPr>
          <w:rFonts w:ascii="Amiri" w:hAnsi="Amiri" w:eastAsia="Amiri" w:cs="Amiri"/>
          <w:color w:val="111111"/>
          <w:sz w:val="28"/>
          <w:sz w:val="28"/>
          <w:szCs w:val="28"/>
          <w:rtl w:val="true"/>
          <w:lang w:bidi="ar-SA"/>
        </w:rPr>
        <w:t>، وعدّ الرّكوع والسّجود من جملة الخمس يراد بذلك السّجود والرّكوع الصّحيحان شرعاً</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يبعد دعوى كون ما عدا الوصول إلى حدّ الرّاكع من قبيل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ما كان دليل شرطيّته مهملاً بحيث لا يستفاد منه إلّا الشّرطيّة في حال الذّكر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وأمّا هو </w:t>
      </w:r>
      <w:bookmarkStart w:id="669" w:name="pg9142_80901"/>
    </w:p>
    <w:p>
      <w:pPr>
        <w:pStyle w:val="BookText"/>
        <w:rPr/>
      </w:pPr>
      <w:bookmarkEnd w:id="669"/>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أعني الوصول إلى حدّ الرّاكع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وتفصيل ذلك محتاج إلى مزيد تتبّع وتأمّل</w:t>
      </w:r>
      <w:r>
        <w:rPr>
          <w:rFonts w:eastAsia="Amiri" w:cs="Amiri" w:ascii="Amiri" w:hAnsi="Amiri"/>
          <w:color w:val="111111"/>
          <w:sz w:val="28"/>
          <w:szCs w:val="28"/>
          <w:rtl w:val="true"/>
          <w:lang w:bidi="ar-SA"/>
        </w:rPr>
        <w:t>.</w:t>
      </w:r>
    </w:p>
    <w:p>
      <w:pPr>
        <w:pStyle w:val="Heading4"/>
        <w:numPr>
          <w:ilvl w:val="3"/>
          <w:numId w:val="1"/>
        </w:numPr>
        <w:rPr/>
      </w:pPr>
      <w:bookmarkStart w:id="670" w:name="__RefHeading___Toc3266540_2870459653"/>
      <w:bookmarkStart w:id="671" w:name="_Toc251"/>
      <w:bookmarkEnd w:id="670"/>
      <w:r>
        <w:rPr>
          <w:rtl w:val="true"/>
        </w:rPr>
        <w:t>الإخلال بالسّجود على الجبهة نسياناً</w:t>
      </w:r>
      <w:bookmarkEnd w:id="671"/>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أنّ اعتبار المساجد في السّجود ما عدا مسجد الجبهة ليس لدخول ذلك في ماهيّة السّجود لغةً وعرفاً، بل هو واجب شرعيّ زائد على ما تتحقّق به الحقيقة والماهيّة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مسجد الجبهة فهل هو كذلك أيضاً، فلو أخلّ به نسياناً بأن سجد على شيء من مقدّم رأسه، أو على أحد الجبينين، أو على أحد خدّيه، لم يبطل السجود، أو أنّه من مقوّمات مفهومه، فنسيانه في السّجدتين معاً يوجب فوات الرّكن، وفي الواحدة فوات الواحدة؟</w:t>
      </w:r>
    </w:p>
    <w:p>
      <w:pPr>
        <w:pStyle w:val="BookText"/>
        <w:rPr/>
      </w:pPr>
      <w:r>
        <w:rPr>
          <w:rFonts w:ascii="Amiri" w:hAnsi="Amiri" w:eastAsia="Amiri" w:cs="Amiri"/>
          <w:color w:val="111111"/>
          <w:sz w:val="28"/>
          <w:sz w:val="28"/>
          <w:szCs w:val="28"/>
          <w:rtl w:val="true"/>
          <w:lang w:bidi="ar-SA"/>
        </w:rPr>
        <w:t>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أقواهما الأوّل، ويشهد له وجوب السّجود على غير الجبهة عند تعذّر السّجود عليها بقاعدة الميسور، ولو لم يكن من أفراد السّجود لم توجبه القاعدة المذكورة، فلا فرق بين الجبهة وغيرها من المساجد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بينهما فرقٌ في جهة أُخرى، وهو تعدّد السّجود بتعدّد رفعها ووضعها دون ما عداها، ولكنّ ذلك لا يقتضي مدخليّتها في تحقّق مفهومه</w:t>
      </w:r>
      <w:r>
        <w:rPr>
          <w:rFonts w:eastAsia="Amiri" w:cs="Amiri" w:ascii="Amiri" w:hAnsi="Amiri"/>
          <w:color w:val="111111"/>
          <w:sz w:val="28"/>
          <w:szCs w:val="28"/>
          <w:rtl w:val="true"/>
          <w:lang w:bidi="ar-SA"/>
        </w:rPr>
        <w:t>.</w:t>
      </w:r>
    </w:p>
    <w:p>
      <w:pPr>
        <w:pStyle w:val="Heading4"/>
        <w:numPr>
          <w:ilvl w:val="3"/>
          <w:numId w:val="1"/>
        </w:numPr>
        <w:rPr/>
      </w:pPr>
      <w:bookmarkStart w:id="672" w:name="__RefHeading___Toc3266542_2870459653"/>
      <w:bookmarkStart w:id="673" w:name="_Toc252"/>
      <w:bookmarkEnd w:id="672"/>
      <w:r>
        <w:rPr>
          <w:rtl w:val="true"/>
        </w:rPr>
        <w:t>فوات محلّ الواجب الضّمنيّ</w:t>
      </w:r>
      <w:bookmarkEnd w:id="673"/>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أنّه إذا وجب شيء في شيء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كالذّكر الواجب في الرّكوع أو السّجود بحيث كان واجباً مستقلَّاً محلّه عند ذلك الواجب الآخر، لا أنّه شرط له </w:t>
      </w:r>
      <w:r>
        <w:rPr>
          <w:rFonts w:eastAsia="Amiri" w:cs="Amiri" w:ascii="Amiri" w:hAnsi="Amiri"/>
          <w:color w:val="111111"/>
          <w:sz w:val="28"/>
          <w:szCs w:val="28"/>
          <w:rtl w:val="true"/>
          <w:lang w:bidi="ar-SA"/>
        </w:rPr>
        <w:t xml:space="preserve">- </w:t>
      </w:r>
      <w:bookmarkStart w:id="674" w:name="pg9142_80903"/>
    </w:p>
    <w:p>
      <w:pPr>
        <w:pStyle w:val="BookText"/>
        <w:rPr/>
      </w:pPr>
      <w:bookmarkEnd w:id="674"/>
      <w:r>
        <w:rPr>
          <w:rFonts w:ascii="Amiri" w:hAnsi="Amiri" w:eastAsia="Amiri" w:cs="Amiri"/>
          <w:color w:val="111111"/>
          <w:sz w:val="28"/>
          <w:sz w:val="28"/>
          <w:szCs w:val="28"/>
          <w:rtl w:val="true"/>
          <w:lang w:bidi="ar-SA"/>
        </w:rPr>
        <w:t>فحكمه أنّه إذا أتى بذلك الشّيء دون ذلك الواجب المستقلّ فإنّه يصحّ، ولا يبقى محلّ لتدارك ذلك الواجب، فلو ركع ونسي الذّكر في الرّكوع حتّى رفع الرّأس منه فات محلّ تداركه؛ إذ لا يمكن إتيانه في غير الرّكوع، ولا يمكن إعادة الرّكوع؛ لصحّته وسقوط الأمر المتعلّق به بعد فرض أنّ الذّكر فيه لم يكن من شرائط صحّته، وهكذا كلّ ما كان من هذا القبيل</w:t>
      </w:r>
      <w:r>
        <w:rPr>
          <w:rFonts w:eastAsia="Amiri" w:cs="Amiri" w:ascii="Amiri" w:hAnsi="Amiri"/>
          <w:color w:val="111111"/>
          <w:sz w:val="28"/>
          <w:szCs w:val="28"/>
          <w:rtl w:val="true"/>
          <w:lang w:bidi="ar-SA"/>
        </w:rPr>
        <w:t>.</w:t>
      </w:r>
    </w:p>
    <w:p>
      <w:pPr>
        <w:pStyle w:val="Heading4"/>
        <w:numPr>
          <w:ilvl w:val="3"/>
          <w:numId w:val="1"/>
        </w:numPr>
        <w:rPr/>
      </w:pPr>
      <w:bookmarkStart w:id="675" w:name="__RefHeading___Toc3266544_2870459653"/>
      <w:bookmarkStart w:id="676" w:name="_Toc253"/>
      <w:bookmarkEnd w:id="675"/>
      <w:r>
        <w:rPr>
          <w:rtl w:val="true"/>
        </w:rPr>
        <w:t>الإتيان بالفائت من دون زيادة ركن</w:t>
      </w:r>
      <w:bookmarkEnd w:id="676"/>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أنّه إذا نسي واجباً من الواجبات، ولم يذكره إلّا بعد الدّخول في ركن، بحيث إنّ تداركه مع المحافظة على التّرتيب يلزم زيادة ركن، يمكن أن يقال بعدم وجوب التّدارك؛ حذراً من زيادة الرّكن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الإتيان بالفائت في غير محلّه من دون إعادة الرّكن فهو مفوّت للترتيب المعتبر في الأجزاء</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إذا ذكره بعد الدّخول في الرّكن كالسّجود ولكن ذكر قبل الدّخول في السّجدة الثّانية بحيث إن تداركه لا يلزم إلّا زيادة سجدة واحدة، فمقتضى القاعدة وجوب تداركه حيث لا يلزم إلّا زيادة سجدة واحدة، وهي غير مبطلة، ولذا كان الأقوى في المسألة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نسيان الرّكوع والذّكر بعد الدّخول في السّجدة الواحدة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وجوبُ تدارك الرّكوع، ثمّ الإتيان بما بعده، خلافاً لما يظهر من كلمات المشهور من الحكم بالبطلان، ووجوب إعادة الصّلاة في هذه الصّورة</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 xml:space="preserve">. </w:t>
      </w:r>
      <w:bookmarkStart w:id="677" w:name="pg9142_80905"/>
    </w:p>
    <w:p>
      <w:pPr>
        <w:pStyle w:val="Heading4"/>
        <w:numPr>
          <w:ilvl w:val="3"/>
          <w:numId w:val="1"/>
        </w:numPr>
        <w:rPr/>
      </w:pPr>
      <w:bookmarkStart w:id="678" w:name="__RefHeading___Toc3266546_2870459653"/>
      <w:bookmarkStart w:id="679" w:name="_Toc254"/>
      <w:bookmarkEnd w:id="677"/>
      <w:bookmarkEnd w:id="678"/>
      <w:r>
        <w:rPr>
          <w:rtl w:val="true"/>
        </w:rPr>
        <w:t>صور القسم الأوّل والمناط فيه</w:t>
      </w:r>
      <w:bookmarkEnd w:id="679"/>
    </w:p>
    <w:p>
      <w:pPr>
        <w:pStyle w:val="Heading5"/>
        <w:numPr>
          <w:ilvl w:val="4"/>
          <w:numId w:val="1"/>
        </w:numPr>
        <w:rPr/>
      </w:pPr>
      <w:bookmarkStart w:id="680" w:name="__RefHeading___Toc3266548_2870459653"/>
      <w:bookmarkStart w:id="681" w:name="_Toc255"/>
      <w:bookmarkEnd w:id="680"/>
      <w:r>
        <w:rPr>
          <w:rtl w:val="true"/>
        </w:rPr>
        <w:t>اشارة</w:t>
      </w:r>
      <w:bookmarkEnd w:id="681"/>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 إذا عرفت ما ذكرناه وسطّرناه في ضمن هذه الأمور تعرف مناط الحكم فيما ذكروه بالنّسبة إلى القسم الأوّل الّذي اشتملت عليه تلك الجملة المزبورة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تفصيل الحال فاستمع لما يتلى عليك، فنقول</w:t>
      </w:r>
      <w:r>
        <w:rPr>
          <w:rFonts w:eastAsia="Amiri" w:cs="Amiri" w:ascii="Amiri" w:hAnsi="Amiri"/>
          <w:color w:val="111111"/>
          <w:sz w:val="28"/>
          <w:szCs w:val="28"/>
          <w:rtl w:val="true"/>
          <w:lang w:bidi="ar-SA"/>
        </w:rPr>
        <w:t>:</w:t>
      </w:r>
    </w:p>
    <w:p>
      <w:pPr>
        <w:pStyle w:val="Heading5"/>
        <w:numPr>
          <w:ilvl w:val="4"/>
          <w:numId w:val="1"/>
        </w:numPr>
        <w:rPr/>
      </w:pPr>
      <w:bookmarkStart w:id="682" w:name="__RefHeading___Toc3266550_2870459653"/>
      <w:bookmarkStart w:id="683" w:name="_Toc256"/>
      <w:bookmarkEnd w:id="682"/>
      <w:r>
        <w:rPr>
          <w:rtl w:val="true"/>
        </w:rPr>
        <w:t>القسم الأوّل</w:t>
      </w:r>
      <w:r>
        <w:rPr>
          <w:rtl w:val="true"/>
        </w:rPr>
        <w:t xml:space="preserve">: </w:t>
      </w:r>
      <w:r>
        <w:rPr>
          <w:rtl w:val="true"/>
        </w:rPr>
        <w:t>ما لا يجب تداركه ولو في الأثناء، ولا سجدتا السّهو</w:t>
      </w:r>
      <w:bookmarkEnd w:id="683"/>
    </w:p>
    <w:p>
      <w:pPr>
        <w:pStyle w:val="Heading6"/>
        <w:numPr>
          <w:ilvl w:val="5"/>
          <w:numId w:val="1"/>
        </w:numPr>
        <w:rPr/>
      </w:pPr>
      <w:bookmarkStart w:id="684" w:name="__RefHeading___Toc3266552_2870459653"/>
      <w:bookmarkStart w:id="685" w:name="_Toc257"/>
      <w:bookmarkEnd w:id="684"/>
      <w:r>
        <w:rPr>
          <w:rtl w:val="true"/>
        </w:rPr>
        <w:t>اشارة</w:t>
      </w:r>
      <w:bookmarkEnd w:id="6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نسيان القراءة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نسي القراءة كلَّاً أو بعضاً ولم يذكر إلّا بعد أن ركع فلا إشكال في جريان الحكم المزبور عليه من صحّة الصّلاة، وعدم وجوب التّلافي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والعمدة في ذلك الأخبار الخاصّة الواردة في ذلك، كخبر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نسي أُمّ القرآن؟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كان لم يركع فليعد أُمّ القرآن</w:t>
      </w:r>
      <w:r>
        <w:rPr>
          <w:rFonts w:eastAsia="IRNazanin" w:cs="IRNazanin"/>
          <w:color w:val="111111"/>
          <w:sz w:val="28"/>
          <w:szCs w:val="28"/>
          <w:rtl w:val="true"/>
          <w:lang w:bidi="fa-IR"/>
        </w:rPr>
        <w:t>)</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وموثّقة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يقوم في الصّلاة فينسى فاتحة الكتاب؟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فليقل أستعيذ بالله من الشّيطان الرّجيم، إنّ الله هو السّميع العليم، ثمّ ليقرأها </w:t>
      </w:r>
      <w:bookmarkStart w:id="686" w:name="pg9142_80907"/>
    </w:p>
    <w:p>
      <w:pPr>
        <w:pStyle w:val="BookText"/>
        <w:rPr/>
      </w:pPr>
      <w:bookmarkEnd w:id="686"/>
      <w:r>
        <w:rPr>
          <w:rFonts w:ascii="Amiri" w:hAnsi="Amiri" w:eastAsia="Amiri" w:cs="Amiri"/>
          <w:color w:val="111111"/>
          <w:sz w:val="28"/>
          <w:sz w:val="28"/>
          <w:szCs w:val="28"/>
          <w:rtl w:val="true"/>
          <w:lang w:bidi="ar-SA"/>
        </w:rPr>
        <w:t>ما دام لم يركع، فإنّه لا صلاة له حتّى يبدأ بها في جهر أو إخفات، فإنّه إذا ركع أجزأه إن شاء الله تعالى</w:t>
      </w:r>
      <w:r>
        <w:rPr>
          <w:rFonts w:eastAsia="Amiri" w:cs="Amiri" w:ascii="Amiri" w:hAnsi="Amiri"/>
          <w:color w:val="111111"/>
          <w:sz w:val="28"/>
          <w:szCs w:val="28"/>
          <w:rtl w:val="true"/>
          <w:lang w:bidi="ar-SA"/>
        </w:rPr>
        <w:t>)</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ويستفاد الحكم منهما بالنّسبة إلى السّورة وأبعاض كلّ منهما بالفحوى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تحقّق الملاك الآخر في ذلك، وهو لزوم زيادة الرّكن لو التُزم بالتّلافي في ذلك</w:t>
      </w:r>
      <w:r>
        <w:rPr>
          <w:rFonts w:eastAsia="Amiri" w:cs="Amiri" w:ascii="Amiri" w:hAnsi="Amiri"/>
          <w:color w:val="111111"/>
          <w:sz w:val="28"/>
          <w:szCs w:val="28"/>
          <w:rtl w:val="true"/>
          <w:lang w:bidi="ar-SA"/>
        </w:rPr>
        <w:t>.</w:t>
      </w:r>
    </w:p>
    <w:p>
      <w:pPr>
        <w:pStyle w:val="Heading6"/>
        <w:numPr>
          <w:ilvl w:val="5"/>
          <w:numId w:val="1"/>
        </w:numPr>
        <w:rPr/>
      </w:pPr>
      <w:bookmarkStart w:id="687" w:name="__RefHeading___Toc3266554_2870459653"/>
      <w:bookmarkStart w:id="688" w:name="_Toc258"/>
      <w:bookmarkEnd w:id="687"/>
      <w:r>
        <w:rPr>
          <w:rtl w:val="true"/>
        </w:rPr>
        <w:t>نسيان الذّكر في الرّكوع</w:t>
      </w:r>
      <w:bookmarkEnd w:id="688"/>
    </w:p>
    <w:p>
      <w:pPr>
        <w:pStyle w:val="BookText"/>
        <w:rPr/>
      </w:pPr>
      <w:r>
        <w:rPr>
          <w:rFonts w:ascii="Amiri" w:hAnsi="Amiri" w:eastAsia="Amiri" w:cs="Amiri"/>
          <w:color w:val="111111"/>
          <w:sz w:val="28"/>
          <w:sz w:val="28"/>
          <w:szCs w:val="28"/>
          <w:rtl w:val="true"/>
          <w:lang w:bidi="ar-SA"/>
        </w:rPr>
        <w:t>وأمّا الذّكر في الرّكوع فإن نسيه حتّى رفع رأسه فكذلك أيضاً، فإنّه لو حُكم فيه بلزوم التّدارك يلزم زيادة الرّكوع، مضافاً إلى فوات المحلّ من حيث إنّ الرّكوع قد وقع صحيحاً؛ لأنّ الذّكر واجب مستقلّ فيه، والمفروض أنّه لا يمكن الإتيان به إلّا في الرّكوع، وبعد سقوط أمر الرّكوع لا يمكن إعادته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مضافاً إلى بعض الأخبار الخاصّة، كخبر القدّاح عن جعفر، عن أبيه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عن رجل ركع ولم يسبّح ناسياً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 صلاته</w:t>
      </w:r>
      <w:r>
        <w:rPr>
          <w:rFonts w:eastAsia="IRNazanin" w:cs="IRNazanin"/>
          <w:color w:val="111111"/>
          <w:sz w:val="28"/>
          <w:szCs w:val="28"/>
          <w:rtl w:val="true"/>
          <w:lang w:bidi="fa-IR"/>
        </w:rPr>
        <w:t>)</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وخبر عليّ بن يقطين،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الأوّل عن رجل نسي تسبيحة في </w:t>
      </w:r>
      <w:bookmarkStart w:id="689" w:name="pg9142_80909"/>
    </w:p>
    <w:p>
      <w:pPr>
        <w:pStyle w:val="BookText"/>
        <w:rPr/>
      </w:pPr>
      <w:bookmarkEnd w:id="689"/>
      <w:r>
        <w:rPr>
          <w:rFonts w:ascii="Amiri" w:hAnsi="Amiri" w:eastAsia="Amiri" w:cs="Amiri"/>
          <w:color w:val="111111"/>
          <w:sz w:val="28"/>
          <w:sz w:val="28"/>
          <w:szCs w:val="28"/>
          <w:rtl w:val="true"/>
          <w:lang w:bidi="ar-SA"/>
        </w:rPr>
        <w:t>ركوعه وسجوده؟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بذلك</w:t>
      </w:r>
      <w:r>
        <w:rPr>
          <w:rFonts w:eastAsia="Amiri" w:cs="Amiri" w:ascii="Amiri" w:hAnsi="Amiri"/>
          <w:color w:val="111111"/>
          <w:sz w:val="28"/>
          <w:szCs w:val="28"/>
          <w:rtl w:val="true"/>
          <w:lang w:bidi="ar-SA"/>
        </w:rPr>
        <w:t>)</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90" w:name="__RefHeading___Toc3266556_2870459653"/>
      <w:bookmarkStart w:id="691" w:name="_Toc259"/>
      <w:bookmarkEnd w:id="690"/>
      <w:r>
        <w:rPr>
          <w:rtl w:val="true"/>
        </w:rPr>
        <w:t>فوات الطّمأنينة في الرّكوع</w:t>
      </w:r>
      <w:bookmarkEnd w:id="691"/>
    </w:p>
    <w:p>
      <w:pPr>
        <w:pStyle w:val="BookText"/>
        <w:rPr/>
      </w:pPr>
      <w:r>
        <w:rPr>
          <w:rFonts w:ascii="Amiri" w:hAnsi="Amiri" w:eastAsia="Amiri" w:cs="Amiri"/>
          <w:color w:val="111111"/>
          <w:sz w:val="28"/>
          <w:sz w:val="28"/>
          <w:szCs w:val="28"/>
          <w:rtl w:val="true"/>
          <w:lang w:bidi="ar-SA"/>
        </w:rPr>
        <w:t xml:space="preserve">وأمّا الطّمأنينة في الرّكوع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فبناءً على ما هو الحقّ من عدم كونها مقوّمة لصدق الرّكوع لغة وعرفاً، وأنّها ليست واجباً مستقلَّاً فيه، بل هي شرط لصحّته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فينحصر السّبب في عدم وجوب تداركها بلزوم زيادة الرّكن، وبأنّ دليل شرطيّتها مهمل، والقدر المتيقّن منه هو حال التّذكّر</w:t>
      </w:r>
      <w:r>
        <w:rPr>
          <w:rFonts w:eastAsia="Amiri" w:cs="Amiri" w:ascii="Amiri" w:hAnsi="Amiri"/>
          <w:color w:val="111111"/>
          <w:sz w:val="28"/>
          <w:szCs w:val="28"/>
          <w:rtl w:val="true"/>
          <w:lang w:bidi="ar-SA"/>
        </w:rPr>
        <w:t>.</w:t>
      </w:r>
    </w:p>
    <w:p>
      <w:pPr>
        <w:pStyle w:val="Heading6"/>
        <w:numPr>
          <w:ilvl w:val="5"/>
          <w:numId w:val="1"/>
        </w:numPr>
        <w:rPr/>
      </w:pPr>
      <w:bookmarkStart w:id="692" w:name="__RefHeading___Toc3266558_2870459653"/>
      <w:bookmarkStart w:id="693" w:name="_Toc260"/>
      <w:bookmarkEnd w:id="692"/>
      <w:r>
        <w:rPr>
          <w:rtl w:val="true"/>
        </w:rPr>
        <w:t>نسيان رفع الرأس من الرّكوع</w:t>
      </w:r>
      <w:bookmarkEnd w:id="693"/>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رفع الرّأس من الرّكوع والانتصاب قائماً بعده فإن نسيه ولم يذكر حتّى سجد السّجدة الثّانية فالوجه في عدم تداركه لزوم زيادة الرّكن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ذكر قبل أن يسجد السّجدة الثّانية ولو بعد فراغه من السّجدة الأولى فيشكل عدم وجوب تداركه؛ وذلك لأنّه لا يلزم إلّا زيادة سجدة واحدة، ولا تعاد الصّلاة من زيادة سجدة، وليس دليله مهملاً حتّى يؤخذ بالمتيقّن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حال التّذكر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من أدلّته خبر أبي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رفعت رأسك من الرّكوع فأقم صلبك، فإنّه لا صلاة لمن لا يقيم صلبه</w:t>
      </w:r>
      <w:r>
        <w:rPr>
          <w:rFonts w:eastAsia="Amiri" w:cs="Amiri" w:ascii="Amiri" w:hAnsi="Amiri"/>
          <w:color w:val="111111"/>
          <w:sz w:val="28"/>
          <w:szCs w:val="28"/>
          <w:rtl w:val="true"/>
          <w:lang w:bidi="ar-SA"/>
        </w:rPr>
        <w:t>)</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 xml:space="preserve">. </w:t>
      </w:r>
      <w:bookmarkStart w:id="694" w:name="pg9142_80911"/>
    </w:p>
    <w:p>
      <w:pPr>
        <w:pStyle w:val="BookText"/>
        <w:rPr/>
      </w:pPr>
      <w:bookmarkEnd w:id="694"/>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قصور في إطلاقه، كما أنّه لم يكن وجوبه مقيّداً في ضمن شيء آخر سقط أمره حتّى لا يمكن تلافيه؛ إذ لا معنى لاحتمال كونه من متمّمات الرّكوع ولواحقه، بحيث يكون الواجب هو رفع الرّأس المتّصل بالرّكوع؛ إذ الحقّ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واجب مستقلّ، أو مقدّمة للسجود بمعنى وجوب كون الهوي إلى السّجود عن قيام اعتدل واطمأنّ فيه، إلّا أنّه مع ذلك كان الحكم بعدم وجوب التّلافي فيه من المسلّمات عندهم، بحيث لم يستشكل فيه أحدٌ منهم، فإن تمّ الإجماع على ذلك فهو، وإلّا كان للمناقشة فيه مجالٌ، وطريق الاحتياط غير خفيّ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الطّمأنينة في رفع الرّأس فلا طريق للحكم بعدم وجوب التّدارك فيها إلّا دعوى قصور دليلها عن الشّرطيّة المطلقة، وإلّا فلا يلزم زيادة ركن من تداركها، وليست واجباً مستقلَّاً مقيّداً بواجب آخر سقط أمره حتّى لا يمكن تداركها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يعلم الكلام في باقي الأمور الّتي جعلوها من أمثلة القسم الأوّل، كواجبات السّجدة الأولى أو الثّانية من الذّكر، والطّمأنينة، والسّجود على الأعضاء السّبعة، وكذا الواجب بين السّجدتين من إكمال رفع الرّأس من السّجدة الأولى، والطّمأنينة فيه، والجلسة الواجبة بينهما؛ فإنّ الذّكر في السّجود كذكر الرّكوع، والطّمأنينة فيه كالطّمأنينة فيه</w:t>
      </w:r>
      <w:r>
        <w:rPr>
          <w:rFonts w:eastAsia="Amiri" w:cs="Amiri" w:ascii="Amiri" w:hAnsi="Amiri"/>
          <w:color w:val="111111"/>
          <w:sz w:val="28"/>
          <w:szCs w:val="28"/>
          <w:rtl w:val="true"/>
          <w:lang w:bidi="ar-SA"/>
        </w:rPr>
        <w:t>.</w:t>
      </w:r>
    </w:p>
    <w:p>
      <w:pPr>
        <w:pStyle w:val="Heading6"/>
        <w:numPr>
          <w:ilvl w:val="5"/>
          <w:numId w:val="1"/>
        </w:numPr>
        <w:rPr/>
      </w:pPr>
      <w:bookmarkStart w:id="695" w:name="__RefHeading___Toc3266560_2870459653"/>
      <w:bookmarkStart w:id="696" w:name="_Toc261"/>
      <w:bookmarkEnd w:id="695"/>
      <w:r>
        <w:rPr>
          <w:rtl w:val="true"/>
        </w:rPr>
        <w:t>فوات السّجود على الأعضاء السّبعة</w:t>
      </w:r>
      <w:bookmarkEnd w:id="696"/>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السّجود على الأعضاء السّبعة فالحكم فيه بعدم وجوب التّدارك لا يخلو </w:t>
      </w:r>
      <w:bookmarkStart w:id="697" w:name="pg9142_80913"/>
    </w:p>
    <w:p>
      <w:pPr>
        <w:pStyle w:val="BookText"/>
        <w:rPr/>
      </w:pPr>
      <w:bookmarkEnd w:id="697"/>
      <w:r>
        <w:rPr>
          <w:rFonts w:ascii="Amiri" w:hAnsi="Amiri" w:eastAsia="Amiri" w:cs="Amiri"/>
          <w:color w:val="111111"/>
          <w:sz w:val="28"/>
          <w:sz w:val="28"/>
          <w:szCs w:val="28"/>
          <w:rtl w:val="true"/>
          <w:lang w:bidi="ar-SA"/>
        </w:rPr>
        <w:t>عن إشكال؛ فإنّ أدلّة وجوبه لا إهمال فيها، وليس هناك ملاك آخر للحكم بعدم الوجوب؛ فإنّه شرط للسجود، لا واجب مستقلّ فيه ليفوت محلّ تداركه، ولا يلزم زيادة ركن من تلافيه</w:t>
      </w:r>
      <w:r>
        <w:rPr>
          <w:rFonts w:eastAsia="Amiri" w:cs="Amiri" w:ascii="Amiri" w:hAnsi="Amiri"/>
          <w:color w:val="111111"/>
          <w:sz w:val="28"/>
          <w:szCs w:val="28"/>
          <w:rtl w:val="true"/>
          <w:lang w:bidi="ar-SA"/>
        </w:rPr>
        <w:t>.</w:t>
      </w:r>
    </w:p>
    <w:p>
      <w:pPr>
        <w:pStyle w:val="Heading6"/>
        <w:numPr>
          <w:ilvl w:val="5"/>
          <w:numId w:val="1"/>
        </w:numPr>
        <w:rPr/>
      </w:pPr>
      <w:bookmarkStart w:id="698" w:name="__RefHeading___Toc3266562_2870459653"/>
      <w:bookmarkStart w:id="699" w:name="_Toc262"/>
      <w:bookmarkEnd w:id="698"/>
      <w:r>
        <w:rPr>
          <w:rtl w:val="true"/>
        </w:rPr>
        <w:t>نسيان رفع الرّأس من السجدة الأولى</w:t>
      </w:r>
      <w:bookmarkEnd w:id="699"/>
    </w:p>
    <w:p>
      <w:pPr>
        <w:pStyle w:val="BookText"/>
        <w:rPr/>
      </w:pPr>
      <w:r>
        <w:rPr>
          <w:rFonts w:ascii="Amiri" w:hAnsi="Amiri" w:eastAsia="Amiri" w:cs="Amiri"/>
          <w:color w:val="111111"/>
          <w:sz w:val="28"/>
          <w:sz w:val="28"/>
          <w:szCs w:val="28"/>
          <w:rtl w:val="true"/>
          <w:lang w:bidi="ar-SA"/>
        </w:rPr>
        <w:t xml:space="preserve">وأمّا رفع الرّأس من السّجدة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إكماله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نظير رفع الرّأس من الرّكوع، فإنّ الحقّ أنّ رفع الرّأس من السّجدة الأولى إمّا واجب مستقلّ، أو مقدّمة للسجدة الثّانية، بمعنى وجوب كون السّجدة الثّانية عن اعتدالٍ جلوسيّ قد اطمأنّ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الطّمأنينة فيه فهي كالطّمأنينة في رفع الرّأس من الرّكوع</w:t>
      </w:r>
      <w:r>
        <w:rPr>
          <w:rFonts w:eastAsia="Amiri" w:cs="Amiri" w:ascii="Amiri" w:hAnsi="Amiri"/>
          <w:color w:val="111111"/>
          <w:sz w:val="28"/>
          <w:szCs w:val="28"/>
          <w:rtl w:val="true"/>
          <w:lang w:bidi="ar-SA"/>
        </w:rPr>
        <w:t>.</w:t>
      </w:r>
    </w:p>
    <w:p>
      <w:pPr>
        <w:pStyle w:val="Heading6"/>
        <w:numPr>
          <w:ilvl w:val="5"/>
          <w:numId w:val="1"/>
        </w:numPr>
        <w:rPr/>
      </w:pPr>
      <w:bookmarkStart w:id="700" w:name="__RefHeading___Toc3266564_2870459653"/>
      <w:bookmarkStart w:id="701" w:name="_Toc263"/>
      <w:bookmarkEnd w:id="700"/>
      <w:r>
        <w:rPr>
          <w:rtl w:val="true"/>
        </w:rPr>
        <w:t>نسيان الجلسة الواجبة</w:t>
      </w:r>
      <w:bookmarkEnd w:id="701"/>
    </w:p>
    <w:p>
      <w:pPr>
        <w:pStyle w:val="BookText"/>
        <w:rPr/>
      </w:pPr>
      <w:r>
        <w:rPr>
          <w:rFonts w:ascii="Amiri" w:hAnsi="Amiri" w:eastAsia="Amiri" w:cs="Amiri"/>
          <w:color w:val="111111"/>
          <w:sz w:val="28"/>
          <w:sz w:val="28"/>
          <w:szCs w:val="28"/>
          <w:rtl w:val="true"/>
          <w:lang w:bidi="ar-SA"/>
        </w:rPr>
        <w:t>وأمّا الجلسة الواجبة بين السّجدتين إن كانت شيئاً آخر غير الاعتدال الجلوسيّ عن اطمئنانٍ فالظّاهر أنّها واجبٌ مستقلّ</w:t>
      </w:r>
      <w:r>
        <w:rPr>
          <w:rFonts w:eastAsia="Amiri" w:cs="Amiri" w:ascii="Amiri" w:hAnsi="Amiri"/>
          <w:color w:val="111111"/>
          <w:sz w:val="28"/>
          <w:szCs w:val="28"/>
          <w:rtl w:val="true"/>
          <w:lang w:bidi="ar-SA"/>
        </w:rPr>
        <w:t>.</w:t>
      </w:r>
    </w:p>
    <w:p>
      <w:pPr>
        <w:pStyle w:val="Heading6"/>
        <w:numPr>
          <w:ilvl w:val="5"/>
          <w:numId w:val="1"/>
        </w:numPr>
        <w:rPr/>
      </w:pPr>
      <w:bookmarkStart w:id="702" w:name="__RefHeading___Toc3266566_2870459653"/>
      <w:bookmarkStart w:id="703" w:name="_Toc264"/>
      <w:bookmarkEnd w:id="702"/>
      <w:r>
        <w:rPr>
          <w:rtl w:val="true"/>
        </w:rPr>
        <w:t>الملاك في سقوط التّدارك في القسم الأوّل</w:t>
      </w:r>
      <w:bookmarkEnd w:id="703"/>
    </w:p>
    <w:p>
      <w:pPr>
        <w:pStyle w:val="BookText"/>
        <w:rPr/>
      </w:pPr>
      <w:r>
        <w:rPr>
          <w:rFonts w:ascii="Amiri" w:hAnsi="Amiri" w:eastAsia="Amiri" w:cs="Amiri"/>
          <w:color w:val="111111"/>
          <w:sz w:val="28"/>
          <w:sz w:val="28"/>
          <w:szCs w:val="28"/>
          <w:rtl w:val="true"/>
          <w:lang w:bidi="ar-SA"/>
        </w:rPr>
        <w:t>وقد تلخّص ممّا ذكرنا أنّ الملاك في سقوط التّدارك في مصاديق هذا القسم الأوّل هو أحد أمور على سبيل منع الخلو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الأخبار الخاصّة على ذلك</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فوات محلّ تداركه من حيث كونه واجباً مستقلَّاً مقيّداً إتيانه في ضمن </w:t>
      </w:r>
      <w:bookmarkStart w:id="704" w:name="pg9142_80914"/>
    </w:p>
    <w:p>
      <w:pPr>
        <w:pStyle w:val="BookText"/>
        <w:rPr/>
      </w:pPr>
      <w:bookmarkEnd w:id="704"/>
      <w:r>
        <w:rPr>
          <w:rFonts w:ascii="Amiri" w:hAnsi="Amiri" w:eastAsia="Amiri" w:cs="Amiri"/>
          <w:color w:val="111111"/>
          <w:sz w:val="28"/>
          <w:sz w:val="28"/>
          <w:szCs w:val="28"/>
          <w:rtl w:val="true"/>
          <w:lang w:bidi="ar-SA"/>
        </w:rPr>
        <w:t>واجب آخر، فإذا حصل ذلك الواجب صحيحاً وسقط أمره لا يبقى محلّ للواجب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زيادة الرّكن على تقدير تداركه إن قلنا بكونه محذوراً يوجب فساد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قصور دليل اعتباره وإهماله، بحيث لا يستفاد منه إلّا الاعتبار حال التّذكر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فيما يتعلّق بالقسم الأوّل الّذي حكموا فيه بعدم وجوب التّدارك، وعدم وجوب سجود السّهو</w:t>
      </w:r>
      <w:r>
        <w:rPr>
          <w:rFonts w:eastAsia="Amiri" w:cs="Amiri" w:ascii="Amiri" w:hAnsi="Amiri"/>
          <w:color w:val="111111"/>
          <w:sz w:val="28"/>
          <w:szCs w:val="28"/>
          <w:rtl w:val="true"/>
          <w:lang w:bidi="ar-SA"/>
        </w:rPr>
        <w:t>.</w:t>
      </w:r>
    </w:p>
    <w:p>
      <w:pPr>
        <w:pStyle w:val="Heading5"/>
        <w:numPr>
          <w:ilvl w:val="4"/>
          <w:numId w:val="1"/>
        </w:numPr>
        <w:rPr/>
      </w:pPr>
      <w:bookmarkStart w:id="705" w:name="__RefHeading___Toc3266568_2870459653"/>
      <w:bookmarkStart w:id="706" w:name="_Toc265"/>
      <w:bookmarkEnd w:id="705"/>
      <w:r>
        <w:rPr>
          <w:rtl w:val="true"/>
        </w:rPr>
        <w:t>القسم الثّاني</w:t>
      </w:r>
      <w:r>
        <w:rPr>
          <w:rtl w:val="true"/>
        </w:rPr>
        <w:t xml:space="preserve">: </w:t>
      </w:r>
      <w:r>
        <w:rPr>
          <w:rtl w:val="true"/>
        </w:rPr>
        <w:t>ما يجب تداركه في الأثناء من دون سجدتي السّهو</w:t>
      </w:r>
      <w:bookmarkEnd w:id="706"/>
    </w:p>
    <w:p>
      <w:pPr>
        <w:pStyle w:val="Heading6"/>
        <w:numPr>
          <w:ilvl w:val="5"/>
          <w:numId w:val="1"/>
        </w:numPr>
        <w:rPr/>
      </w:pPr>
      <w:bookmarkStart w:id="707" w:name="__RefHeading___Toc3266570_2870459653"/>
      <w:bookmarkStart w:id="708" w:name="_Toc266"/>
      <w:bookmarkEnd w:id="707"/>
      <w:r>
        <w:rPr>
          <w:rtl w:val="true"/>
        </w:rPr>
        <w:t>اشارة</w:t>
      </w:r>
      <w:bookmarkEnd w:id="708"/>
    </w:p>
    <w:p>
      <w:pPr>
        <w:pStyle w:val="BookText"/>
        <w:rPr/>
      </w:pPr>
      <w:r>
        <w:rPr>
          <w:rFonts w:ascii="Amiri" w:hAnsi="Amiri" w:eastAsia="Amiri" w:cs="Amiri"/>
          <w:color w:val="111111"/>
          <w:sz w:val="28"/>
          <w:sz w:val="28"/>
          <w:szCs w:val="28"/>
          <w:rtl w:val="true"/>
          <w:lang w:bidi="ar-SA"/>
        </w:rPr>
        <w:t>وأمّا 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حكموا فيه بوجوب التّدارك، فقد عرفت أنّ الحكم فيه بذلك موافق للقاعدة في كلّ ما كان دليل جزئيّته مطلقاً لا إهمال فيه، فلا يحتاج الحكم بذلك فيه إلى دليل آخر وراء دليل الجزئيّة المطلقة، وقد عرفت أنّهم قد مثّلوا لذلك بمن نسِي الحمد حتّى قرأ السّورة، أو السّورة حتّى قنت، أو الرّكوع وذكر قبل أن يسجد، أو السّجدتين، أو احديهما، أو التّشهد وذكر قبل أن يركع</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وتفصيل ذلك يتوقّف على ذكر أمور</w:t>
      </w:r>
      <w:r>
        <w:rPr>
          <w:rFonts w:eastAsia="Amiri" w:cs="Amiri" w:ascii="Amiri" w:hAnsi="Amiri"/>
          <w:color w:val="111111"/>
          <w:sz w:val="28"/>
          <w:szCs w:val="28"/>
          <w:rtl w:val="true"/>
          <w:lang w:bidi="ar-SA"/>
        </w:rPr>
        <w:t xml:space="preserve">: </w:t>
      </w:r>
      <w:bookmarkStart w:id="709" w:name="pg9142_80916"/>
    </w:p>
    <w:p>
      <w:pPr>
        <w:pStyle w:val="Heading6"/>
        <w:numPr>
          <w:ilvl w:val="5"/>
          <w:numId w:val="1"/>
        </w:numPr>
        <w:rPr/>
      </w:pPr>
      <w:bookmarkStart w:id="710" w:name="__RefHeading___Toc3266572_2870459653"/>
      <w:bookmarkStart w:id="711" w:name="_Toc267"/>
      <w:bookmarkEnd w:id="709"/>
      <w:bookmarkEnd w:id="710"/>
      <w:r>
        <w:rPr>
          <w:rtl w:val="true"/>
        </w:rPr>
        <w:t>الصّورة الأولى</w:t>
      </w:r>
      <w:r>
        <w:rPr>
          <w:rtl w:val="true"/>
        </w:rPr>
        <w:t xml:space="preserve">: </w:t>
      </w:r>
      <w:r>
        <w:rPr>
          <w:rtl w:val="true"/>
        </w:rPr>
        <w:t>نسيان الحمد</w:t>
      </w:r>
      <w:bookmarkEnd w:id="711"/>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نسي الفاتحة ولم يذكر إلّا بعد قراءة السّورة وجب عليه قراءة الفاتحة وإعادة السّورة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يتعيّن عليه إعادة تلك السّورة بعينها أو لا؟</w:t>
      </w:r>
    </w:p>
    <w:p>
      <w:pPr>
        <w:pStyle w:val="BookText"/>
        <w:rPr/>
      </w:pPr>
      <w:r>
        <w:rPr>
          <w:rFonts w:ascii="Amiri" w:hAnsi="Amiri" w:eastAsia="Amiri" w:cs="Amiri"/>
          <w:color w:val="111111"/>
          <w:sz w:val="28"/>
          <w:sz w:val="28"/>
          <w:szCs w:val="28"/>
          <w:rtl w:val="true"/>
          <w:lang w:bidi="ar-SA"/>
        </w:rPr>
        <w:t>الحقّ الثّاني؛ فإنّ قراءة سورة سهواً قبل الفاتحة لا يكون سبباً لتعيّنها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والرّضويّ</w:t>
      </w:r>
      <w:r>
        <w:rPr>
          <w:rStyle w:val="FootnoteAnchor"/>
          <w:rtl w:val="true"/>
        </w:rPr>
        <w:footnoteReference w:id="628"/>
      </w:r>
      <w:r>
        <w:rPr>
          <w:rFonts w:ascii="Amiri" w:hAnsi="Amiri" w:eastAsia="Amiri" w:cs="Amiri"/>
          <w:color w:val="111111"/>
          <w:sz w:val="28"/>
          <w:sz w:val="28"/>
          <w:szCs w:val="28"/>
          <w:rtl w:val="true"/>
          <w:lang w:bidi="ar-SA"/>
        </w:rPr>
        <w:t>الّذي تُوهم</w:t>
      </w:r>
      <w:r>
        <w:rPr>
          <w:rStyle w:val="FootnoteAnchor"/>
          <w:rtl w:val="true"/>
        </w:rPr>
        <w:footnoteReference w:id="629"/>
      </w:r>
      <w:r>
        <w:rPr>
          <w:rFonts w:ascii="Amiri" w:hAnsi="Amiri" w:eastAsia="Amiri" w:cs="Amiri"/>
          <w:color w:val="111111"/>
          <w:sz w:val="28"/>
          <w:sz w:val="28"/>
          <w:szCs w:val="28"/>
          <w:rtl w:val="true"/>
          <w:lang w:bidi="ar-SA"/>
        </w:rPr>
        <w:t>دلالته على ذلك قاصر سنداً ودلالة</w:t>
      </w:r>
      <w:r>
        <w:rPr>
          <w:rFonts w:eastAsia="Amiri" w:cs="Amiri" w:ascii="Amiri" w:hAnsi="Amiri"/>
          <w:color w:val="111111"/>
          <w:sz w:val="28"/>
          <w:szCs w:val="28"/>
          <w:rtl w:val="true"/>
          <w:lang w:bidi="ar-SA"/>
        </w:rPr>
        <w:t>.</w:t>
      </w:r>
    </w:p>
    <w:p>
      <w:pPr>
        <w:pStyle w:val="Heading6"/>
        <w:numPr>
          <w:ilvl w:val="5"/>
          <w:numId w:val="1"/>
        </w:numPr>
        <w:rPr/>
      </w:pPr>
      <w:bookmarkStart w:id="712" w:name="__RefHeading___Toc3266574_2870459653"/>
      <w:bookmarkStart w:id="713" w:name="_Toc268"/>
      <w:bookmarkEnd w:id="712"/>
      <w:r>
        <w:rPr>
          <w:rtl w:val="true"/>
        </w:rPr>
        <w:t>الصّورة الثّانية</w:t>
      </w:r>
      <w:r>
        <w:rPr>
          <w:rtl w:val="true"/>
        </w:rPr>
        <w:t xml:space="preserve">: </w:t>
      </w:r>
      <w:r>
        <w:rPr>
          <w:rtl w:val="true"/>
        </w:rPr>
        <w:t>نسيان الرّكوع</w:t>
      </w:r>
      <w:bookmarkEnd w:id="713"/>
    </w:p>
    <w:p>
      <w:pPr>
        <w:pStyle w:val="Heading6"/>
        <w:numPr>
          <w:ilvl w:val="5"/>
          <w:numId w:val="1"/>
        </w:numPr>
        <w:rPr/>
      </w:pPr>
      <w:bookmarkStart w:id="714" w:name="__RefHeading___Toc3266576_2870459653"/>
      <w:bookmarkStart w:id="715" w:name="_Toc269"/>
      <w:bookmarkEnd w:id="714"/>
      <w:r>
        <w:rPr>
          <w:rtl w:val="true"/>
        </w:rPr>
        <w:t>اشارة</w:t>
      </w:r>
      <w:bookmarkEnd w:id="715"/>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نسي الرّكوع وذكر قبل أن يسجد قام وركع، والحكم وفاقيّ موافق للقاعدة الّتي ذكرناها مراراً</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وتوهّم</w:t>
      </w:r>
      <w:r>
        <w:rPr>
          <w:rStyle w:val="FootnoteAnchor"/>
          <w:rtl w:val="true"/>
        </w:rPr>
        <w:footnoteReference w:id="631"/>
      </w:r>
      <w:r>
        <w:rPr>
          <w:rFonts w:ascii="Amiri" w:hAnsi="Amiri" w:eastAsia="Amiri" w:cs="Amiri"/>
          <w:color w:val="111111"/>
          <w:sz w:val="28"/>
          <w:sz w:val="28"/>
          <w:szCs w:val="28"/>
          <w:rtl w:val="true"/>
          <w:lang w:bidi="ar-SA"/>
        </w:rPr>
        <w:t>أنّ نسيان الرّكوع من حيث هو من المبطلات نصّاً وإجماعاً، وقد تحقّق موضوعه بمجرّد التّجاوز عن محلّه والهوي إلى السّجود، مدفوع بما تقدّم بيانه من منع كون نسيان شيء من أجزاء الصّلاة أو شرائطها من حيث هو من المبطلات</w:t>
      </w:r>
      <w:r>
        <w:rPr>
          <w:rStyle w:val="FootnoteAnchor"/>
          <w:rtl w:val="true"/>
        </w:rPr>
        <w:footnoteReference w:id="632"/>
      </w:r>
      <w:r>
        <w:rPr>
          <w:rFonts w:ascii="Amiri" w:hAnsi="Amiri" w:eastAsia="Amiri" w:cs="Amiri"/>
          <w:color w:val="111111"/>
          <w:sz w:val="28"/>
          <w:sz w:val="28"/>
          <w:szCs w:val="28"/>
          <w:rtl w:val="true"/>
          <w:lang w:bidi="ar-SA"/>
        </w:rPr>
        <w:t xml:space="preserve">، وإنّما </w:t>
      </w:r>
      <w:bookmarkStart w:id="716" w:name="pg9142_80918"/>
    </w:p>
    <w:p>
      <w:pPr>
        <w:pStyle w:val="BookText"/>
        <w:rPr/>
      </w:pPr>
      <w:bookmarkEnd w:id="716"/>
      <w:r>
        <w:rPr>
          <w:rFonts w:ascii="Amiri" w:hAnsi="Amiri" w:eastAsia="Amiri" w:cs="Amiri"/>
          <w:color w:val="111111"/>
          <w:sz w:val="28"/>
          <w:sz w:val="28"/>
          <w:szCs w:val="28"/>
          <w:rtl w:val="true"/>
          <w:lang w:bidi="ar-SA"/>
        </w:rPr>
        <w:t>البطلان ينشأ من خلوّ الصّلاة عن المنسيّ إذا كان من مقوّماتها لا غير، فمتى نسي شيئاً منها يكون البطلان مراعىً إلى أن يفوت محلّ تداركه بالتّلبّس بركن، أو حدوث قاطع، أو حصول فصل ونحوه، وليس شيء من النّصوص والفتاوى منافياً لذلك كما لا يخفى</w:t>
      </w:r>
      <w:r>
        <w:rPr>
          <w:rFonts w:eastAsia="Amiri" w:cs="Amiri" w:ascii="Amiri" w:hAnsi="Amiri"/>
          <w:color w:val="111111"/>
          <w:sz w:val="28"/>
          <w:szCs w:val="28"/>
          <w:rtl w:val="true"/>
          <w:lang w:bidi="ar-SA"/>
        </w:rPr>
        <w:t>.</w:t>
      </w:r>
    </w:p>
    <w:p>
      <w:pPr>
        <w:pStyle w:val="Heading6"/>
        <w:numPr>
          <w:ilvl w:val="5"/>
          <w:numId w:val="1"/>
        </w:numPr>
        <w:rPr/>
      </w:pPr>
      <w:bookmarkStart w:id="717" w:name="__RefHeading___Toc3266578_2870459653"/>
      <w:bookmarkStart w:id="718" w:name="_Toc270"/>
      <w:bookmarkEnd w:id="717"/>
      <w:r>
        <w:rPr>
          <w:rtl w:val="true"/>
        </w:rPr>
        <w:t>محلّ فوات الرّكوع بحسب كلمات الأصحاب</w:t>
      </w:r>
      <w:bookmarkEnd w:id="718"/>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تحديد الأصحاب هنا كون الذّكر قبل السّجود</w:t>
      </w:r>
      <w:r>
        <w:rPr>
          <w:rStyle w:val="FootnoteAnchor"/>
          <w:rtl w:val="true"/>
        </w:rPr>
        <w:footnoteReference w:id="633"/>
      </w:r>
      <w:r>
        <w:rPr>
          <w:rFonts w:ascii="Amiri" w:hAnsi="Amiri" w:eastAsia="Amiri" w:cs="Amiri"/>
          <w:color w:val="111111"/>
          <w:sz w:val="28"/>
          <w:sz w:val="28"/>
          <w:szCs w:val="28"/>
          <w:rtl w:val="true"/>
          <w:lang w:bidi="ar-SA"/>
        </w:rPr>
        <w:t>أنّه لو ذكر بعد أن سجد السّجدة الواحدة ولو لم يتلبس بالثّانية بطلت الصّلاة، وهو موافق لما ذكروه في المسألة السّابقة، أعني ما لو نسي الرّكوع حتّى سجد</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ولكنّك قد عرفت هناك أنّ الحقّ خلافه</w:t>
      </w:r>
      <w:r>
        <w:rPr>
          <w:rStyle w:val="FootnoteAnchor"/>
          <w:rtl w:val="true"/>
        </w:rPr>
        <w:footnoteReference w:id="634"/>
      </w:r>
      <w:r>
        <w:rPr>
          <w:rFonts w:ascii="Amiri" w:hAnsi="Amiri" w:eastAsia="Amiri" w:cs="Amiri"/>
          <w:color w:val="111111"/>
          <w:sz w:val="28"/>
          <w:sz w:val="28"/>
          <w:szCs w:val="28"/>
          <w:rtl w:val="true"/>
          <w:lang w:bidi="ar-SA"/>
        </w:rPr>
        <w:t xml:space="preserve">إذ لا يلزم من ذلك إلّا زيادة سجدة، ولا تعاد الصّلاة من سجدة، فحكم ما لو ذكر بعد السّجدة الواحدة حكم ما </w:t>
      </w:r>
      <w:bookmarkStart w:id="719" w:name="pg9142_80920"/>
    </w:p>
    <w:p>
      <w:pPr>
        <w:pStyle w:val="BookText"/>
        <w:rPr/>
      </w:pPr>
      <w:bookmarkEnd w:id="719"/>
      <w:r>
        <w:rPr>
          <w:rFonts w:ascii="Amiri" w:hAnsi="Amiri" w:eastAsia="Amiri" w:cs="Amiri"/>
          <w:color w:val="111111"/>
          <w:sz w:val="28"/>
          <w:sz w:val="28"/>
          <w:szCs w:val="28"/>
          <w:rtl w:val="true"/>
          <w:lang w:bidi="ar-SA"/>
        </w:rPr>
        <w:t>لو ذكر قبل السّجود أصلاً</w:t>
      </w:r>
      <w:r>
        <w:rPr>
          <w:rFonts w:eastAsia="Amiri" w:cs="Amiri" w:ascii="Amiri" w:hAnsi="Amiri"/>
          <w:color w:val="111111"/>
          <w:sz w:val="28"/>
          <w:szCs w:val="28"/>
          <w:rtl w:val="true"/>
          <w:lang w:bidi="ar-SA"/>
        </w:rPr>
        <w:t>.</w:t>
      </w:r>
    </w:p>
    <w:p>
      <w:pPr>
        <w:pStyle w:val="Heading6"/>
        <w:numPr>
          <w:ilvl w:val="5"/>
          <w:numId w:val="1"/>
        </w:numPr>
        <w:rPr/>
      </w:pPr>
      <w:bookmarkStart w:id="720" w:name="__RefHeading___Toc3266580_2870459653"/>
      <w:bookmarkStart w:id="721" w:name="_Toc271"/>
      <w:bookmarkEnd w:id="720"/>
      <w:r>
        <w:rPr>
          <w:rtl w:val="true"/>
        </w:rPr>
        <w:t>عدم الفرق في النّسيان بين كونه حال الهويّ إلى السّجود أو الرّكوع بحسب كلمات الأصحاب</w:t>
      </w:r>
      <w:bookmarkEnd w:id="721"/>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مقتضى إطلاق الأصحاب</w:t>
      </w:r>
      <w:r>
        <w:rPr>
          <w:rStyle w:val="FootnoteAnchor"/>
          <w:rtl w:val="true"/>
        </w:rPr>
        <w:footnoteReference w:id="635"/>
      </w:r>
      <w:r>
        <w:rPr>
          <w:rFonts w:ascii="Amiri" w:hAnsi="Amiri" w:eastAsia="Amiri" w:cs="Amiri"/>
          <w:color w:val="111111"/>
          <w:sz w:val="28"/>
          <w:sz w:val="28"/>
          <w:szCs w:val="28"/>
          <w:rtl w:val="true"/>
          <w:lang w:bidi="ar-SA"/>
        </w:rPr>
        <w:t>عدم الفرق بين ما لو حصل النّسيان حال القيام فهوى إلى السّجود من القيام، أو حصل حين هويّه للرّكوع، بأن هوى أوّلاً للرّكوع ونسِي في الأثناء فجعله هويَّ السّجود؛ فإنّه يجب في الصّورتين أن يقوم ويركع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ونُسب إلى بعضٍ التّفصيل بينهما فحكم في الثّانية بالقيام منحنياً إلى الحدّ الّذي تحقّق فيه النّسيان، وعدم جواز قيامه منتصباً</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وربّما يحتمل التّخيير بينهما، فالوجوه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ومستند الوجه الأوّل أنّ الرّكوع اسم للانحناء الحاصل عن اعتدالٍ قياميّ أو جلوسيّ، فلو نهض منحنياً لا يصدق عليه أنّه ركع، فلا يجدي في تدارك المنسيّ</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ومستند الوجه الثّاني أنّه بعد إلغاء ما صدر منه سهواً أو قهراً وعدم احتسابه عن عمله،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عوده منحنياً إلى الحدّ الّذي عرضه النسيان أو القهر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بحكم ما لو </w:t>
      </w:r>
      <w:bookmarkStart w:id="722" w:name="pg9142_80923"/>
    </w:p>
    <w:p>
      <w:pPr>
        <w:pStyle w:val="BookText"/>
        <w:rPr/>
      </w:pPr>
      <w:bookmarkEnd w:id="722"/>
      <w:r>
        <w:rPr>
          <w:rFonts w:ascii="Amiri" w:hAnsi="Amiri" w:eastAsia="Amiri" w:cs="Amiri"/>
          <w:color w:val="111111"/>
          <w:sz w:val="28"/>
          <w:sz w:val="28"/>
          <w:szCs w:val="28"/>
          <w:rtl w:val="true"/>
          <w:lang w:bidi="ar-SA"/>
        </w:rPr>
        <w:t>انتهى انحناؤه الاختياريّ إليه عن قيام في صدق اسم الرّاكع عليه، وحينئذٍ فلا يصحّ له أن يعود إلى القيام؛ لأنّه يلزم منه زيادة بعض الرّكوع، وزيادة القيام المتّصل بالرّكوع الّذي هو ركن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ومستند الوجه الثّالث منع صدق الزّيادة أو قادحيّتها من الجهتين، فيتخيّر بين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القيام المتّصل بالرّكوع من حيث هو ليس ركناً مستقلَّاً، بل الرّكن في الحقيقة هو وقوع الرّكوع عن قيام، وهو لا يعقل زيادته إلّا بزيادة الرّكوع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تمّ مستند الوجه الثّاني وساعد العرف على إلغاء ما وقع منه سهواً أو قهراً واتّصال الإنحناء الجديد بما وقع منه أوّلاً، صحّ حينئذٍ دعوى صدق الزّيادة بالنّسبة إلى بعض الرّكوع، حيث إنّ ما صدر منه أوّلاً بنيّة الرّكوع احتسب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والمسألة لا تخلو عن إشكال، والاحتياط يحصل بإتمام الصّلاة مخيّراً بين الأمرين، أعني القيام منتصباً ثمّ الرّكوع، أو منحنياً إلى الحدّ الّذي صدر النّسيان فيه، ثمّ إعادة الصّلاة من 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حكمنا بالتّخيير بين الأمرين؛ لدوران الأمر بين المحذورين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الزّيادة المخلّة، أو النّقيصة كذلك</w:t>
      </w:r>
      <w:r>
        <w:rPr>
          <w:rFonts w:eastAsia="Amiri" w:cs="Amiri" w:ascii="Amiri" w:hAnsi="Amiri"/>
          <w:color w:val="111111"/>
          <w:sz w:val="28"/>
          <w:szCs w:val="28"/>
          <w:rtl w:val="true"/>
          <w:lang w:bidi="ar-SA"/>
        </w:rPr>
        <w:t>.</w:t>
      </w:r>
    </w:p>
    <w:p>
      <w:pPr>
        <w:pStyle w:val="Heading6"/>
        <w:numPr>
          <w:ilvl w:val="5"/>
          <w:numId w:val="1"/>
        </w:numPr>
        <w:rPr/>
      </w:pPr>
      <w:bookmarkStart w:id="723" w:name="__RefHeading___Toc3266582_2870459653"/>
      <w:bookmarkStart w:id="724" w:name="_Toc272"/>
      <w:bookmarkEnd w:id="723"/>
      <w:r>
        <w:rPr>
          <w:rtl w:val="true"/>
        </w:rPr>
        <w:t xml:space="preserve">كلام صاحب الجواهر </w:t>
      </w:r>
      <w:r>
        <w:rPr>
          <w:rtl w:val="true"/>
        </w:rPr>
        <w:t>(</w:t>
      </w:r>
      <w:r>
        <w:rPr>
          <w:rtl w:val="true"/>
        </w:rPr>
        <w:t>قدس سره</w:t>
      </w:r>
      <w:r>
        <w:rPr>
          <w:rtl w:val="true"/>
        </w:rPr>
        <w:t xml:space="preserve">) </w:t>
      </w:r>
      <w:r>
        <w:rPr>
          <w:rtl w:val="true"/>
        </w:rPr>
        <w:t>في المقام</w:t>
      </w:r>
      <w:bookmarkEnd w:id="724"/>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في الجواهر</w:t>
      </w:r>
      <w:r>
        <w:rPr>
          <w:rStyle w:val="FootnoteAnchor"/>
          <w:rtl w:val="true"/>
        </w:rPr>
        <w:footnoteReference w:id="637"/>
      </w:r>
      <w:r>
        <w:rPr>
          <w:rFonts w:ascii="Amiri" w:hAnsi="Amiri" w:eastAsia="Amiri" w:cs="Amiri"/>
          <w:color w:val="111111"/>
          <w:sz w:val="28"/>
          <w:sz w:val="28"/>
          <w:szCs w:val="28"/>
          <w:rtl w:val="true"/>
          <w:lang w:bidi="ar-SA"/>
        </w:rPr>
        <w:t xml:space="preserve">أنّ نسيان الرّكوع لا يكاد يتحقّق فيما إذا هوى </w:t>
      </w:r>
    </w:p>
    <w:p>
      <w:pPr>
        <w:pStyle w:val="BookText"/>
        <w:rPr/>
      </w:pPr>
      <w:r>
        <w:rPr>
          <w:rFonts w:ascii="Amiri" w:hAnsi="Amiri" w:eastAsia="Amiri" w:cs="Amiri"/>
          <w:color w:val="111111"/>
          <w:sz w:val="28"/>
          <w:sz w:val="28"/>
          <w:szCs w:val="28"/>
          <w:rtl w:val="true"/>
          <w:lang w:bidi="ar-SA"/>
        </w:rPr>
        <w:t>بقصده ثمّ نسِي فجعله للسجود إلّا إذا كان النّسيان قبل الوصول إلى حدّ الرّاكع، وأمّا إذا كان بعده فهو نسيان لرفع الرّأس والطّمأنينة لا للرّكوع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ذكره إنّما يتأتّى بناءً على عدم اعتبار شيء في حقيقة الرّكوع لغةً وعرفاً زائدٍ على الانحناء بقصد الخضوع، وهو محلّ تأمّلٍ، بل منع، وإلّا لزم أن يتحقّق الرّكوع في كلّ هوي للسّجود، وهو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فالحقّ اعتبار شيء زائدٍ على ذلك يكون مائزاً بين الهوي للسّجود وبين الرّكوع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توهّم بعضٌ أنّه الطّمأنينة</w:t>
      </w:r>
      <w:r>
        <w:rPr>
          <w:rStyle w:val="FootnoteAnchor"/>
          <w:rtl w:val="true"/>
        </w:rPr>
        <w:footnoteReference w:id="638"/>
      </w:r>
      <w:r>
        <w:rPr>
          <w:rFonts w:ascii="IRNazanin" w:hAnsi="IRNazanin" w:eastAsia="IRNazanin"/>
          <w:color w:val="111111"/>
          <w:sz w:val="28"/>
          <w:sz w:val="28"/>
          <w:szCs w:val="28"/>
          <w:rtl w:val="true"/>
          <w:lang w:bidi="fa-IR"/>
        </w:rPr>
        <w:t>، ومن هنا قال من قال باعتبارها</w:t>
      </w:r>
      <w:r>
        <w:rPr>
          <w:rStyle w:val="FootnoteAnchor"/>
          <w:rtl w:val="true"/>
        </w:rPr>
        <w:footnoteReference w:id="639"/>
      </w:r>
      <w:r>
        <w:rPr>
          <w:rFonts w:ascii="Amiri" w:hAnsi="Amiri" w:eastAsia="Amiri" w:cs="Amiri"/>
          <w:color w:val="111111"/>
          <w:sz w:val="28"/>
          <w:sz w:val="28"/>
          <w:szCs w:val="28"/>
          <w:rtl w:val="true"/>
          <w:lang w:bidi="ar-SA"/>
        </w:rPr>
        <w:t>في ماهيّة الرّكوع لغةً وعرفاً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والتّحقيق خلافه؛ لحصول المائز برفع رأسه من الرّكوع بعد انتهائه إلى حدّ الرّاكع ولو متزلزلاً، بل يحصل بمكثه كذلك ولو من دون استقرار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يعلم أنّ المائز إنّما هو الانتهاء في هويّه إلى حدٍّ، فمتى ما انتهى إلى حدّ صدق عليه الرّكوع وإن استمر في هويّه إلى السّجود لم يصدق عليه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يتّضح إمكان تحقّق نسيان الرّكوع وإن كان هويّه بقصد الرّكوع إلى أن وصل إلى حدّ الرّاكع ثمّ تحقّق النّسيان بعد ذلك</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لكنّك قد عرفت في الأمر السّابق أنّه لو قام منحنياً إلى ذلك الحدّ يمكن أن يقال بالاكتفاء؛ نظراً إلى إلغاء ما صدر منه سهواً، واحتساب ما صدر منه بقصد الرّكوع، </w:t>
      </w:r>
      <w:bookmarkStart w:id="725" w:name="pg9142_80927"/>
    </w:p>
    <w:p>
      <w:pPr>
        <w:pStyle w:val="BookText"/>
        <w:rPr/>
      </w:pPr>
      <w:bookmarkEnd w:id="725"/>
      <w:r>
        <w:rPr>
          <w:rFonts w:ascii="Amiri" w:hAnsi="Amiri" w:eastAsia="Amiri" w:cs="Amiri"/>
          <w:color w:val="111111"/>
          <w:sz w:val="28"/>
          <w:sz w:val="28"/>
          <w:szCs w:val="28"/>
          <w:rtl w:val="true"/>
          <w:lang w:bidi="ar-SA"/>
        </w:rPr>
        <w:t xml:space="preserve">وهو كاشف عن أنّ المنسيّ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حدّ الرّكوع أو بعضه لا أصله</w:t>
      </w:r>
      <w:r>
        <w:rPr>
          <w:rFonts w:eastAsia="Amiri" w:cs="Amiri" w:ascii="Amiri" w:hAnsi="Amiri"/>
          <w:color w:val="111111"/>
          <w:sz w:val="28"/>
          <w:szCs w:val="28"/>
          <w:rtl w:val="true"/>
          <w:lang w:bidi="ar-SA"/>
        </w:rPr>
        <w:t>.</w:t>
      </w:r>
    </w:p>
    <w:p>
      <w:pPr>
        <w:pStyle w:val="Heading6"/>
        <w:numPr>
          <w:ilvl w:val="5"/>
          <w:numId w:val="1"/>
        </w:numPr>
        <w:rPr/>
      </w:pPr>
      <w:bookmarkStart w:id="726" w:name="__RefHeading___Toc3266584_2870459653"/>
      <w:bookmarkStart w:id="727" w:name="_Toc273"/>
      <w:bookmarkEnd w:id="726"/>
      <w:r>
        <w:rPr>
          <w:rtl w:val="true"/>
        </w:rPr>
        <w:t xml:space="preserve">إشكال صاحب المدارك </w:t>
      </w:r>
      <w:r>
        <w:rPr>
          <w:rtl w:val="true"/>
        </w:rPr>
        <w:t>(</w:t>
      </w:r>
      <w:r>
        <w:rPr>
          <w:rtl w:val="true"/>
        </w:rPr>
        <w:t>قدس سره</w:t>
      </w:r>
      <w:r>
        <w:rPr>
          <w:rtl w:val="true"/>
        </w:rPr>
        <w:t xml:space="preserve">) </w:t>
      </w:r>
      <w:r>
        <w:rPr>
          <w:rtl w:val="true"/>
        </w:rPr>
        <w:t>بزيادة الرّكوع في المقام</w:t>
      </w:r>
      <w:bookmarkEnd w:id="727"/>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حُكي عن المدارك الاستشكال في العود إلى الرّكوع حتّى فيما لو نساه في حال القيام فهوى من القيام إلى السّجود إذا حصل منه في صورة هويه إلى السّجود صورة الرّكوع؛ لاستلزامه زيادة الركوع</w:t>
      </w:r>
      <w:r>
        <w:rPr>
          <w:rStyle w:val="FootnoteAnchor"/>
          <w:rtl w:val="true"/>
        </w:rPr>
        <w:footnoteReference w:id="6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غير متأتٍ على ما قلناه من اعتبار الانتهاء إلى حدٍّ في حقيقة الرّكوع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مقالة صاحب الجواهر من عدم اعتبار ذلك فيه</w:t>
      </w:r>
      <w:r>
        <w:rPr>
          <w:rStyle w:val="FootnoteAnchor"/>
          <w:rtl w:val="true"/>
        </w:rPr>
        <w:footnoteReference w:id="641"/>
      </w:r>
      <w:r>
        <w:rPr>
          <w:rFonts w:ascii="Amiri" w:hAnsi="Amiri" w:eastAsia="Amiri" w:cs="Amiri"/>
          <w:color w:val="111111"/>
          <w:sz w:val="28"/>
          <w:sz w:val="28"/>
          <w:szCs w:val="28"/>
          <w:rtl w:val="true"/>
          <w:lang w:bidi="ar-SA"/>
        </w:rPr>
        <w:t>، فالحقّ أيضاً اندفاعه؛ لاعتبار القصد أو عدم قصد الخلاف فيه، وإلّا لزم أن يتصادق الرّكوع والهوي إلى السّجود في كلّ هويّ تتحقّق فيه صورة الرّكوع، وهو واضح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نسيان الرّكوع والذّكر قبل السّجود</w:t>
      </w:r>
      <w:r>
        <w:rPr>
          <w:rFonts w:eastAsia="Amiri" w:cs="Amiri" w:ascii="Amiri" w:hAnsi="Amiri"/>
          <w:color w:val="111111"/>
          <w:sz w:val="28"/>
          <w:szCs w:val="28"/>
          <w:rtl w:val="true"/>
          <w:lang w:bidi="ar-SA"/>
        </w:rPr>
        <w:t>.</w:t>
      </w:r>
    </w:p>
    <w:p>
      <w:pPr>
        <w:pStyle w:val="Heading6"/>
        <w:numPr>
          <w:ilvl w:val="5"/>
          <w:numId w:val="1"/>
        </w:numPr>
        <w:rPr/>
      </w:pPr>
      <w:bookmarkStart w:id="728" w:name="__RefHeading___Toc3266586_2870459653"/>
      <w:bookmarkStart w:id="729" w:name="_Toc274"/>
      <w:bookmarkEnd w:id="728"/>
      <w:r>
        <w:rPr>
          <w:rtl w:val="true"/>
        </w:rPr>
        <w:t>الصّورة الثّالثة</w:t>
      </w:r>
      <w:r>
        <w:rPr>
          <w:rtl w:val="true"/>
        </w:rPr>
        <w:t xml:space="preserve">: </w:t>
      </w:r>
      <w:r>
        <w:rPr>
          <w:rtl w:val="true"/>
        </w:rPr>
        <w:t>نسيان السّجدتين أو احديهما</w:t>
      </w:r>
      <w:bookmarkEnd w:id="729"/>
    </w:p>
    <w:p>
      <w:pPr>
        <w:pStyle w:val="BookText"/>
        <w:rPr/>
      </w:pPr>
      <w:r>
        <w:rPr>
          <w:rFonts w:ascii="Amiri" w:hAnsi="Amiri" w:eastAsia="Amiri" w:cs="Amiri"/>
          <w:color w:val="111111"/>
          <w:sz w:val="28"/>
          <w:sz w:val="28"/>
          <w:szCs w:val="28"/>
          <w:rtl w:val="true"/>
          <w:lang w:bidi="ar-SA"/>
        </w:rPr>
        <w:t>وأمّا نسيان السّجود والذّكر قبل الرّكوع ففيه 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نسي سجدة واحدة وذكر قبل الرّكوع فلا إشكال في وجوب تداركها، ثمّ الإتيان بعد ذلك بما بعدها من قراءة أو تسبيح</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والحكم في ذلك وفاقيّ موافق للقاعدة منصوص عليه في جملة من الأخبار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إسماعيل بن جابر،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رجل نسي أن يسجد سجدة من الثّانية حتّى قام، فذكر وهو قائم أنّه لم يسجد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فليسجد ما لم يركع، فإذا ركع وذكر بعد ركوعه أنّه لم يسجد فليمض على صلاته حتّى يسلّم، ثمّ يسجدها، فإنّها قضاء</w:t>
      </w:r>
      <w:r>
        <w:rPr>
          <w:rFonts w:eastAsia="IRNazanin" w:cs="IRNazanin"/>
          <w:color w:val="111111"/>
          <w:sz w:val="28"/>
          <w:szCs w:val="28"/>
          <w:rtl w:val="true"/>
          <w:lang w:bidi="fa-IR"/>
        </w:rPr>
        <w:t>)</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صحيحة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نسي أن يسجد واحدة، فذكرها وهو قائم؟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يسجدها إذا ذكرها ولم يركع، فإن كان قد ركع فليمض على صلاته، فإذا انصرف قضاها وحدها، وليس عليه سهو</w:t>
      </w:r>
      <w:r>
        <w:rPr>
          <w:rFonts w:eastAsia="IRNazanin" w:cs="IRNazanin"/>
          <w:color w:val="111111"/>
          <w:sz w:val="28"/>
          <w:szCs w:val="28"/>
          <w:rtl w:val="true"/>
          <w:lang w:bidi="fa-IR"/>
        </w:rPr>
        <w:t>)</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ويستفاد من قوله في الصّحيحة الأولى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فإنّها 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ذكرها بعد الرّكوع أنّه لو ذكرها قبل الرّكوع ليس كذلك، بل هو من الإتيان بالشّيء قبل فوات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ويتفرّع عليه وجوب حذف ما أتى به من قراءة أو تسبيح قبل تذكّر النّقص، وإعادته بعد تدارك المنسيّ حتّى يضع كلّ شيء في موضعه</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نسي السّجدتين معاً وذكر قبل الرّكوع فالحقّ أنّ الحكم كذلك، وهو موافق للقاعدة، وربّما يستفاد من الأخبار السّالفة بالفحوى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لكن حُكي</w:t>
      </w:r>
      <w:r>
        <w:rPr>
          <w:rStyle w:val="FootnoteAnchor"/>
          <w:rtl w:val="true"/>
        </w:rPr>
        <w:footnoteReference w:id="644"/>
      </w:r>
      <w:r>
        <w:rPr>
          <w:rFonts w:ascii="Amiri" w:hAnsi="Amiri" w:eastAsia="Amiri" w:cs="Amiri"/>
          <w:color w:val="111111"/>
          <w:sz w:val="28"/>
          <w:sz w:val="28"/>
          <w:szCs w:val="28"/>
          <w:rtl w:val="true"/>
          <w:lang w:bidi="ar-SA"/>
        </w:rPr>
        <w:t>عن بعض القدماء كالمفيد في المقنعة</w:t>
      </w:r>
      <w:r>
        <w:rPr>
          <w:rStyle w:val="FootnoteAnchor"/>
          <w:rtl w:val="true"/>
        </w:rPr>
        <w:footnoteReference w:id="645"/>
      </w:r>
      <w:r>
        <w:rPr>
          <w:rFonts w:ascii="Amiri" w:hAnsi="Amiri" w:eastAsia="Amiri" w:cs="Amiri"/>
          <w:color w:val="111111"/>
          <w:sz w:val="28"/>
          <w:sz w:val="28"/>
          <w:szCs w:val="28"/>
          <w:rtl w:val="true"/>
          <w:lang w:bidi="ar-SA"/>
        </w:rPr>
        <w:t>، وأبي الصلاح</w:t>
      </w:r>
      <w:r>
        <w:rPr>
          <w:rStyle w:val="FootnoteAnchor"/>
          <w:rtl w:val="true"/>
        </w:rPr>
        <w:footnoteReference w:id="646"/>
      </w:r>
      <w:r>
        <w:rPr>
          <w:rFonts w:ascii="Amiri" w:hAnsi="Amiri" w:eastAsia="Amiri" w:cs="Amiri"/>
          <w:color w:val="111111"/>
          <w:sz w:val="28"/>
          <w:sz w:val="28"/>
          <w:szCs w:val="28"/>
          <w:rtl w:val="true"/>
          <w:lang w:bidi="ar-SA"/>
        </w:rPr>
        <w:t>، وابن إدريس</w:t>
      </w:r>
      <w:r>
        <w:rPr>
          <w:rStyle w:val="FootnoteAnchor"/>
          <w:rtl w:val="true"/>
        </w:rPr>
        <w:footnoteReference w:id="647"/>
      </w:r>
      <w:r>
        <w:rPr>
          <w:rFonts w:ascii="Amiri" w:hAnsi="Amiri" w:eastAsia="Amiri" w:cs="Amiri"/>
          <w:color w:val="111111"/>
          <w:sz w:val="28"/>
          <w:sz w:val="28"/>
          <w:szCs w:val="28"/>
          <w:rtl w:val="true"/>
          <w:lang w:bidi="ar-SA"/>
        </w:rPr>
        <w:t xml:space="preserve">، القول بالبطلان، واستدلّ لهم بالأخبار الدّالّة على بطلان الصّلاة بنسيان السّجود، كحديث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تقدّمت الإشارة إليه من أنّه ليس في تلك الأخبار ولا في غيرها ما يدلّ على أنّ نسيان السّجود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المبطلات، وإنّما المستفاد منها أنّ البطلان من حيث الإخلال بماهيّة السّجود في الصّلاة وخلوّها منه، فإذا أمكن الإتيان به لعدم حصول مانع من ذلك فلا مقتضي للبطلان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أنّ المنسيّ لو كان هو السّجدتين ووجب عليه تداركهما فليس عليه جلوس قبلهما؛ لوضوح عدم وجوب جلوس قبلهما قبل النّسيان، فلا يجب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كان المنسيّ سجدة واحدة فلا يخلو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أن يكون قد جلس الجلسة الواجبة بين السّجدتين بعنوانها، ثمّ نسي السّجدة الثّانية فقام قبلها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أن يكون جلس بعنوان جلسة الاستراحة الواجبة بعد السّجدتين؛ لزعمه الإتيان بالسّجدة الثّانية، فجلس بتوهّم أنّه بعد السّجدتين</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وإمّا أن يعلم بعدم تحقّق الجلوس منه أصلاً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وإمّا أن يشكّ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فالفروع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فلا إشكال في كفاية ما صدر منه، وعدم وجوب جلوس آخر عليه، سواء قلنا بكون الجلوس هناك واجباً مستقلّاًَ، أو قلنا بوجوبه لأجل الفصل بين السّجدتين والتّمييز بينهما، أو قلنا بأنّه إنّما وجب مقدّمة للسجدة الثّانية، بمعنى كون سجوده عن اعتدالٍ جلوسيّ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على الأوّلين فواضح، وأمّا على الثّالث فلأنّ ذلك في قبال إيقاع السّجدة الثّانية قبل إكمال رفع رأسه من السّجدة الأُولى، لا في قبال ما إذا هوى للسجدة الثّانية عن قيام؛ فإنّه أبلغ في الخضوع، وأولى بالصّحّة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بناءً على أنّ الواجب إيقاع السّجدة الثّانية عن اعتدالٍ جلوسيّ من دون تخلّل فاصل من قيام أو غيره يجب حينئذٍ إعادته إلّا أنّ ذلك ممّا يكاد يقطع بعدمه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فيجري فيه ما جرى في الأوّل، ويزيد باحتمال عدم الكفاية؛ من حيث إنّه أوقعه بعنوان آخر غير العنوان الّذي وجب به، فإنّه إنّما وجب بعنوان كونه جلوساً بين السّجدتين لا بعدهما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حيث إنّه أتى به بقصد الأمر النّدبيّ، فيكون قد أوقعه على غير وجهه</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الإشكال من الجهة الثّانية مندفع بما تقرّر في محلّه من عدم مدخليّة صفتي الوجوب والنّدب في قوام ذات المطلوب</w:t>
      </w:r>
      <w:r>
        <w:rPr>
          <w:rStyle w:val="FootnoteAnchor"/>
          <w:rtl w:val="true"/>
        </w:rPr>
        <w:footnoteReference w:id="649"/>
      </w:r>
      <w:r>
        <w:rPr>
          <w:rFonts w:ascii="Amiri" w:hAnsi="Amiri" w:eastAsia="Amiri" w:cs="Amiri"/>
          <w:color w:val="111111"/>
          <w:sz w:val="28"/>
          <w:sz w:val="28"/>
          <w:szCs w:val="28"/>
          <w:rtl w:val="true"/>
          <w:lang w:bidi="ar-SA"/>
        </w:rPr>
        <w:t xml:space="preserve">، كي يكون قصدهما معتبراً، أو قصد </w:t>
      </w:r>
    </w:p>
    <w:p>
      <w:pPr>
        <w:pStyle w:val="BookText"/>
        <w:rPr/>
      </w:pPr>
      <w:r>
        <w:rPr>
          <w:rFonts w:ascii="Amiri" w:hAnsi="Amiri" w:eastAsia="Amiri" w:cs="Amiri"/>
          <w:color w:val="111111"/>
          <w:sz w:val="28"/>
          <w:sz w:val="28"/>
          <w:szCs w:val="28"/>
          <w:rtl w:val="true"/>
          <w:lang w:bidi="ar-SA"/>
        </w:rPr>
        <w:t>الخلاف مضرّاً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من الجهة الأولى فالمسألة مبنيّة على أنّ الّذي وقع في حيّز الطّلب هل هو الجلوس بعنوان كونه جلوساً بين السّجدتين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كون هذا العنوان واقعاً في حيّز الطّلب أيضاً حتّى يجب الإتيان به بهذا العنوان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أنّ الّذي وقع في حيّز الطّلب ليس هو إلّا ذات الجلوس بين السّجدتين من دون أخذ هذا العنوان قيداً في مطلوبيّته، فمتى أوقعه قاصداً به جزئيّته من الصّلاة المنويّ بها التّقرّب صار مصداقاً للواجب وقصد كونه للاستراحة، وقصد كونه للاستراحة لا يغيّره عمّا وقع عليه من حصوله عقيب الأولى؟</w:t>
      </w:r>
    </w:p>
    <w:p>
      <w:pPr>
        <w:pStyle w:val="BookText"/>
        <w:rPr/>
      </w:pPr>
      <w:r>
        <w:rPr>
          <w:rFonts w:ascii="Amiri" w:hAnsi="Amiri" w:eastAsia="Amiri" w:cs="Amiri"/>
          <w:color w:val="111111"/>
          <w:sz w:val="28"/>
          <w:sz w:val="28"/>
          <w:szCs w:val="28"/>
          <w:rtl w:val="true"/>
          <w:lang w:bidi="ar-SA"/>
        </w:rPr>
        <w:t>ولا يبعد كون الأقوى هو الثّاني كما قوّاه بعض مشايخنا تبعاً للجواهر</w:t>
      </w:r>
      <w:r>
        <w:rPr>
          <w:rStyle w:val="FootnoteAnchor"/>
          <w:rtl w:val="true"/>
        </w:rPr>
        <w:footnoteReference w:id="650"/>
      </w:r>
      <w:r>
        <w:rPr>
          <w:rFonts w:ascii="Amiri" w:hAnsi="Amiri" w:eastAsia="Amiri" w:cs="Amiri"/>
          <w:color w:val="111111"/>
          <w:sz w:val="28"/>
          <w:sz w:val="28"/>
          <w:szCs w:val="28"/>
          <w:rtl w:val="true"/>
          <w:lang w:bidi="ar-SA"/>
        </w:rPr>
        <w:t>، فيكون الأقوى الاجتزاء به، وعدم الحاجة إلى إعادته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ويشبّه بهذه المسألة ما إذا رفع المأموم رأسه من السّجود فرأى الإمام بعد في السّجود، فتخيّل أنّه بعد في السّجدة الأولى، فسجد بقصد المتابعة في السّجدة الأولى، فلمّا رفع رأسه انكشف أنّها كانت السّجدة الثّانية للإمام، فهل يجزي المأموم في هذه الصّورة ما وقع منه عن السّجدة الثّانية، أو يجب عليه سجدة أخرى؟</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يبعد الإجزاء، وعدم وجوب سجدة أخرى عليه؛ فإنّه قد وقعت منه سجدة ثانية بقصد القربة وإن تخيّل أنّها من جهة المتابعة، فإنّ ذلك لا يغيّرها عمّا </w:t>
      </w:r>
    </w:p>
    <w:p>
      <w:pPr>
        <w:pStyle w:val="BookText"/>
        <w:rPr/>
      </w:pPr>
      <w:r>
        <w:rPr>
          <w:rFonts w:ascii="Amiri" w:hAnsi="Amiri" w:eastAsia="Amiri" w:cs="Amiri"/>
          <w:color w:val="111111"/>
          <w:sz w:val="28"/>
          <w:sz w:val="28"/>
          <w:szCs w:val="28"/>
          <w:rtl w:val="true"/>
          <w:lang w:bidi="ar-SA"/>
        </w:rPr>
        <w:t>وقعت عليه، وليس قصد كونها ثانية استقلالاً لا للمتابعة قيداً في المطلوب ليجب قصده، أو يقدح قصد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فبناءً على القول بكونه واجباً مستقلَّاً يجب إعادته، وكذا على القول بكونه مقدّمة للسجدة الثّانية بمعنى كون سجوده واقعاً عن اعتدالٍ جلوسيّ من دون تحقّق فصل أصلاً، بل وكذا على القول بكون وجوبه من لواحق السّجدة الأولى، بمعنى وجوب رفع رأسه من السّجدة الأولى بحيث ينتهي إلى اعتدالٍ جلوسيّ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القول بوجوبه للفصل والتّمييز بين السّجدتين، أو من شؤون السّجدة الثّانية لكن في قبال عدم إكمال رفع الرّأس من السّجدة الأولى، فلا يجب إعادته</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لا يبعد أنّ الظّاهر من النّصوص</w:t>
      </w:r>
      <w:r>
        <w:rPr>
          <w:rStyle w:val="FootnoteAnchor"/>
          <w:rtl w:val="true"/>
        </w:rPr>
        <w:footnoteReference w:id="651"/>
      </w:r>
      <w:r>
        <w:rPr>
          <w:rFonts w:ascii="IRNazanin" w:hAnsi="IRNazanin" w:eastAsia="IRNazanin"/>
          <w:color w:val="111111"/>
          <w:sz w:val="28"/>
          <w:sz w:val="28"/>
          <w:szCs w:val="28"/>
          <w:rtl w:val="true"/>
          <w:lang w:bidi="fa-IR"/>
        </w:rPr>
        <w:t>والفتاوى</w:t>
      </w:r>
      <w:r>
        <w:rPr>
          <w:rStyle w:val="FootnoteAnchor"/>
          <w:rtl w:val="true"/>
        </w:rPr>
        <w:footnoteReference w:id="652"/>
      </w:r>
      <w:r>
        <w:rPr>
          <w:rFonts w:ascii="IRNazanin" w:hAnsi="IRNazanin" w:eastAsia="IRNazanin"/>
          <w:color w:val="111111"/>
          <w:sz w:val="28"/>
          <w:sz w:val="28"/>
          <w:szCs w:val="28"/>
          <w:rtl w:val="true"/>
          <w:lang w:bidi="fa-IR"/>
        </w:rPr>
        <w:t xml:space="preserve">هو الوجوب المستقلّ، </w:t>
      </w:r>
    </w:p>
    <w:p>
      <w:pPr>
        <w:pStyle w:val="BookText"/>
        <w:rPr/>
      </w:pPr>
      <w:r>
        <w:rPr>
          <w:rFonts w:ascii="Amiri" w:hAnsi="Amiri" w:eastAsia="Amiri" w:cs="Amiri"/>
          <w:color w:val="111111"/>
          <w:sz w:val="28"/>
          <w:sz w:val="28"/>
          <w:szCs w:val="28"/>
          <w:rtl w:val="true"/>
          <w:lang w:bidi="ar-SA"/>
        </w:rPr>
        <w:t>فتجب الإعادة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فقد حُكي</w:t>
      </w:r>
      <w:r>
        <w:rPr>
          <w:rStyle w:val="FootnoteAnchor"/>
          <w:rtl w:val="true"/>
        </w:rPr>
        <w:footnoteReference w:id="653"/>
      </w:r>
      <w:r>
        <w:rPr>
          <w:rFonts w:ascii="Amiri" w:hAnsi="Amiri" w:eastAsia="Amiri" w:cs="Amiri"/>
          <w:color w:val="111111"/>
          <w:sz w:val="28"/>
          <w:sz w:val="28"/>
          <w:szCs w:val="28"/>
          <w:rtl w:val="true"/>
          <w:lang w:bidi="ar-SA"/>
        </w:rPr>
        <w:t>عن الشيّخ</w:t>
      </w:r>
      <w:r>
        <w:rPr>
          <w:rStyle w:val="FootnoteAnchor"/>
          <w:rtl w:val="true"/>
        </w:rPr>
        <w:footnoteReference w:id="654"/>
      </w:r>
      <w:r>
        <w:rPr>
          <w:rFonts w:ascii="Amiri" w:hAnsi="Amiri" w:eastAsia="Amiri" w:cs="Amiri"/>
          <w:color w:val="111111"/>
          <w:sz w:val="28"/>
          <w:sz w:val="28"/>
          <w:szCs w:val="28"/>
          <w:rtl w:val="true"/>
          <w:lang w:bidi="ar-SA"/>
        </w:rPr>
        <w:t>، والعلّامة في المنتهى</w:t>
      </w:r>
      <w:r>
        <w:rPr>
          <w:rStyle w:val="FootnoteAnchor"/>
          <w:rtl w:val="true"/>
        </w:rPr>
        <w:footnoteReference w:id="655"/>
      </w:r>
      <w:r>
        <w:rPr>
          <w:rFonts w:ascii="Amiri" w:hAnsi="Amiri" w:eastAsia="Amiri" w:cs="Amiri"/>
          <w:color w:val="111111"/>
          <w:sz w:val="28"/>
          <w:sz w:val="28"/>
          <w:szCs w:val="28"/>
          <w:rtl w:val="true"/>
          <w:lang w:bidi="ar-SA"/>
        </w:rPr>
        <w:t>، وغيرهما</w:t>
      </w:r>
      <w:r>
        <w:rPr>
          <w:rStyle w:val="FootnoteAnchor"/>
          <w:rtl w:val="true"/>
        </w:rPr>
        <w:footnoteReference w:id="656"/>
      </w:r>
      <w:r>
        <w:rPr>
          <w:rFonts w:ascii="IRNazanin" w:hAnsi="IRNazanin" w:eastAsia="IRNazanin"/>
          <w:color w:val="111111"/>
          <w:sz w:val="28"/>
          <w:sz w:val="28"/>
          <w:szCs w:val="28"/>
          <w:rtl w:val="true"/>
          <w:lang w:bidi="fa-IR"/>
        </w:rPr>
        <w:t>عدم الوجوب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واستدلّ لهم</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بالأخبار المتقدّمة الآمرة بالسّجود من غير استفصال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الواجب هو الفصل بين السّجدتين، وقد تحقّق بالقيام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خرج بالقيام عن قابلية التّدارك؛ لأنّه مقيّد بوقوعه بين السّجدتين، وقد تعذّر حصوله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على الأولى أنّ ترك الاستفصال ليس هو إلّا لأنّ السّؤال عن السّجدة دون غيرها، فليست هي في مقام البيان بالنّسبة إلى غيرها لو كان منسيّاً</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الثّانية ما عرفت من أنّ ظاهر النّصوص والفتاوى كونه واجباً مستقلَّاً، وعلى تقدير أنّ وجوبه للفصل، فالظّاهر أنّ الواجب هو الفصل به، لا مطلق الفصل بأيّ شيء كان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وعلى الثّالثة بمنع تقييده بكونه بين السّجدتين بحيث لا يفصل بينهما شيء أصلاً، ولذا لا مانع عن الالتزام بجواز القيام اختياراً قبله أو بعده لأن يتناول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 يتحقّق به فعل كثير مبطل للصلاة، فالقول بوجوب تداركه في هذه الصّورة أوفق بالقواعد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 فقد يقال فيه بعدم وجوب التّدارك؛ استناداً إلى قاعدة عدم الاعتناء بالشّكّ بعد تجاوز المحلّ، لكن ربّما يستشكل في ذلك من 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بعد رجوعه لتدارك السّجدة يرجع شكّه إلى الشّكّ فيه وهو في محلّه، والمسألة لها نظائرٌ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قام إلى الرّكعة الثّالثة ثمّ ذكر نسيان التّشهد وشكّ في السّجدة الثّانية من الرّكعة الثّانية، فإنّه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 رجع لتدارك التّشهد يكون شكّه بالنّسبة إلى السّجدة شكّاً في المحلّ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يعتبر في القاعدة على ما هو المنساق من أدلّتها أن يكون الشّكّ في الشّيء بعد التّلبّس بما هو مترتّب عليه بشرط عدم العلم، بأنّ تلبّسه به بعنوانه المترتّب قد صدر منه خطأً، وأمّا مع علمه بذلك فلا عبرة بتلبّسه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الإشكال من الجهة الأولى مندفع</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العود إلى المحلّ لا ينفي صدق الخروج منه والتّجاوز عنه، بل هو مؤكّد له، وإلّا لم يصدق العود، ولذا لا نفرّق في جريان القاعدة المزبورة بين أن يكون حدوثه قبل العود إلى المحلّ أو بعده، كما لا نفرّق أيضاً بين أن يكون حدوثه بعد العلم بذلك الخلل الّذي يجب العود لتداركه أو معه أو قبله، مثلاً إذا قام إلى الرّكعة </w:t>
      </w:r>
    </w:p>
    <w:p>
      <w:pPr>
        <w:pStyle w:val="BookText"/>
        <w:rPr/>
      </w:pPr>
      <w:r>
        <w:rPr>
          <w:rFonts w:ascii="Amiri" w:hAnsi="Amiri" w:eastAsia="Amiri" w:cs="Amiri"/>
          <w:color w:val="111111"/>
          <w:sz w:val="28"/>
          <w:sz w:val="28"/>
          <w:szCs w:val="28"/>
          <w:rtl w:val="true"/>
          <w:lang w:bidi="ar-SA"/>
        </w:rPr>
        <w:t>الثّالثة فشكّ في السّجدة الثّانية من الرّكعة الثّانية، وعلم بنسيانه للتّشهد، فهو شكّ بعد تجاوز المحلّ سواء حدث في حال القيام واستمرّ إلى أن جلس لتدارك التّشهّد، أو حدث بعد جلوسه للتدارك، وسواء حدث قبل العلم بنسيان التّشهّد أو بعده أو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 أنّه إذا عاد للتدارك وكان الشّكّ مستمرّاً أو حدث بعد العود يصدق عليه أنّه شكٌّ في المحلّ، فيجب الاعتناء به، مدفوعة بأنّ المدار في الاعتناء بالشّكّ على عدم الخروج عنه، لا على الكون فيه، ورجوعه إليه لتدارك الخلل المعلوم لا يوجب عدم تحقّق الخروج عنه؛ إذ الشّيء لا ينقلب عمّا وقع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الجلوس لتدارك التّشهّد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جلوس آخر غير الجلوس الأوّل الّذي لم يتحقّق به الخروج عن المحلّ بالنّسبة إلى السّجدة الثّانية؛ فإنّ ذاك قد انعدم وتحقّق التّجاوز عنه بالقيام إلى الثّالثة، فهذا الجلوس الجديد هو بنفسه كالقيام إلى القراءة ممّا به يتحقّق التّجاوز أيضاً،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يجاب</w:t>
      </w:r>
      <w:r>
        <w:rPr>
          <w:rStyle w:val="FootnoteAnchor"/>
          <w:rtl w:val="true"/>
        </w:rPr>
        <w:footnoteReference w:id="658"/>
      </w:r>
      <w:r>
        <w:rPr>
          <w:rFonts w:ascii="Amiri" w:hAnsi="Amiri" w:eastAsia="Amiri" w:cs="Amiri"/>
          <w:color w:val="111111"/>
          <w:sz w:val="28"/>
          <w:sz w:val="28"/>
          <w:szCs w:val="28"/>
          <w:rtl w:val="true"/>
          <w:lang w:bidi="ar-SA"/>
        </w:rPr>
        <w:t>عن أصل الإشكال بجواب ثالث،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المدار والملاك في المحلّ الّذي يتحقّق به التّجاوز وعدمه هو المحلّ الّذي يعرض فيه الشّكّ، لا المحلّ الّذي يرجع إليه لتدارك خلل آخر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بشيء، كما يظهر وجه ذلك بالتّأمّل، ويلزم عليه التّفصيل بين حدوث الشّكّ قبل العود وبعده</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الجهة الثّانية من الإشكال فالظّاهر أنّها ممّا لا مدفع لها؛ وذلك لأنّه يعتبر </w:t>
      </w:r>
    </w:p>
    <w:p>
      <w:pPr>
        <w:pStyle w:val="BookText"/>
        <w:rPr/>
      </w:pPr>
      <w:r>
        <w:rPr>
          <w:rFonts w:ascii="Amiri" w:hAnsi="Amiri" w:eastAsia="Amiri" w:cs="Amiri"/>
          <w:color w:val="111111"/>
          <w:sz w:val="28"/>
          <w:sz w:val="28"/>
          <w:szCs w:val="28"/>
          <w:rtl w:val="true"/>
          <w:lang w:bidi="ar-SA"/>
        </w:rPr>
        <w:t>في الغير الّذي يتحقّق به التّجاوز عن محلّ المشكوك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ذلك الغير مترتّباً على المشكوك، فلو لم يكن مترتّباً أو شُكّ في كونه كذلك لم تجرِ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وتتفرّع على هذا الشّرط فروع كثيرة يمتنع جريان القاعدة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لو اعتقد عقيب الرّابعة أنّه صلّى ثلاثاً، فقام إلى الخامسة بزعم أنّها رابعة ثمّ انكشف خطؤه، وشكّ في أنّ قيامه للخامسة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أتى بها بقصد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كان قبل التّشهد والتّسليم أم بعدهما؟</w:t>
      </w:r>
    </w:p>
    <w:p>
      <w:pPr>
        <w:pStyle w:val="BookText"/>
        <w:rPr/>
      </w:pPr>
      <w:r>
        <w:rPr>
          <w:rFonts w:ascii="Amiri" w:hAnsi="Amiri" w:eastAsia="Amiri" w:cs="Amiri"/>
          <w:color w:val="111111"/>
          <w:sz w:val="28"/>
          <w:sz w:val="28"/>
          <w:szCs w:val="28"/>
          <w:rtl w:val="true"/>
          <w:lang w:bidi="ar-SA"/>
        </w:rPr>
        <w:t>فإنّ هذا ليس شكّاً في الشّيء بعد تجاوز محلّه؛ فإنّ التّجاوز عن محلّ التّسليم إنّما يتحقّق بالتّلبّس بغيره إذا كان ذلك الغير مترتّباً على التّسليم، كالتّلبّس بصلاة العصر أو التّعقيب ونحوه ممّا لا يأتي به إلّا بعد التّسليم، دون ما إذا تلبّس بما كان التّسليم مترتّباً عليه؛ إذ التّجاوز عن محلّ الشّيء عبارة عن المضيّ عن ذلك المحلّ، فلا يتحقّق بالعود إلى ما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صلّى الظّهر أربع ركعات وتشهّد عقيبها، ثمّ أتى بركعة خامسة، فشكّ في أنّه هل أتى بهذه الرّكعة بعد الفراغ من الظّهر بنيّة العصر فهي أُولى العصر، أو أنّها زيادةٌ في الظّهر، وقد قام إليها عقيب التّشهّد غفلة بتوهّم كونه التّشهّد الأوّليّ؟</w:t>
      </w:r>
    </w:p>
    <w:p>
      <w:pPr>
        <w:pStyle w:val="BookText"/>
        <w:rPr/>
      </w:pPr>
      <w:r>
        <w:rPr>
          <w:rFonts w:ascii="Amiri" w:hAnsi="Amiri" w:eastAsia="Amiri" w:cs="Amiri"/>
          <w:color w:val="111111"/>
          <w:sz w:val="28"/>
          <w:sz w:val="28"/>
          <w:szCs w:val="28"/>
          <w:rtl w:val="true"/>
          <w:lang w:bidi="ar-SA"/>
        </w:rPr>
        <w:t>فإنّ الحكم في هذه الصّورة أنّه إن كان في حال القيام جلس وسلّم للظهر، ثمّ أتى بالعصر، وإن كان بعد الرّكوع أعاد الظّهر أيضاً؛ لقاعدة الشّغل</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تجرى في الفرض قاعدة الشّكّ بعد الفراغ أو بعد تجاوز المحلّ بالنّسبة إلى شيء من الصّلاتين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بالنّسبة إلى العصر فواضح؛ إذ لم يحرز التّلبّس بها كي يحكم بصحّتها، ولا يجدي البناء على صحّة التّلبّس بهذه الرّكعة في الحكم بكونها أُولى العصر أو عدم كونها زيادة في الظّهر؛ إذ لا اعتداد بالأصول المثبتة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بالنّسبة إلى الظّهر فجريان قاعدة الشّكّ بعد الفراغ موقوف على إحراز تحقّق الفراغ منها، وهو غير محرز؛ إذ المفروض أنّ الشّكّ تعلّق بأنّ هذه الرّكعة هل وقعت في أثناء الظّهر على سبيل الزّيادة أم بعدها بنيّة العصر، فلا تجري هذه القاعدة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قاعدة الشّكّ بعد تجاوز المحلّ فلعدم إحراز كون الغير الّذي دخل فيه مترتّباً على المشكوك؛ إذ لم يحرز كون هذه الرّكعة الّتي بيده هي أُولى العصر لتكون مترتّبة على المشكوك؛ إذ لو كانت زيادة في الظّهر لم تكن مترتّبة على التّسليم، كما عرفت تفصيله في الفرع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يعتبر في جريان قاعدة التّجاوز عدم العلم بأنّ تلبّسه بذلك الغير المترتّب قد صدر منه خطأً بعنوانه المترتّب على المشكوك، أمّا لو علم بذلك فلا عبرة بتلبّسه به</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علم بأنّ قيامه إلى الثّانية صدر منه سهواً قبل إكمال الأولى، ولكن تردّد في أنّ سهوه هل تعلّق به حين رفع رأسه من الرّكوع، أو بعد السّجدة الأولى، أو بعد الجلسة الواقعة عقيبها؟ لا يصحّ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بالنّسبة إلى ما عدا السّجدة الأخيرة الّتي هي معلومة الفوات أنّه شاكّ في الشّيء بعد تجاوز محلّه؛ إذ ليس لقيامه الّذي علم بصدوره منه سهواً قبل فراغه من الأولى مرتبةٌ مقرّرةٌ حتّى يتحقّق به مفهوم التّجاوز، </w:t>
      </w:r>
    </w:p>
    <w:p>
      <w:pPr>
        <w:pStyle w:val="BookText"/>
        <w:rPr/>
      </w:pPr>
      <w:r>
        <w:rPr>
          <w:rFonts w:ascii="Amiri" w:hAnsi="Amiri" w:eastAsia="Amiri" w:cs="Amiri"/>
          <w:color w:val="111111"/>
          <w:sz w:val="28"/>
          <w:sz w:val="28"/>
          <w:szCs w:val="28"/>
          <w:rtl w:val="true"/>
          <w:lang w:bidi="ar-SA"/>
        </w:rPr>
        <w:t>بل القيام لدى التّحقيق صدر منه قبل أن يحلّ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يلزمك على هذا عدم إجراء القاعدة فيما إذا قام إلى الثّالثة، ثمّ علم نسيانه للتشهّد وشكّ في السّجود؛ فإنّه علم بصدور القيام المذكور منه خطأً في غير محلّه، فلا يكفي في إجراء القاعدة بالنّسبة إلى السّجود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 بين المقامين؛ فإنّ القيام إلى ركعة من حيث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كانت ثانية أو ثالثة أو رابعة، بل ولو كانت زائدة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محلّ مقرّر، وهو بعد الفراغ من سابقتها الّذي لا يتحقّق إلّا بالرّفع من السّجدة الأخيرة، والتّلبّس بها سهواً قبل التّشهّد لتوهّم كونها ثانية أو 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يستلزم الغفلة عن مرتبتها من حيث كونها بعد ركعة، فلم يحرز في المثال خطؤه من هذه الجهة حتّى ينافي ذلك صدق اسم التّجاوز عن المحلّ، وهذا بخلاف ما سبق؛ فإنّه قد علم بصدور الرّكعة خطأً في أثناء سابقتها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القيام إلى الرّكعة الثّالثة فيه جهتان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قيام إلى ركعة بعد ركعة، وهذا لا يكون إلّا بعد الفراغ من الرّكعة السّابقة، وليس هذا مترتّباً على كونها ركعة ثالثة، بل على كونه قياماً إلى ركعة بعد ركعة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قيام إلى ركعة ثالثة، وهو لا يكون إلّا بعد الإتيان بالتّشهّد، فإذا علم فيه الخطأ من الجهة الثّانية لا يقدح في الجهة الأولى، بل تبقى على أماريّتها وكاشفيّتها في الفراغ عن الرّكعة السّابقة</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بخلاف المسألة السّابقة الّتي منها المسألة الّتي هي محلّ الكلام، فإنّه ليس هناك إلّا جهة واحدة، وهي كونه قياماً إلى ركعة بعد ركعة، وهذا لا يكون إلّا بعد </w:t>
      </w:r>
    </w:p>
    <w:p>
      <w:pPr>
        <w:pStyle w:val="BookText"/>
        <w:rPr/>
      </w:pPr>
      <w:r>
        <w:rPr>
          <w:rFonts w:ascii="Amiri" w:hAnsi="Amiri" w:eastAsia="Amiri" w:cs="Amiri"/>
          <w:color w:val="111111"/>
          <w:sz w:val="28"/>
          <w:sz w:val="28"/>
          <w:szCs w:val="28"/>
          <w:rtl w:val="true"/>
          <w:lang w:bidi="ar-SA"/>
        </w:rPr>
        <w:t>الفراغ من السّابقة، فإذا علم بالخطأ فيه، وأنّه وقع في أثناء الرّكعة السّابقة، فلا تبقى فيه جهة أُخرى يكون بها كاشفاً عن إتيان بعض الأجزاء المشكوكة من تلك الرّكعة ممّا عدا ذلك الجزء المعلوم فواته</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تلخّص ممّا ذكر أنّ إجراء القاعدة في المسألة الّتي هي محلّ الكلام لا يخلو عن إشكال، وطريق الاحتياط غير خفيّ</w:t>
      </w:r>
      <w:r>
        <w:rPr>
          <w:rFonts w:eastAsia="Amiri" w:cs="Amiri" w:ascii="Amiri" w:hAnsi="Amiri"/>
          <w:color w:val="111111"/>
          <w:sz w:val="28"/>
          <w:szCs w:val="28"/>
          <w:rtl w:val="true"/>
          <w:lang w:bidi="ar-SA"/>
        </w:rPr>
        <w:t xml:space="preserve">. </w:t>
      </w:r>
      <w:bookmarkStart w:id="730" w:name="pg9142_80954"/>
    </w:p>
    <w:p>
      <w:pPr>
        <w:pStyle w:val="Heading6"/>
        <w:numPr>
          <w:ilvl w:val="5"/>
          <w:numId w:val="1"/>
        </w:numPr>
        <w:rPr/>
      </w:pPr>
      <w:bookmarkStart w:id="731" w:name="__RefHeading___Toc3266588_2870459653"/>
      <w:bookmarkStart w:id="732" w:name="_Toc275"/>
      <w:bookmarkEnd w:id="730"/>
      <w:bookmarkEnd w:id="731"/>
      <w:r>
        <w:rPr>
          <w:rtl w:val="true"/>
        </w:rPr>
        <w:t xml:space="preserve">فائدة </w:t>
      </w:r>
      <w:r>
        <w:rPr>
          <w:rtl w:val="true"/>
        </w:rPr>
        <w:t xml:space="preserve">- </w:t>
      </w:r>
      <w:r>
        <w:rPr>
          <w:rtl w:val="true"/>
        </w:rPr>
        <w:t>الصّورة الرّابعة</w:t>
      </w:r>
      <w:r>
        <w:rPr>
          <w:rtl w:val="true"/>
        </w:rPr>
        <w:t xml:space="preserve">: </w:t>
      </w:r>
      <w:r>
        <w:rPr>
          <w:rtl w:val="true"/>
        </w:rPr>
        <w:t>نسيان التّشهّد وتذكّره قبل الرّكوع</w:t>
      </w:r>
      <w:bookmarkEnd w:id="732"/>
    </w:p>
    <w:p>
      <w:pPr>
        <w:pStyle w:val="BookText"/>
        <w:rPr/>
      </w:pPr>
      <w:r>
        <w:rPr>
          <w:rFonts w:ascii="Amiri" w:hAnsi="Amiri" w:eastAsia="Amiri" w:cs="Amiri"/>
          <w:color w:val="111111"/>
          <w:sz w:val="28"/>
          <w:sz w:val="28"/>
          <w:szCs w:val="28"/>
          <w:rtl w:val="true"/>
          <w:lang w:bidi="ar-SA"/>
        </w:rPr>
        <w:t>إذا نسي التّشهّد وذكر قبل أن يركع رجع فتلافاه، ثمّ قام وأتى بما يلزم من قراءة أو تسبيح ثمّ ركع، والحكم في ذلك وفاقيّ موافق للقاعدة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ويدلّ عليه مضافاً إلى ذلك بعض الأخبار الخاصّة، كصحيحة سليمان بن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نسي أن يجلس في الرّكعتين الأوّلتين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ذكر قبل أن يركع فليجلس، وإن لم يذكر حتّى يركع فليتمّ صلاته حتّى إذا فرغ فليسلّم، وليسجد سجدتي السّهو</w:t>
      </w:r>
      <w:r>
        <w:rPr>
          <w:rFonts w:eastAsia="IRNazanin" w:cs="IRNazanin"/>
          <w:color w:val="111111"/>
          <w:sz w:val="28"/>
          <w:szCs w:val="28"/>
          <w:rtl w:val="true"/>
          <w:lang w:bidi="fa-IR"/>
        </w:rPr>
        <w:t>)</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وصحيحة عبد الله بن أبي يعفور،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يصلّي ركعتين من المكتوبة فلا يجلس فيهما،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ذكر وهو قائم في الثّالثة فليجلس، وإن لم يذكر حتّى ركع فليتمّ صلاته، ثمّ يسجد سجدتين وهو جالس قبل أن يتكلّم</w:t>
      </w:r>
      <w:r>
        <w:rPr>
          <w:rFonts w:eastAsia="IRNazanin" w:cs="IRNazanin"/>
          <w:color w:val="111111"/>
          <w:sz w:val="28"/>
          <w:szCs w:val="28"/>
          <w:rtl w:val="true"/>
          <w:lang w:bidi="fa-IR"/>
        </w:rPr>
        <w:t>)</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 xml:space="preserve">. </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وحسنة الحلبيّ أو صحيحته،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قمت في الرّكعتين من الظّهر ومن غيرها ولم تتشهّد فيهما، فذكرت ذلك في الرّكعة الثّالثة قبل أن تركع فاجلس وتشهّد، وقم فأتمّ صلاتك، وإن لم تذكر حتّى تركع فامض في صلاتك حتّى تفرغ، فإذا فرغت فاسجد سجدتي السّهو بعد التّسليم قبل أن تتكلّم</w:t>
      </w:r>
      <w:r>
        <w:rPr>
          <w:rFonts w:eastAsia="IRNazanin" w:cs="IRNazanin"/>
          <w:color w:val="111111"/>
          <w:sz w:val="28"/>
          <w:szCs w:val="28"/>
          <w:rtl w:val="true"/>
          <w:lang w:bidi="fa-IR"/>
        </w:rPr>
        <w:t>)</w:t>
      </w:r>
      <w:r>
        <w:rPr>
          <w:rStyle w:val="FootnoteAnchor"/>
          <w:rtl w:val="true"/>
        </w:rPr>
        <w:footnoteReference w:id="6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الرّوايات الدّالّة عليه</w:t>
      </w:r>
      <w:r>
        <w:rPr>
          <w:rFonts w:eastAsia="Amiri" w:cs="Amiri" w:ascii="Amiri" w:hAnsi="Amiri"/>
          <w:color w:val="111111"/>
          <w:sz w:val="28"/>
          <w:szCs w:val="28"/>
          <w:rtl w:val="true"/>
          <w:lang w:bidi="ar-SA"/>
        </w:rPr>
        <w:t xml:space="preserve">. </w:t>
      </w:r>
      <w:bookmarkStart w:id="733" w:name="pg9142_80957"/>
    </w:p>
    <w:p>
      <w:pPr>
        <w:pStyle w:val="Heading4"/>
        <w:numPr>
          <w:ilvl w:val="3"/>
          <w:numId w:val="1"/>
        </w:numPr>
        <w:rPr/>
      </w:pPr>
      <w:bookmarkStart w:id="734" w:name="__RefHeading___Toc3266590_2870459653"/>
      <w:bookmarkStart w:id="735" w:name="_Toc276"/>
      <w:bookmarkEnd w:id="733"/>
      <w:bookmarkEnd w:id="734"/>
      <w:r>
        <w:rPr>
          <w:rtl w:val="true"/>
        </w:rPr>
        <w:t>عائدة</w:t>
      </w:r>
      <w:bookmarkEnd w:id="735"/>
    </w:p>
    <w:p>
      <w:pPr>
        <w:pStyle w:val="BookText"/>
        <w:rPr/>
      </w:pPr>
      <w:r>
        <w:rPr>
          <w:rFonts w:ascii="Amiri" w:hAnsi="Amiri" w:eastAsia="Amiri" w:cs="Amiri"/>
          <w:color w:val="111111"/>
          <w:sz w:val="28"/>
          <w:sz w:val="28"/>
          <w:szCs w:val="28"/>
          <w:rtl w:val="true"/>
          <w:lang w:bidi="ar-SA"/>
        </w:rPr>
        <w:t>عائدة</w:t>
      </w:r>
      <w:r>
        <w:rPr>
          <w:rStyle w:val="FootnoteAnchor"/>
          <w:rtl w:val="true"/>
        </w:rPr>
        <w:footnoteReference w:id="662"/>
      </w:r>
    </w:p>
    <w:p>
      <w:pPr>
        <w:pStyle w:val="BookText"/>
        <w:rPr/>
      </w:pPr>
      <w:r>
        <w:rPr>
          <w:rFonts w:ascii="Amiri" w:hAnsi="Amiri" w:eastAsia="Amiri" w:cs="Amiri"/>
          <w:color w:val="111111"/>
          <w:sz w:val="28"/>
          <w:sz w:val="28"/>
          <w:szCs w:val="28"/>
          <w:rtl w:val="true"/>
          <w:lang w:bidi="ar-SA"/>
        </w:rPr>
        <w:t>ربّما يفصّل في مسألة القيام إلى الرّكعة الثّالثة</w:t>
      </w:r>
      <w:r>
        <w:rPr>
          <w:rStyle w:val="FootnoteAnchor"/>
          <w:rtl w:val="true"/>
        </w:rPr>
        <w:footnoteReference w:id="663"/>
      </w:r>
      <w:r>
        <w:rPr>
          <w:rFonts w:ascii="Amiri" w:hAnsi="Amiri" w:eastAsia="Amiri" w:cs="Amiri"/>
          <w:color w:val="111111"/>
          <w:sz w:val="28"/>
          <w:sz w:val="28"/>
          <w:szCs w:val="28"/>
          <w:rtl w:val="true"/>
          <w:lang w:bidi="ar-SA"/>
        </w:rPr>
        <w:t>إذا ذكر نسيان التّشهّد وشكّ في السّجود بالنّسبة إلى جريان قاعدة التّجاوز بين أن يكون شكّه في السّجود متفرّعاً على علمه بنسيان التّشهّد، بمعنى أنّه لمّا علم بنسيان التّشهّد شكّ في أنّ المنسي هو التّشهّد فقط أو هو مع السّجود، فلا تجري القاعدة، أو يكون شكّه في السّجود شكّاً مستقلَّاً لا ربط له بتذكّر نسيان التّشهّد، كما إذا شكّ أوّلاً في السّجود وهو في حال القيام إلى الثّالثة، ثمّ ذكر نسيان التّشهّد، فتجري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وكأنّ المستند في هذا التّفصيل هو أنّه في الصّورة الأولى يعلم بصدور القيام منه خطأً، ولكن لا يعلم أنّ الخطأ في ترك التّشهّد فقط، أو هو مع ما قبله فلا تجري القاعدة في المشكوك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بخلاف الصّورة الثّانية، فإنّ شكّه في السّجود ليس من جهة علمه بالخطأ في القيام، بل هو شكّ مستقلّ فتجري فيه القاعدة</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ولكنّك بعد الإحاطة بما ذكرناه في الفرق بين هذه المسألة والمسألة الأُخرى تعرف فساد هذا التّفصيل، وأنّ الحقّ جريان القاعدة في هذه المسألة في كلتا الصّورتين</w:t>
      </w:r>
      <w:r>
        <w:rPr>
          <w:rFonts w:eastAsia="Amiri" w:cs="Amiri" w:ascii="Amiri" w:hAnsi="Amiri"/>
          <w:color w:val="111111"/>
          <w:sz w:val="28"/>
          <w:szCs w:val="28"/>
          <w:rtl w:val="true"/>
          <w:lang w:bidi="ar-SA"/>
        </w:rPr>
        <w:t xml:space="preserve">. </w:t>
      </w:r>
      <w:bookmarkStart w:id="736" w:name="pg9142_80959"/>
    </w:p>
    <w:p>
      <w:pPr>
        <w:pStyle w:val="Heading4"/>
        <w:numPr>
          <w:ilvl w:val="3"/>
          <w:numId w:val="1"/>
        </w:numPr>
        <w:rPr/>
      </w:pPr>
      <w:bookmarkStart w:id="737" w:name="__RefHeading___Toc3266592_2870459653"/>
      <w:bookmarkStart w:id="738" w:name="_Toc277"/>
      <w:bookmarkEnd w:id="736"/>
      <w:bookmarkEnd w:id="737"/>
      <w:r>
        <w:rPr>
          <w:rtl w:val="true"/>
        </w:rPr>
        <w:t>مصادر التّحقيق</w:t>
      </w:r>
      <w:bookmarkEnd w:id="738"/>
    </w:p>
    <w:p>
      <w:pPr>
        <w:pStyle w:val="BookText"/>
        <w:rPr/>
      </w:pP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إرشاد الأذهان إلى أحكام الإيمان، الشّيخ أبو منصور الحسن بن يوسف بن المطهّر المشتهر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الحلّيّ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فارس الحسّون،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التّابعة لجماعة المدرّسين، الطّبعة الأولى،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الاستبصار فيما اختلف من الأخبار، شيخ الطّائفة أبو جعفر 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حسن الموسويّ الخرسان،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خورشيد، الطّبعة الرابعة، </w:t>
      </w:r>
      <w:r>
        <w:rPr>
          <w:rFonts w:eastAsia="Amiri" w:cs="Amiri" w:ascii="Amiri" w:hAnsi="Amiri"/>
          <w:color w:val="111111"/>
          <w:sz w:val="28"/>
          <w:szCs w:val="28"/>
          <w:lang w:bidi="ar-SA"/>
        </w:rPr>
        <w:t>1363</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إصباح الشّيعة بمصباح الشّريعة، قطب الدين البيهقيّ الكيدريّ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إبراهيم البهادري،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الطّبعة الأولى،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بغية الطّالب في معرفة المفروض والواجب، الشّيخ جعفر الجناجيّ النّجفيّ المعروف بالشّيخ جعفر كاشف الغطاء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خزانة مخطوطات مكتبة الإمام الشّيخ محمد حسين آل كاشف الغطاء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تحت تسلسل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البيان، الشّيخ محمّد بن مكّي الجزينيّ العامليّ المشتهر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786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الحسّون،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الطّبعة الأولى،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تحرير الأحكام الشّرعيّة على مذهب الإماميّة، الشّيخ جمال الدّين أبو منصور الحسن ابن يوسف المطهّر الحلّيّ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إبراهيم البهادريّ،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الطّبعة الأولى،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تذكرة الفقهاء، العلّامة الحسن بن يوسف بن المطهّر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w:t>
      </w:r>
    </w:p>
    <w:p>
      <w:pPr>
        <w:pStyle w:val="BookText"/>
        <w:rPr/>
      </w:pPr>
      <w:r>
        <w:rPr>
          <w:rFonts w:ascii="IRNazanin" w:hAnsi="IRNazanin" w:eastAsia="IRNazanin"/>
          <w:color w:val="111111"/>
          <w:sz w:val="28"/>
          <w:sz w:val="28"/>
          <w:szCs w:val="28"/>
          <w:rtl w:val="true"/>
          <w:lang w:bidi="fa-IR"/>
        </w:rPr>
        <w:t>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لإحياء التّراث،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الطّبعة الأولى،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تهذيب الأحكام في شرح المقنعة، شيخ الطّائفة أبو جعفر 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هاشم رسولي المحلّاتي، النّاشر دار الكتب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الطّبعة الرّابعة،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المقاصد في شرح القواعد، الشّيخ عليّ بن الحسين الكركيّ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940</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الثّانية،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الجامع للشرائع، الشّيخ يحيى بن سعيد الحلّي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689</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من الفضلاء،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سيّد الشّهداء، المطبعة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الجمل والعقود في العبادات، شيخ الطّائفة أبو جعفر محمّد بن الحسن بن عليّ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تصحيح وترجمة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واعظ زاده الخراسانيّ، </w:t>
      </w:r>
      <w:r>
        <w:rPr>
          <w:rFonts w:eastAsia="Amiri" w:cs="Amiri" w:ascii="Amiri" w:hAnsi="Amiri"/>
          <w:color w:val="111111"/>
          <w:sz w:val="28"/>
          <w:szCs w:val="28"/>
          <w:lang w:bidi="ar-SA"/>
        </w:rPr>
        <w:t>1347</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جواهر الفقه، الفقيه الأقدم القاضي عبد العزيز بن البرّاج الطّرابلسيّ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481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بهادريّ، ناشر وطبع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التّابعة لجامعة المدرّسين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الطّبعة الأولى،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جواهر الكلام في شرح شرائع الإسلام، الشّيخ محمّد حسن النّجفيّ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1266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عباس القوجائيّ وعليّ آخوندي،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الطّبعة السّابعة،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حاشية شرائع الإسلام، الشّيخ زين الدّين بن عليّ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المشتهر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965</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الأبحاث والدّراسات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إحياء </w:t>
      </w:r>
    </w:p>
    <w:p>
      <w:pPr>
        <w:pStyle w:val="BookText"/>
        <w:rPr/>
      </w:pPr>
      <w:r>
        <w:rPr>
          <w:rFonts w:ascii="Amiri" w:hAnsi="Amiri" w:eastAsia="Amiri" w:cs="Amiri"/>
          <w:color w:val="111111"/>
          <w:sz w:val="28"/>
          <w:sz w:val="28"/>
          <w:szCs w:val="28"/>
          <w:rtl w:val="true"/>
          <w:lang w:bidi="ar-SA"/>
        </w:rPr>
        <w:t>التّراث الإسلاميّ،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بوستان كتاب قمّ،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مكتب الإعلام الإسلامي، الطّبعة الأولى،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الحاشية على مدارك الأحكام، الشّيخ محمّد باقر الوحيد البهبهانيّ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1205</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لإحياء التراث،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الطّبعة الأولى،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الحدائق النّاضرة في أحكام العترة الطّاهرة، الشّيخ يوسف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1186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الخلاف، شيخ الطّائفة أبو جعفر 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من المحقّقين،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الدّروس الشّرعيّة في فقه الإماميّة، الشّيخ شمس الدّين محمّد بن مكّي العامليّ الجزينيّ المشتهر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786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الطّبعة الثّانية،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ذخيرة المعاد في شرح الإرشاد، المحقّق محمّد باقر السّبزواريّ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r>
        <w:rPr>
          <w:rFonts w:eastAsia="IRNazanin" w:cs="IRNazanin"/>
          <w:color w:val="111111"/>
          <w:sz w:val="28"/>
          <w:szCs w:val="28"/>
          <w:lang w:bidi="fa-IR"/>
        </w:rPr>
        <w:t>1090</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لإحياء التّراث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ذكرى الشّيعة في أحكام الشّريعة، الشّيخ محمّد بن جمال الدّين مكّي العامليّ الجزينيّ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المشتهر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الشّهيد 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786</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لإحياء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الطّبعة الأولى،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رسالة المبتدي وهداية المقتدي المطبوعة ضمن الرّسائل العشر لابن فهد، الشّيخ جمال الدّين أبو العبّاس أحمد بن محمّد بن فهد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841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مهدي الرّجائيّ،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السّيّد المرعشيّ النّجفيّ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مطبعة سيّد </w:t>
      </w:r>
    </w:p>
    <w:p>
      <w:pPr>
        <w:pStyle w:val="BookText"/>
        <w:rPr/>
      </w:pPr>
      <w:r>
        <w:rPr>
          <w:rFonts w:ascii="IRNazanin" w:hAnsi="IRNazanin" w:eastAsia="IRNazanin"/>
          <w:color w:val="111111"/>
          <w:sz w:val="28"/>
          <w:sz w:val="28"/>
          <w:szCs w:val="28"/>
          <w:rtl w:val="true"/>
          <w:lang w:bidi="fa-IR"/>
        </w:rPr>
        <w:t xml:space="preserve">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الأولى،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رسالة المحرّر في الفتوى المطبوعة ضمن الرّسائل العشر لابن فهد، الشّيخ جمال الدّين أبو العبّاس أحمد بن محمّد بن فهد الحلّيّ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841</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مهدي الرّجائي،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السّيّد المرعشيّ النّجفيّ العامّة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مطبعة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الأولى،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رسالة في السّهو والشّكّ في الصّلاة المطبوعة ضمن رسائل المحقّق الكركيّ، الشّيخ عليّ بن الحسين الكركيّ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940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الحسّون،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السّيّد المرعشيّ النّجفيّ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الطّبعة الأولى،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رسائل المحقّق الكركيّ، الشّيخ عليّ بن الحسين الكركيّ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940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الحسّون،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السّيّد المرعشيّ النّجفيّ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الطّبعة الأولى،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روض الجنان في شرح إرشاد الأذهان، الشّيخ زين الدّين بن عليّ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965</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الأبحاث والدّراسات الإسلاميّة،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بوستان كتاب قمّ، الطّبعة الأولى،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رياض المسائل في بيان أحكام الشّرع بالدلائل، السّيّد عليّ الطّباطبائيّ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1231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الطّبعة الأولى،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السّرائر الحاوي لتحرير الفتاوي، الشّيخ أبو جعفر محمّد بن منصور بن أحمد بن إدريس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598</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لجنة التّحقيق، طبع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التّابعة لجماعة المدرّسين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الطّبعة الثّانية،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شرائع الإسلام في مسائل الحلال والحرام، الشّيخ أبو القاسم نجم الدّين جعفر بن الحسن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المشتهر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 الحلّيّ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676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صادق الشّيرازيّ،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انتشارات استقلال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الطّبعة الثّانية،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الرسالة الألفيّة المطبوعة ضمن رسائل المحقّق الكركيّ، الشّيخ عليّ بن الحسين الكركيّ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940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الحسّون،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السّيّد المرعشيّ النّجفيّ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الطّبعة الأولى،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الشّرح الصّغير في شرح المختصر النّافع، السّيّد المير عليّ الطّباطبائيّ الحائريّ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1231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مهدي الرّجائيّ،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السّيّد المرعشيّ النّجفيّ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مطبعة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قمّ، الطّبعة الأولى،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العروة الوثقى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المحشّاة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السّيّد محمَّد كاظم الطّباطبائيّ اليزديّ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1337</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الفقهاء العظام، تحقيق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التّابعة لجماعة المدرّسين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المشرّفة، الطّبعة الأولى،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غاية المرام في شرح شرائع الإسلام، الشّيخ المفلح الصّميريّ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900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جعفر الكوثرانيّ العامليّ،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الهادي، الطّبعة الأولى،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غنائم الأيّام في مسائل الحلال والحرام، الميرزا أبو القاسم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1231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عباس تبريزيان،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النّشر الإسلاميّ التّابع لمكتب الإعلام الإسلاميّ، الطّبعة الأولى،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الفقه المنسوب إلى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المؤتمر العالمي للإمام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الطّبعة الأولى،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فوائد القواعد، الشّيخ زين الدّين بن عليّ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المشتهر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965</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أبو الحسن المطلبي،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النّشر التابع لمكتب الإعلام الإسلاميّ،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قرب الإسناد، الشّيخ أبو العبّاس عبد الله بن جعفر الحميري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لإحياء التراث،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الطّبعة الأولى،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الكافي في الفقه، أبو الصّلاح تقي الدّين بن نجم بن عبيد الحلبيّ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447</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رضا أستادي،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الإمام أمير المؤمنين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أصفهان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الشّيخ أبو جعفر محمّد بن يعقوب بن إسحاق الكلينيّ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عليّ أكبر الغفّاريّ ومحمّد الآخونديّ،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الطّبعة الرّابعة،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الصّلاة، الشّيخ الأعظم مرتضى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1281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لجنة تحقيق تراث الشّيخ الأعظم،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المؤتمر العلمي بمناسبة الذّكرى المئوية الثّانية لميلاد الشّيخ الأنصاريّ،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باقري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الطّبعة الأولى،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الطّهارة، الشّيخ الأعظم مرتضى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1281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لجنة تحقيق تراث الشّيخ الأعظم،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الفكر الإسلاميّ،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خاتم 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الطّبعة الثّالثة، </w:t>
      </w:r>
      <w:r>
        <w:rPr>
          <w:rFonts w:eastAsia="Amiri" w:cs="Amiri" w:ascii="Amiri" w:hAnsi="Amiri"/>
          <w:color w:val="111111"/>
          <w:sz w:val="28"/>
          <w:szCs w:val="28"/>
          <w:lang w:bidi="ar-SA"/>
        </w:rPr>
        <w:t>1428</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الغطاء عن مبهمات الشّريعة الغراء، الشّيخ جعفر بن خضر الجناجي المشتهر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كاشف الغطاء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1228</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انتشارات مهدوي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أصفهان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كشف اللّثام عن قواعد الأحكام، الشّيخ بهاء الدين محمّد بن الحسن الأصفهانيّ </w:t>
      </w:r>
    </w:p>
    <w:p>
      <w:pPr>
        <w:pStyle w:val="BookText"/>
        <w:rPr/>
      </w:pPr>
      <w:r>
        <w:rPr>
          <w:rFonts w:ascii="Amiri" w:hAnsi="Amiri" w:eastAsia="Amiri" w:cs="Amiri"/>
          <w:color w:val="111111"/>
          <w:sz w:val="28"/>
          <w:sz w:val="28"/>
          <w:szCs w:val="28"/>
          <w:rtl w:val="true"/>
          <w:lang w:bidi="ar-SA"/>
        </w:rPr>
        <w:t>المشتهر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الفاضل الهنديّ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1137</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الطّبعة الأولى،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كفاية الفقه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الأحكام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الشّيخ محمّد باقر السّبزواريّ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1090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مرتضى الواعظيّ الأراكيّ،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الطّبعة الأولى، </w:t>
      </w:r>
      <w:r>
        <w:rPr>
          <w:rFonts w:eastAsia="Amiri" w:cs="Amiri" w:ascii="Amiri" w:hAnsi="Amiri"/>
          <w:color w:val="111111"/>
          <w:sz w:val="28"/>
          <w:szCs w:val="28"/>
          <w:lang w:bidi="ar-SA"/>
        </w:rPr>
        <w:t>1423</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كنز الفوائد في حلّ مشكلات القواعد، السّيّد عميد الدّين عبد المطّلب بن محمّد الأعرج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754</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الطّبعة الأولى،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المبسوط في فقه الإماميّة، شيخ الطّائفة أبو جعفر محمّد بن الحسن بن عليّ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تصحيح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تقي الكشفي،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المكتبة المرتضويّة لإحياء الآثار الجعفريّة،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الطّبعة الثّالثة، </w:t>
      </w:r>
      <w:r>
        <w:rPr>
          <w:rFonts w:eastAsia="Amiri" w:cs="Amiri" w:ascii="Amiri" w:hAnsi="Amiri"/>
          <w:color w:val="111111"/>
          <w:sz w:val="28"/>
          <w:szCs w:val="28"/>
          <w:lang w:bidi="ar-SA"/>
        </w:rPr>
        <w:t>1387</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مجمع الفائدة والبرهان في شرح إرشاد الأذهان، المحقّق المولى أحمد الأردبيليّ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993</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الحاج آغا مجتبى العراقيّ، والشّيخ عليّ پناه الاشتهارديّ، والحاج آغا حسين اليزدي الأصفهاني،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الإسلاميّ التّابعة لجماعة المدرسين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المختصر النّافع في فقه الإماميّة، الشّيخ أبو القاسم نجم الدّين جعفر بن حسن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676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الدّراسات الإسلاميّة في مؤسّسة البعثة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الطّبعة الثّانية، </w:t>
      </w:r>
      <w:r>
        <w:rPr>
          <w:rFonts w:eastAsia="Amiri" w:cs="Amiri" w:ascii="Amiri" w:hAnsi="Amiri"/>
          <w:color w:val="111111"/>
          <w:sz w:val="28"/>
          <w:szCs w:val="28"/>
          <w:lang w:bidi="ar-SA"/>
        </w:rPr>
        <w:t>1402</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مختلف الشّيعة في أحكام الشّريعة، أبو منصور الحسن بن يوسف بن المطهّر العلّامة </w:t>
      </w:r>
    </w:p>
    <w:p>
      <w:pPr>
        <w:pStyle w:val="BookText"/>
        <w:rPr/>
      </w:pPr>
      <w:r>
        <w:rPr>
          <w:rFonts w:ascii="Amiri" w:hAnsi="Amiri" w:eastAsia="Amiri" w:cs="Amiri"/>
          <w:color w:val="111111"/>
          <w:sz w:val="28"/>
          <w:sz w:val="28"/>
          <w:szCs w:val="28"/>
          <w:rtl w:val="true"/>
          <w:lang w:bidi="ar-SA"/>
        </w:rPr>
        <w:t xml:space="preserve">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التّابعة لجماعة المدرّسين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مدارك الأحكام في شرح شرائع الإسلام، السّيّد محمّد بن عليّ الموسويّ العامليّ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1009</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لإحياء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الطّبعة الأولى،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مسالك الأفهام على تنقيح شرائع الإسلام، الشّيخ زين الدّين بن عليّ العامليّ المشتهر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965</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المعارف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بهمن، الطّبعة الأولى،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مستدرك الوسائل ومستنبط المسائل، الحاج ميرزا حسين النّوريّ الطبرسيّ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نشر وتحقيق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لإحياء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الطّبعة الأولى،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مستند الشّيعة في أحكام الشّريعة، المولى أحمد بن محمّد النراقيّ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1245</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لإحياء التّراث، الطّبعة الأولى،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مصابيح الظلام في شرح مفاتيح الشّرائع، الشّيخ محمّد باقر الوحيد البهبهانيّ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1205</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العلّامة المجدّد الوحيد البهبهانيّ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الأولى، </w:t>
      </w:r>
      <w:r>
        <w:rPr>
          <w:rFonts w:eastAsia="Amiri" w:cs="Amiri" w:ascii="Amiri" w:hAnsi="Amiri"/>
          <w:color w:val="111111"/>
          <w:sz w:val="28"/>
          <w:szCs w:val="28"/>
          <w:lang w:bidi="ar-SA"/>
        </w:rPr>
        <w:t>1424</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مصباح الفقيه، الشّيخ آغا رضا بن محمّد هادي 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1322</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الباقريّ، نور عليّ النّوريّ، محمّد الميرزائيّ،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المؤسّسة الجعفريّة لإحياء التّراث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الطّبعة الأولى،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مصباح 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الشّيخ آغا رضا بن محمّد هادي 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1322</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منشورات مكتبة الصّدر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حيدري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المعتبر في شرح المختصر، الشيّخ نجم الدّين أبو القاسم جعفر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r>
        <w:rPr>
          <w:rFonts w:eastAsia="IRNazanin" w:cs="IRNazanin"/>
          <w:color w:val="111111"/>
          <w:sz w:val="28"/>
          <w:szCs w:val="28"/>
          <w:lang w:bidi="fa-IR"/>
        </w:rPr>
        <w:t>676</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الأفاضل،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مدرسة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مفاتيح الشّرائع، المولى محمّد محسن الفيض الكاشانيّ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1091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مهدي رجائي،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الذّخائر الإسلاميّة،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1401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المقاصد العليّة في شرح الرسالة الألفيّة وحاشيتا الألفيّة، الشّيخ زين الدّين بن عليّ العامليّ المشتهر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965</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الحسّون،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النّشر التّابع لمكتب الإعلام الإسلاميّ، الطّبعة الأولى،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المقنعة، الشّيخ أبو عبد الله محمّد بن محمّد بن النّعمان العكبريّ البغداديّ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التّابعة لجماعة المدرّسين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الطّبعة الثّانية،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لا يحضره الفقيه، الشّيخ أبو جعفر محمّد بن عليّ بن الحسين بن بابويه القمّي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تصحيح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أكبر الغفّاري،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التّابعة لجماعة المدرّسين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الطّبعة الثّانية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منتهى المطلب في تحقيق المذهب، الشّيخ الحسن بن يوسف بن عليّ بن المطهّر المشتهر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الحلّيّ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الفقه في مجمع البحوث الإسلاميّة، نشر وطبع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الطّبع والنّشر في الأستانة الرّضويّة المقدّسة، الطّبعة الأولى،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منية الرّاغب في شرح بغية الطّالب، الشيخ موسى آل كاشف الغطاء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خزانة مخطوطات مكتبة الإمام الشّيخ محمد حسين آل كاشف الغطاء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تحت تسلسل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المهذَّب البارع في شرح المختصر النّافع، العلّامة جمال الدين أبو العبّاس أحمد بن محمّد بن فهد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841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مجتبى العراقيّ،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التّابعة لجماعة المدرّسين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نهاية الإحكام في معرفة الأحكام، الشّيخ الحسن بن يوسف بن عليّ بن المطهّر المشتهر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الحلّيّ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مهدي الرّجائي،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إسماعيليان للطباعة والنّشر والتّوزيع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الطّبعة الثّانية،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الوسيلة إلى نيل الفضيلة، الشّيخ أبو جعفر محمّد بن عليّ الطّوسيّ المشتهر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حمزة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560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الحسّون،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مكتبة السّيّد المرعشيّ النّجفيّ،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الطّبعة الأولى،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قسيمة الاشتراك السنوي</w:t>
      </w:r>
    </w:p>
    <w:p>
      <w:pPr>
        <w:pStyle w:val="BookText"/>
        <w:rPr/>
      </w:pPr>
      <w:r>
        <w:rPr>
          <w:rFonts w:ascii="Amiri" w:hAnsi="Amiri" w:eastAsia="Amiri" w:cs="Amiri"/>
          <w:color w:val="111111"/>
          <w:sz w:val="28"/>
          <w:sz w:val="28"/>
          <w:szCs w:val="28"/>
          <w:rtl w:val="true"/>
          <w:lang w:bidi="ar-SA"/>
        </w:rPr>
        <w:t>أرجو قبول اشتراكي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سنتين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ثلاث سنوات</w:t>
      </w:r>
    </w:p>
    <w:p>
      <w:pPr>
        <w:pStyle w:val="BookText"/>
        <w:rPr/>
      </w:pPr>
      <w:r>
        <w:rPr>
          <w:rFonts w:ascii="IRNazanin" w:hAnsi="IRNazanin" w:eastAsia="IRNazanin"/>
          <w:color w:val="111111"/>
          <w:sz w:val="28"/>
          <w:sz w:val="28"/>
          <w:szCs w:val="28"/>
          <w:rtl w:val="true"/>
          <w:lang w:bidi="fa-IR"/>
        </w:rPr>
        <w:t>الاسم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العنوان الكامل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الهاتف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البريد الإلكتروني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التوقيع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التأريخ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تملاً هذه القسيمة وترسل مع قيمة الاشتراك إلى أحد مراكز التوزيع المذكورة، أو إلى مقر المجلة على العنوان التالي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النجف الأشرف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المدينة القديمة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شارع السور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 مكتبة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للاستفسار</w:t>
      </w:r>
      <w:r>
        <w:rPr>
          <w:rFonts w:eastAsia="IRNazanin" w:cs="IRNazanin"/>
          <w:color w:val="111111"/>
          <w:sz w:val="28"/>
          <w:szCs w:val="28"/>
          <w:rtl w:val="true"/>
          <w:lang w:bidi="fa-IR"/>
        </w:rPr>
        <w:t xml:space="preserve">: </w:t>
      </w:r>
      <w:r>
        <w:rPr>
          <w:rFonts w:eastAsia="IRNazanin" w:cs="IRNazanin"/>
          <w:color w:val="111111"/>
          <w:sz w:val="28"/>
          <w:szCs w:val="28"/>
          <w:lang w:bidi="fa-IR"/>
        </w:rPr>
        <w:t>7800093930</w:t>
      </w:r>
      <w:r>
        <w:rPr>
          <w:rFonts w:eastAsia="IRNazanin" w:cs="IRNazanin"/>
          <w:color w:val="111111"/>
          <w:sz w:val="28"/>
          <w:szCs w:val="28"/>
          <w:rtl w:val="true"/>
          <w:lang w:bidi="fa-IR"/>
        </w:rPr>
        <w:t xml:space="preserve"> (</w:t>
      </w:r>
      <w:r>
        <w:rPr>
          <w:rFonts w:eastAsia="IRNazanin" w:cs="IRNazanin"/>
          <w:color w:val="111111"/>
          <w:sz w:val="28"/>
          <w:szCs w:val="28"/>
          <w:lang w:bidi="fa-IR"/>
        </w:rPr>
        <w:t>00964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قيمة الاشتراك السنوي</w:t>
      </w:r>
    </w:p>
    <w:p>
      <w:pPr>
        <w:pStyle w:val="BookText"/>
        <w:rPr/>
      </w:pPr>
      <w:r>
        <w:rPr>
          <w:rFonts w:ascii="IRNazanin" w:hAnsi="IRNazanin" w:eastAsia="IRNazanin"/>
          <w:color w:val="111111"/>
          <w:sz w:val="28"/>
          <w:sz w:val="28"/>
          <w:szCs w:val="28"/>
          <w:rtl w:val="true"/>
          <w:lang w:bidi="fa-IR"/>
        </w:rPr>
        <w:t>داخل العراق</w:t>
      </w:r>
      <w:r>
        <w:rPr>
          <w:rFonts w:eastAsia="IRNazanin" w:cs="IRNazanin"/>
          <w:color w:val="111111"/>
          <w:sz w:val="28"/>
          <w:szCs w:val="28"/>
          <w:rtl w:val="true"/>
          <w:lang w:bidi="fa-IR"/>
        </w:rPr>
        <w:t>: (</w:t>
      </w:r>
      <w:r>
        <w:rPr>
          <w:rFonts w:eastAsia="IRNazanin" w:cs="IRNazanin"/>
          <w:color w:val="111111"/>
          <w:sz w:val="28"/>
          <w:szCs w:val="28"/>
          <w:lang w:bidi="fa-IR"/>
        </w:rPr>
        <w:t>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الدول الأخرى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دولاراً أو ما يعادلها </w:t>
      </w:r>
    </w:p>
    <w:p>
      <w:pPr>
        <w:pStyle w:val="BookText"/>
        <w:rPr/>
      </w:pPr>
      <w:r>
        <w:rPr>
          <w:rFonts w:ascii="Amiri" w:hAnsi="Amiri" w:eastAsia="Amiri" w:cs="Amiri"/>
          <w:color w:val="111111"/>
          <w:sz w:val="28"/>
          <w:sz w:val="28"/>
          <w:szCs w:val="28"/>
          <w:rtl w:val="true"/>
          <w:lang w:bidi="ar-SA"/>
        </w:rPr>
        <w:t>مراكز التوزيع في العراق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النجف الأشرف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شارع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البذرة للطباعة والنشر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07802450230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شارع المتنبي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القاموسي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الكاظمية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شارع عبد المحسن الكاظمي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خلف مستشقى الضرغام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المعرفة للثقافة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معرض البيع المباشر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07901770672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الكرادة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تقاطع فندق بابل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المعرفة للثقافة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معرض البيع المباشر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07834413784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بغداد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بغداد الجديدة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مجاور جامع الرسول 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المعرفة للثقافة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معرض البيع المباشر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07807976000</w:t>
      </w:r>
    </w:p>
    <w:p>
      <w:pPr>
        <w:pStyle w:val="BookText"/>
        <w:rPr/>
      </w:pPr>
      <w:r>
        <w:rPr>
          <w:rFonts w:ascii="Amiri" w:hAnsi="Amiri" w:eastAsia="Amiri" w:cs="Amiri"/>
          <w:color w:val="111111"/>
          <w:sz w:val="28"/>
          <w:sz w:val="28"/>
          <w:szCs w:val="28"/>
          <w:rtl w:val="true"/>
          <w:lang w:bidi="ar-SA"/>
        </w:rPr>
        <w:t>مراكز التوزيع خارج العراق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المشرفة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خيابان ارم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انتشارات الإمام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37838212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بئر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المؤرخ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544805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الكويت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بنيد القار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شارع الشريف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تدوين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50699880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 حفص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الهاشمي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مداد للثقافة والإعلام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36671135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973</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3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3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13/326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الكرامة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القضاء والشهادات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للشيخ الأنصاري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وفي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يفلح قوم تملكهم امرأة</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وفي المستدرك للحاكم النيسابوري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أضاف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قدمت عائشة ذكرت قول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فعصمني الله به</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100/254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المدارك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3715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16731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الإمام الخوئي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مباني تكملة المنهاج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6/267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22/110</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حيث ضعّفه الشيخ في 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ولكن وثّقه في موضع آخر على ما نقله العلّامة كما سيأتي</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أسماء مصنّفي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الخامس 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مرادنا من التوقّف الاحتياط الوجوبي في رواياته، بمعنى أن لا يفتى على طبقها، ولا تترك ويذهب إلى الأصل العملي مثلاً، بل الاحتياط في مضامين رواياته</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9/28</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التنقيح في شرح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 الاجتهاد والتقليد مسألة اشتراط الرجولة في المفتي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يخفى أنّ الطرح الذي ذكرناه مغاير لما ذكره شيخنا الأستاذ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وإليك بيانه في بحث الاجتهاد والتقليد، بحث اشتراط الرجولة في المفتي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والمهمّ في الأمر هو أنّ ما يمكن أن يكون مستنداً للفقيه هو إطلاق السيرة، فإنّ العقلاء لا يفرّقون في الأخذ عن أهل الخبرة بين الرجل والمرأة، وإلّا فالأدلّة اللفظيّة ليس فيها المرأة، وإن وجد عنوان فهو قاصر عن شموله لها</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وآدابه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وآدابه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وآدابه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4900</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وآدابه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وآدابه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القضاء والشهادات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للشيخ الأنصاري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ومثله فعل في الجواهر، 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ومثله في رياض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المنقول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عن ابن الجنيد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الانتصار تخصيص ذلك بغير الحيوان ومصيره فيه إلى ما عليه الأصحاب وهو حينئذٍ كالصدوق في قوله بالتفصيل المزبور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وقال بعد ذلك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وظاهر جماعة من الأصحاب مصير الإسكافي إلى القول المزبور مطلقاً من دون التفصيل</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وقال في الجواهر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ولعلّه لذا وافق في المقنع المشهور</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التنقيح الرائع لمختصر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778</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المنسوب إلى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الصالحين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المعاملات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الصالحين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المعاملات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المنهاج، كتاب الشفعة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الرموز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إيضاح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المهذّب البارع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الكرامة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 الحاوي لتحرير الفتاوي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778</w:t>
      </w:r>
      <w:r>
        <w:rPr>
          <w:rFonts w:ascii="IRNazanin" w:hAnsi="IRNazanin" w:eastAsia="IRNazanin"/>
          <w:b w:val="false"/>
          <w:b w:val="false"/>
          <w:bCs w:val="false"/>
          <w:i w:val="false"/>
          <w:i w:val="false"/>
          <w:iCs w:val="false"/>
          <w:color w:val="333333"/>
          <w:sz w:val="20"/>
          <w:sz w:val="20"/>
          <w:szCs w:val="20"/>
          <w:rtl w:val="true"/>
        </w:rPr>
        <w:t>، 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الدروس الشرعية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مجمع الفائدة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باب الشفعة،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باب الشفعة،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الاستبصار فيما اختلف من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باب العدد الذين تثبت بينهم الشفعة،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768</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الكرامة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مباني منهاج الصالحين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مصباح الناسك في شرح المناسك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 على سبيل المثال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 على سبيل المثال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باب شراء الرقيق،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باب ابتياع الحيوان، 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والسند فيه صحيح أيضاً، 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باب العدد الذين تثبت بينهم الشفعة،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الكرامة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تبصرة المتعلّمين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سبيل المثال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باب وجوب الجمعة على كم تجب،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557</w:t>
      </w:r>
      <w:r>
        <w:rPr>
          <w:rFonts w:ascii="IRNazanin" w:hAnsi="IRNazanin" w:eastAsia="IRNazanin"/>
          <w:b w:val="false"/>
          <w:b w:val="false"/>
          <w:bCs w:val="false"/>
          <w:i w:val="false"/>
          <w:i w:val="false"/>
          <w:iCs w:val="false"/>
          <w:color w:val="333333"/>
          <w:sz w:val="20"/>
          <w:sz w:val="20"/>
          <w:szCs w:val="20"/>
          <w:rtl w:val="true"/>
        </w:rPr>
        <w:t>، باب الرجل يحجّ من الزكاة أو يعتق،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فضل شهر رمضان،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باب الشفعة، 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الاستبصار فيما اختلف من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باب العدد الذين تثبت بينهم الشفعة،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أسماء مصنّفي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باب ابتياع الحيوان،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باب الشفعة،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باب الشفعة،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3377</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باب الشفعة،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المنهاج، كتاب الشفعة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باب الشفعة،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ويرويها الشيخ أيضاً عن أحمد بن محمّد بنفس السند والمتن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باب الشفعة،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كاهل أبو قبيلة من بني أسد بن خزيمة، وهم قتلة أبي امرئ القيس</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يحيى، عن أحمد بن محمّد، عن عليّ بن الحكم، عن عبد الله بن يحيى الكاهلي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ولعلّه توجد موارد أخرى تظهر بالتتبّع</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مشيخة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الرواة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أسماء مصنّفي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قبسات من علم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إنّ هاهنا شيئاً لا بأس بالإشارة إليه، وهو أنّ هذه الرواية قد اشتملت في كلّ مواضع ذكرها من الكشّي على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زعم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والظاهر أنّ هذا التعبير يدلّ على أنّ الناقل يكذّب المنقول، أو يشكّك به، فقد ورد في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لفظه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يحيى، عن أحمد بن محمّد، عن عليّ بن الحكم، عن عبد الله بن يحيى الكاهلي، عن محمّد بن مالك، عن عبد الأعلى مولى آل سام،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أبو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بحديث، فقلت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فداك أليس زعمت لي الساعة كذا وكذا؟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فعظم ذلك عليّ،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بلى والله زعمت،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والله ما زعمته،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فعظم عليّ،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فداك بلى، والله قد قلته،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قد قلته أما علمت أنّ كلّ زعم في القرآن كذب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والمذكور في جملة من الكتب اللغوية أنّ الزعم أكثر ما يستعمل في مورد الشكّ والارتياب، ففي القاموس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الزعم مثلّثة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القول الحقّ والباطل، والكذب ضدّ، وأكثر ما يقال في ما يشكّ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المصباح المنير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يطلق على الظنّ، يقال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زعمي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وعلى الاعتقاد ومنه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زَعَمَ الَّذِينَ كَفَرُوا أَن لَّن يُبْعَثُوا، قال الأزهري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وأكثر ما 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فيما يشكّ فيه ولا يتحقّق، وقال بعضهم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كناية عن الكذب، وقال المرزوقي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أكثر ما يستعمل في ما كان باطلاً أو فيه ارتياب، وقال ابن القوطية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زعم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زعماً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خبراً لا يدرى أحقّ هو أو باطل، قال الخطّابي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ولهذا قيل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زعم مطية الكذب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زعم غير مزعم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 غير مقول صالح وادّعى ما لم يمكن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العين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زعم إذا شكّ في قوله، فإذا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فهو أحرى إلى الصواب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معجم مقاييس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زعم الزاء والعين والميم أصلان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أحدهما القول من غير صحّة ولا يقين، والآخر التكفّل بالشيء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وإذا كان أكثر استعمالها في ذلك فحينئذٍ تنصرف إليه مع عدم القرينة على معنى آخر، فلا ينافيه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تستعمل بمعنى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كما ورد في المصباح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وفي 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كرواية ابن أبي عمير عنه في طريق الشيخ إليه في 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ورواية البزنطي عنه كما في طريق الصدوق إليه في المشيخة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ورواية صفوان عنه كما في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وفي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 من الموارد</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وبعد هذا لا يضرّ وصف الرواية بالصحيحة أو الحسنة، فلا حاجة إلى ما نبّه عليه في الحدائق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وعَدّ هذه الرواية في الصحيح جملة من الأصحاب أوّلهم العلّامة في التذكرة وتبعه جمع ممّن تأخّر عنه، منهم شيخنا الشهيد الثاني في المسالك، وفيه أنّ في سندها الكاهلي، وهو غير موثّق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هو ممدوح، فحديثه في الحسن، لا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من جهة مراعاة الاصطلاح، ثمّ إنّ الوحيد في تعليقته على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وربّما عدّ ضعيفاً توهّماً من عبارة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وغفلة، ولا يخفى فساده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ووجه التوهّم ذكره في منتهى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باب الشفعة، ح</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باب الغرر والمجازفة وشراء السرقة وما يجوز من ذلك وما لا يجوز، ح</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 فيما اختلف من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3370</w:t>
      </w:r>
      <w:r>
        <w:rPr>
          <w:rFonts w:ascii="IRNazanin" w:hAnsi="IRNazanin" w:eastAsia="IRNazanin"/>
          <w:b w:val="false"/>
          <w:b w:val="false"/>
          <w:bCs w:val="false"/>
          <w:i w:val="false"/>
          <w:i w:val="false"/>
          <w:iCs w:val="false"/>
          <w:color w:val="333333"/>
          <w:sz w:val="20"/>
          <w:sz w:val="20"/>
          <w:szCs w:val="20"/>
          <w:rtl w:val="true"/>
        </w:rPr>
        <w:t>، ويرويها الشيخ عن السكوني أيضاً في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باب الشفعة،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مشيخة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مشيخة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مباني منهاج الصالحين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خاتمة 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المحدّث النوري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وجه اعتمادهم على كتابه وإن أمكن كونه لعرضهم إيّاه على الأصول أو على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وتصديقه، ولكنّه إمكان عقلي لا تساعده العادة؛ لبعد الأوّل غايته، وعدم إشارتهم إلى الثاني، بل الظاهر أنّه لوثاقة صاحبه وضبطه وإتقانه، فالحقّ أنّ خبره يعدّ من الموثّق بالاصطلاح الجديد</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أسماء مصنّفي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خاتمة 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وقد اعتمد هذا الوجه في توثيق طلحة بن زيد أيضاً 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المحقّق التستري في قاموس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خاتمة 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باب حدّ المحارب،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ويوجد إشكال على هذا الوجه خلاصته اختلاف الطبقة بين صفوان وطلحة تعرّض له ولجوابه أستاذنا السيّد محمّد رضا السيستاني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دامت افاداته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قبسات من علم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الأرفة بالضم والراء الحدّ والعلم وما يجعل فاصلاً بين أرضين، وأرفت على الأرض تأريفاً جعلت لها حدوداً وقسّمت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وقال في الحدائق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الفيومي في كتاب المصباح المنير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الأرفة الحدّ الفاصل بين الأرضين، والجمع أرف مثل غرفة وغرف، 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وحينئذٍ فالعطف في قوله وحدّت الحدود تفسيري</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باب الشفعة،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باب الشفعة،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الفقاهة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قاعدة لا ضرر ولا ضرار تقرير بحث السيّد السيستاني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 العالی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نصّه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فتحقيق الكلام في هذه الرواية يقع في ضمن جهات</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المدارك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ومثله في عون المعبود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أبي شيبة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 شرح المهذَّب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 فيما اختلف في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فيكون على هذا استعمال الجمع كالقوم والشركاء والرجال في الاثنين حقيقة لا مجازاً</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المنهاج، كتاب الشفعة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المنهاج، كتاب الشفعة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وممّن صرّح بالمجاز الشهيد الثاني في مسالك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حيث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إرادة الاثنين من لفظ الجمع مجاز على أصحّ القولين للأصوليين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والمحقّق الأردبيلي في مجمع الفائدة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حيث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لأنّه يصحّ إطلاق الجمع على الاثنين، بل على الواحد أيضاً كالقوم وإن كان مجازاً للجمع بين الأدلّة</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المدارك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 فيما اختلف من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المنهاج، كتاب الشفعة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قاعدة لا ضرر ولا ضرار، تقرير بحث السيّد السيستاني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 العالی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النجعة في شرح اللمعة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مصباح المنهاج، كتاب الشفعة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باب شراء الرقيق،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باب الشفعة، 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الاستبصار فيما اختلف من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باب العدد الذين تثبت بينهم الشفعة،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باب الشفعة،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التنقيح الرائع لمختصر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المتقين في شرح 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ومثله في مصباح المنهاج، كتاب الشفعة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روايات القول الثاني</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الاستبصار فيما اختلف من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المنهاج، كتاب الشفعة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المنسوب إلى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مباني منهاج الصالحين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الصالحين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السيّد السيستاني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 العالی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ويلاحظ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الصالحين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السيّد محمّد سعيد الحكيم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منهاج الصالحين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الشيخ الوحيد الخراساني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الصالحين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الصالحين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الشيخ محمّد إسحاق الفيّاض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تعاليق مبسوطة على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تعاليق مبسوطة على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الصالحين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السيّد محمود الهاشمي الشاهرودي تغمده الله برحمته حيث وافاه الأجل وأنا أكتب هذه السطور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في فقه الإمامية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العرفان في فقه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زبدة البيان في أحكام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صراط النجاة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باب حقّ الزوج على المرأة،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4513</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من أصحابنا، عن أحمد بن محمّد، عن ابن محبوب، عن مالك بن عطية، عن محمّد ابن مسلم</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الحسن بن محبوب، عن مالك بن عطية، عن محمّد بن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وطريق الصدوق إلى الحسن بن محبوب في المشيخة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وما كان فيه عن الحسن بن محبوب فقد رويته عن محمّد بن موسى بن المتوكّل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بن جعفر الحميريّ، وسعد بن عبد اللّه، عن أحمد بن محمّد بن عيسى، عن الحسن بن محبوب</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الخوئي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كتاب الخمس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تقرير بحث المحقّق الداماد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مباني منهاج الصالحين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معتمد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المعتمد في شرح المناسك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الخوئي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الخوئي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كتاب النكاح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شرح مناسك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شرح مناسك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خرج</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المنع من الإنجاب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المرأة حقوقها وأدوارها في ظلّ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المنع من الإنجاب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4532</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باب ما يجب من طاعة الزوج على المرأة،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الأنوار اللوامع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الدلائل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5089</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مباني منهاج الصالحين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المنع من الإنجاب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ومثله عن أستاذنا سماحة الشيخ هادي آل راضي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دامت افاداته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محضر الدرس، حيث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وأمّا دلالتها فهي مخدوشة؛ لأنّ مفادها حرمة الخروج مع نهي الزوج عنه، لا توقّف الجواز على الإذن الذي هو محلّ الكلام</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المنع من الإنجاب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المتّقين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باب في قلّة الصلاح في النساء،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4520</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ملاذ الأخيار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المتّقين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مهذّب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مسائل معاصرة في فقه القضاء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استظهر ذلك الأستاذ سماحة الشيخ هادي آل راضي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دامت افاداته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محضر الدرس</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تعاليق مبسوطة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قبسات من علم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علم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العدّة في أصول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باب الوفاء والبخس،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قبسات من علم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ذخيرة 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الفوائد الرجالية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منتهى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كتاب العتق والتدبير والمكاتبة باب العتق وأحكامه، ح</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باب الذبائح والأطعمة وما يحلّ من ذلك وما يحرم منه، ح</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وغيرهما</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هذا الأستاذ سماحة الشيخ هادي آل راضي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دامت افاداته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كتابه المخطوط في علم الرجال</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كتاب العقل والجهل،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باب سؤال العلم وتذاكره،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باب المستأكل بعلمه والمباهي به،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باب رواية الكتب والحديث وفضل الكتابة والتمسّك بالكتب،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وغيرها</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الصفحة السابقة</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باب رواية الكتب والحديث وفضل الكتابة والتمسّك بالكتب،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661</w:t>
      </w:r>
      <w:r>
        <w:rPr>
          <w:rFonts w:ascii="IRNazanin" w:hAnsi="IRNazanin" w:eastAsia="IRNazanin"/>
          <w:b w:val="false"/>
          <w:b w:val="false"/>
          <w:bCs w:val="false"/>
          <w:i w:val="false"/>
          <w:i w:val="false"/>
          <w:iCs w:val="false"/>
          <w:color w:val="333333"/>
          <w:sz w:val="20"/>
          <w:sz w:val="20"/>
          <w:szCs w:val="20"/>
          <w:rtl w:val="true"/>
        </w:rPr>
        <w:t>، باب الجلوس،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باب النوادر،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العدّة في أصول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السيّد بحر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أجوبة مسائل ورسائل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 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المتّقين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العدّة في أصول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عند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وثانياً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أفاده الشيخ النوري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المستدرك، حيث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إنّك تجد</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المتقين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استفدت هذا من محضر بحث الأستاذ سماحة الشيخ هادي آل راضي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دامت افاداته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النكاح على منهاج الصالحين</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باب العقود على الإماء وما يحلّ من النكاح بملك، ح</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رقم </w:t>
      </w:r>
      <w:r>
        <w:rPr>
          <w:rFonts w:eastAsia="IRNazanin" w:cs="IRNazanin"/>
          <w:b w:val="false"/>
          <w:bCs w:val="false"/>
          <w:i w:val="false"/>
          <w:iCs w:val="false"/>
          <w:color w:val="333333"/>
          <w:sz w:val="20"/>
          <w:szCs w:val="20"/>
        </w:rPr>
        <w:t>888</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أحمد بن محمّد بن عيسى، و أخيه بنان</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تعليقة السيّد الداماد على قول المصنّف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 الله ابن محمّد بن عيسى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باب الفطرة، 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على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السيّد الخوئي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3/291</w:t>
      </w:r>
      <w:r>
        <w:rPr>
          <w:rFonts w:ascii="IRNazanin" w:hAnsi="IRNazanin" w:eastAsia="IRNazanin"/>
          <w:b w:val="false"/>
          <w:b w:val="false"/>
          <w:bCs w:val="false"/>
          <w:i w:val="false"/>
          <w:i w:val="false"/>
          <w:iCs w:val="false"/>
          <w:color w:val="333333"/>
          <w:sz w:val="20"/>
          <w:sz w:val="20"/>
          <w:szCs w:val="20"/>
          <w:rtl w:val="true"/>
        </w:rPr>
        <w:t xml:space="preserve">، قاعدة لا ضرر ولا ضرار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السيّد السيستاني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 العالی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القضاء في الفقه الإسلامي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السيّد كاظم الحائري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 من الموارد</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على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الإمام الخوئي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قبسات من علم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984</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من المشيخة في طريقه إلى ثعلبة بن ميمون</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899</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من الروضة</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في علم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الحديثة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القضاء في الفقه الإسلامي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590</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 في خلاصة الأقوال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Pr>
        <w:t>2494</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الأشعثيات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خاتمة 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بحثت ذلك في بحث مستقلّ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 مطبوع</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علي بن جعفر ومستدركاتها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4968</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باب حقّ الزوج على المرأة،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الغضائري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العدّة في أصول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حوالي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رواية</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الغضائري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Pr>
        <w:t>939</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مستدركات علم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 فيما اختلف من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باب المطلّقة هل تحجّ في عدّتها أم لا،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باب في ترك طاعتهن،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2909</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الهدى في شرح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القواعد الفقهية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المحشّاة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مجلّة الإصلاح الحسيني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لسنة </w:t>
      </w:r>
      <w:r>
        <w:rPr>
          <w:rFonts w:eastAsia="IRNazanin" w:cs="IRNazanin"/>
          <w:b w:val="false"/>
          <w:bCs w:val="false"/>
          <w:i w:val="false"/>
          <w:iCs w:val="false"/>
          <w:color w:val="333333"/>
          <w:sz w:val="20"/>
          <w:szCs w:val="20"/>
        </w:rPr>
        <w:t>2016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مشي النساء إلى كربلاء</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المنع من الإنجاب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تلاحظ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باب المرأة يمنعها زوجها من حجّة الإسلام،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مباحث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بلاحظ فوائد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الأفكار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137/30</w:t>
      </w:r>
      <w:r>
        <w:rPr>
          <w:rFonts w:ascii="IRNazanin" w:hAnsi="IRNazanin" w:eastAsia="IRNazanin"/>
          <w:b w:val="false"/>
          <w:b w:val="false"/>
          <w:bCs w:val="false"/>
          <w:i w:val="false"/>
          <w:i w:val="false"/>
          <w:iCs w:val="false"/>
          <w:color w:val="333333"/>
          <w:sz w:val="20"/>
          <w:sz w:val="20"/>
          <w:szCs w:val="20"/>
          <w:rtl w:val="true"/>
        </w:rPr>
        <w:t>، اقتصادنا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أصول الفقه للشيخ المظفر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 الحلقة الأولى والثانية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الحلقة الثالثة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بحوث في علم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 أصول الفقه للشيخ المظفر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الأصول العامة للفقه المقارن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لا يكفي أن تكون ظاهرة دعائية من دون أن يجري عليها الناس بالفعل خارجاً</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 فوائد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التنقيح في شرح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فقه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المحقق العراقي على فوائد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161/3</w:t>
      </w:r>
      <w:r>
        <w:rPr>
          <w:rFonts w:ascii="IRNazanin" w:hAnsi="IRNazanin" w:eastAsia="IRNazanin"/>
          <w:b w:val="false"/>
          <w:b w:val="false"/>
          <w:bCs w:val="false"/>
          <w:i w:val="false"/>
          <w:i w:val="false"/>
          <w:iCs w:val="false"/>
          <w:color w:val="333333"/>
          <w:sz w:val="20"/>
          <w:sz w:val="20"/>
          <w:szCs w:val="20"/>
          <w:rtl w:val="true"/>
        </w:rPr>
        <w:t>، نهاية الأفكار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مقالات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بحوث في علم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مباحث الأصول 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 فوائد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مباحث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المحكم في أصول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المحكم في أصول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193/3</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 فوائد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1933</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 مباحث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المحقق العراقي على فوائد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رقم</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بحوث في علم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مباحث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دروس في علم الأصول الحلقة الثالثة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دروس في علم الأصول الحلقة الأولى والثانية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 فوائد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الأفكار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249/3</w:t>
      </w:r>
      <w:r>
        <w:rPr>
          <w:rFonts w:ascii="IRNazanin" w:hAnsi="IRNazanin" w:eastAsia="IRNazanin"/>
          <w:b w:val="false"/>
          <w:b w:val="false"/>
          <w:bCs w:val="false"/>
          <w:i w:val="false"/>
          <w:i w:val="false"/>
          <w:iCs w:val="false"/>
          <w:color w:val="333333"/>
          <w:sz w:val="20"/>
          <w:sz w:val="20"/>
          <w:szCs w:val="20"/>
          <w:rtl w:val="true"/>
        </w:rPr>
        <w:t>، المحكم في أصول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في شرح مناسك الحج </w:t>
      </w:r>
      <w:r>
        <w:rPr>
          <w:rFonts w:eastAsia="IRNazanin" w:cs="IRNazanin"/>
          <w:b w:val="false"/>
          <w:bCs w:val="false"/>
          <w:i w:val="false"/>
          <w:iCs w:val="false"/>
          <w:color w:val="333333"/>
          <w:sz w:val="20"/>
          <w:szCs w:val="20"/>
        </w:rPr>
        <w:t>83/8</w:t>
      </w:r>
      <w:r>
        <w:rPr>
          <w:rFonts w:ascii="IRNazanin" w:hAnsi="IRNazanin" w:eastAsia="IRNazanin"/>
          <w:b w:val="false"/>
          <w:b w:val="false"/>
          <w:bCs w:val="false"/>
          <w:i w:val="false"/>
          <w:i w:val="false"/>
          <w:iCs w:val="false"/>
          <w:color w:val="333333"/>
          <w:sz w:val="20"/>
          <w:sz w:val="20"/>
          <w:szCs w:val="20"/>
          <w:rtl w:val="true"/>
        </w:rPr>
        <w:t>، أصول الفقه للشيخ المظفر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 فوائد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أصول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تعليقة المحقق العراقي على فوائد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 تعليقة فوائد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مقالات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نهاية الأفكار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مباحث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بحوث في علم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علم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 فوائد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1923</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علم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بحوث في شرح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نهاية الدراية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المحكم في أصول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الكافي في أصول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 بحوث في علم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245/4</w:t>
      </w:r>
      <w:r>
        <w:rPr>
          <w:rFonts w:ascii="IRNazanin" w:hAnsi="IRNazanin" w:eastAsia="IRNazanin"/>
          <w:b w:val="false"/>
          <w:b w:val="false"/>
          <w:bCs w:val="false"/>
          <w:i w:val="false"/>
          <w:i w:val="false"/>
          <w:iCs w:val="false"/>
          <w:color w:val="333333"/>
          <w:sz w:val="20"/>
          <w:sz w:val="20"/>
          <w:szCs w:val="20"/>
          <w:rtl w:val="true"/>
        </w:rPr>
        <w:t>، كما يلاحظ منتقى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شرح مناسك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83/8</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 بحوث في علم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بحوث في شرح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مباحث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شرح مناسك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493/3</w:t>
      </w:r>
      <w:r>
        <w:rPr>
          <w:rFonts w:ascii="IRNazanin" w:hAnsi="IRNazanin" w:eastAsia="IRNazanin"/>
          <w:b w:val="false"/>
          <w:b w:val="false"/>
          <w:bCs w:val="false"/>
          <w:i w:val="false"/>
          <w:i w:val="false"/>
          <w:iCs w:val="false"/>
          <w:color w:val="333333"/>
          <w:sz w:val="20"/>
          <w:sz w:val="20"/>
          <w:szCs w:val="20"/>
          <w:rtl w:val="true"/>
        </w:rPr>
        <w:t>، العلم الإجمالي حقيقته ومنجزيته عقلاً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فوائد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مقالات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نهاية الأفكار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مباحث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بحوث في علم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علم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244/4</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شرح مناسك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83/8</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عوائد الأيّام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مستند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مشرق الشمسين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ويلاحظ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ويلاحظ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ويلاحظ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مشرق الشمسين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الشموس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المشيخة</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المشيخة</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المقدّمة</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ذخيرة المعاد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الشموس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والملاحظ أنّ المحقّق النراقي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المستند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حال كتاب حريز عندنا غير معلوم، مع أنّ ناقله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هو الحلّي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يعمل به وأفتى بالعشر، وهو من مضعّفات الحديث جدّاً</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أسماء مصنّفي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بشرح السيّد كلانتر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ذكرى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رياض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مستمسك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ويلاحظ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ويلاحظ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ويلاحظ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الوحيد في حاشيته على المدارك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الفائدة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فائدة الشهرة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حصول التبيّن المأمور به في خبر الفاسق، ولا شكّ في أنّها من أعظم أنواع التبيّن، وهو تعالى كما جعل خبر العادل حجّة كذا جعل الخبر المتبيَّن 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أنّ نفس توثيقات الرجال غالباً من الظنون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حقّقنا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فكيف يكفي الظنّ في ثبوت العدالة التي هي شرط في الصحّة، ولا يكفي الظنّ القويّ في التبيّن؟ إذ لغةً يصدق عليه أنّه تبيَّن وظهر، فإنّ التبيُّن طلب ظهور الحال</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الحائرية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مجمع الفائدة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الحائرية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ويلاحظ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الحائرية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ويلاحظ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أشار صاحب الجواهر إلى هذا المورد بقوله في العبارة المتقدّمة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بخلاف ما لم تعارض كتعيين أحد معنيي المشترك كما في المقام، لا يخلو من قوّة</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ويلاحظ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الحائرية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ويلاحظ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ويلاحظ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ويلاحظ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الحائرية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ويلاحظ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ومقصوده ظاهراً 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وإن انجبرت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طابقت فتاواهم مضموناً من دون أن يرووها في كتبهم الاستدلالية ويعملون على طبقها</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ويلاحظ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ويلاحظ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ويلاحظ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ويلاحظ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ويلاحظ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ويلاحظ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ذخيرة المعاد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حاشية مجمع الفائدة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رياض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مستند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مفتاح الكرامة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غنائم الأيّام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ويلاحظ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الرسائل الفقهية للوحيد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نتحدّث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الحديث المضطرب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هذه الحلقة، ولكن سيأتي عرضه عند طبع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شاء الله تعالى</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ويلاحظ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 إلى تصانيف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الضعفاء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وعنه الذهبي في المغني في الضعفاء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629</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5947</w:t>
      </w:r>
      <w:r>
        <w:rPr>
          <w:rFonts w:ascii="IRNazanin" w:hAnsi="IRNazanin" w:eastAsia="IRNazanin"/>
          <w:b w:val="false"/>
          <w:b w:val="false"/>
          <w:bCs w:val="false"/>
          <w:i w:val="false"/>
          <w:i w:val="false"/>
          <w:iCs w:val="false"/>
          <w:color w:val="333333"/>
          <w:sz w:val="20"/>
          <w:sz w:val="20"/>
          <w:szCs w:val="20"/>
          <w:rtl w:val="true"/>
        </w:rPr>
        <w:t>، وتاريخ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في معرفة علماء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795</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الغضائري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أسماء مصنّفي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6313</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6325</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ما ذكره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 والدي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 السيّد جمال الدين أحمد ابن طاووس، والشيخ نجم الدين أبي القاسم جعفر بن سعيد جميعاً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 إلى تصانيف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تكملة أمل الآمل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ذكرى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13510</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خاتمة 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 إلى تصانيف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ذخيرة المعاد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أسماء مصنّفي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1091</w:t>
      </w:r>
      <w:r>
        <w:rPr>
          <w:rFonts w:ascii="IRNazanin" w:hAnsi="IRNazanin" w:eastAsia="IRNazanin"/>
          <w:b w:val="false"/>
          <w:b w:val="false"/>
          <w:bCs w:val="false"/>
          <w:i w:val="false"/>
          <w:i w:val="false"/>
          <w:iCs w:val="false"/>
          <w:color w:val="333333"/>
          <w:sz w:val="20"/>
          <w:sz w:val="20"/>
          <w:szCs w:val="20"/>
          <w:rtl w:val="true"/>
        </w:rPr>
        <w:t>، 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723</w:t>
      </w:r>
      <w:r>
        <w:rPr>
          <w:rFonts w:ascii="IRNazanin" w:hAnsi="IRNazanin" w:eastAsia="IRNazanin"/>
          <w:b w:val="false"/>
          <w:b w:val="false"/>
          <w:bCs w:val="false"/>
          <w:i w:val="false"/>
          <w:i w:val="false"/>
          <w:iCs w:val="false"/>
          <w:color w:val="333333"/>
          <w:sz w:val="20"/>
          <w:sz w:val="20"/>
          <w:szCs w:val="20"/>
          <w:rtl w:val="true"/>
        </w:rPr>
        <w:t>، 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خاتمة 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خاتمة 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حتّى أنّ النسخة المحقّقة من الجواهر كتب في هامشها تعليقاً على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حكي عن بعض الأفاضل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الكتب المتوفّرة في أيدينا خالية من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تحقيق حيدر الدبّاغ، طبع مؤسّسة النشر الإسلامية التابعة لجماعة المدرّسين بقم</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خاتمة 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الجعفريات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الجعفريات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الجعفريات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الجعفريات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الجعفريات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وغيرها</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خاتمة 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 تفاصيل مناقشة صاحب المستدرك في الخاتمة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خاتمة 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مباني تكملة المنهاج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مصباح المنهاج، كتاب التجارة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قبسات من علم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تكرّرت هذه العبارة أعلى كلّ صفحة من الأصل</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مصابيح الظّلام في شرح مفاتيح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غنائم الأيّام في مسائل الحلال والحرام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جواهر الكلام في شرح 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النّبويّ المعروف، 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ومستنبط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الإحكام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قال بعد أن ذكر دليل الشيخ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المنع؛ لقوله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لامرئ ما نوى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غاية المرام في شرح 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المبسوط في فقه الإماميّة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إصباح الشيعة بمصباح الشّريعة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الجامع للشرائع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تحرير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الدّروس الشّرعيّة في فقه الإماميّة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فوائد القواعد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مجمع الفائدة والبرهان في شرح إرشاد الأذهان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كشف اللّثام عن قواعد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مستند الشّيعة في أحكام الشّريعة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كتاب الطّهارة للشيخ الأنصاريّ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غنائم الأيّام في مسائل الحلال والحرام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جواهر الكلام في شرح 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 في شرح 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ذخيرة المعاد في شرح 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باب المرأة ترى الدّم وهي جنب،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تهذيب الأحكام في شرح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باب الحيض والنّفاس، ح</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1896</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 في شرح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باب الأغسال المفترضات والمسنونات، 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أجزأها غسل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أجزأك غسل</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باب ما يجزئ الغسل منه إذا اجتمع،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 في شرح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باب صفة الإحرام،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باب ما يجزئ من غسل الإحرام، وما لا يجزئ،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بتعدّد الأحداث والأغسال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متعلّق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احتجّ</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 في شرح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باب الأغسال المفترضات والمسنونات، 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أجزأها غسل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أجزأك غسل</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باب صفة الغسل والوضوء قبله وبعده والرّجل يغتسل في مكان غير طيّب وما يقال عند الغسل وتحويل الخاتم عند الغسل، 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تهذيب الأحكام في شرح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باب حكم الجنابة وصفة الطّهارة منها، ح</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وذيل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باب تلقين المحتضرين وتوجيههم عند الوفاة وما يصنع بهم في تلك الحال وتطهيرهم بالغسل وإسكانهم الأكفات، ح</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الاستبصار فيما اختلف من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باب سقوط فرض الوضوء عن الغسل من الجنابة،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وذيل الحديث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باب تقديم الوضوء على غسل الميت،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باب ما يجزئ الغسل منه إذا اجتمع،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أشرنا إلى مواضعها في مطاوي ما تقدّم</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 في شرح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باب الحيض والاستحاضة والنّفاس، ح</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كما 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 فيما اختلف من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باب المرأة الجنب تحيض عليها غسل واحد أم غسلان،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 في شرح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باب الحيض والاستحاضة والنّفاس، ح</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الاستبصار فيما اختلف من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باب المرأة الجنب تحيض عليها غسل واحد أم غسلان،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 في شرح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باب تلقين المحتضرين، ح</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الاستبصار فيما اختلف من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باب الرجل يموت وهو جنب،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 في شرح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باب الحيض والاستحاضة والنّفاس، ح</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الاستبصار فيما اختلف من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باب المرأة الجنب تحيض عليها غسل واحد أم غسلان،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باب ما يجزئ الغسل منه إذا اجتمع،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 في شرح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باب حكم الجنابة وصفة الطّهارة منها، ح</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الاستبصار فيما اختلف من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باب سقوط فرض الوضوء عن الغسل من الجنابة،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 في شرح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باب حكم الجنابة وصفة الطّهارة منها، ح</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كلمة واحدة تكاد أن لا تُقرأ، ورسمها أقرب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ببعضه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فلاحظ</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 في شرح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باب حكم الجنابة وصفة الطّهارة منها، ح</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 في شرح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باب حكم الجنابة وصفة الطّهارة منها، ح</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 في شرح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باب حكم الجنابة وصفة الطّهارة منها، ح</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الاستبصار فيما اختلف من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باب وجوب التّرتيب في غسل الجنابة،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 في شرح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باب حكم الجنابة وصفة الطّهارة منها، ح</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الاستبصار فيما اختلف من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باب سقوط فرض الوضوء عن الغسل من الجنابة،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 فيما اختلف من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باب سقوط فرض الوضوء عند الغسل من الجنابة،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 في شرح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باب حكم الجنابة وصفة الطّهارة منها، ح</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الاستبصار فيما اختلف من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باب سقوط فرض الوضوء عند الغسل من الجنابة،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اختلاف يسير، وذكره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ذيل حديثٍ مقتصراً على قول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دون ذكر السّند 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وروي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باب صفة الغسل والوضوء قبله وبعده والرّجل يغتسل في مكان غير طيّب وما يقال عند الغسل وتحويل الخاتم عند الغسل، ذيل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باب صفة الغسل والوضوء قبله وبعده والرّجل يغتسل في مكان غير طيّب وما يقال عند الغسل وتحويل الخاتم عند الغسل، 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تهذيب الأحكام في شرح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باب حكم الجنابة وصفة الطّهارة منها، ح</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الاستبصار فيما اختلف من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باب سقوط فرض الوضوء عند الغسل من الجنابة،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 في شرح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باب حكم الجنابة وصفة الطّهارة منها، ح</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الاستبصار فيما اختلف من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باب وجوب غسل الجنابة والحيض والنّفاس ومسّ الأموات،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باب سقوط فرض الوضوء عن الغسل من الجنابة،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 في شرح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باب الأغسال المفترضات والمسنونات،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 في شرح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باب حكم الجنابة وصفة الطّهارة منها، ح</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إشارة إلى ما سبق من بعض روايات الطّوائف السّابقة الّتي عبّرت بأنّ الغسل أنقى من الوضوء وأطهر، كما في رواية حمّاد بن عثمان وغيرها</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يُلاحظ قوله تعالى في سورة 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وَإِذَا ضَرَبْتُمْ فِي الْأَرْضِ فَلَيْسَ عَلَيْكُمْ جُنَاحٌ أَن تَقْصُرُوا مِنَ الصَّلَاةِ إِنْ خِفْتُمْ أَن يَفْتِنَكُمُ الَّذِينَ كَفَرُوا ۚ إِنَّ الْكَافِرِينَ كَانُوا لَكُمْ عَدُوًّا مُّبِينًا</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باب المرأة ترى الدّم وهي جنب،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باب المرأة ترى الدّم وهي جنب،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 في شرح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باب الأغسال وكيفيّة الغسل من الجنابة، 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الرّاغب في شرح بغية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الطّالب في معرفة المفروض والواجب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تعليقة سبعة من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تعليقة على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ومتى أحدث في أثنائه أو في أثناء غسل الجنابة أعادهما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صاحب الجواهر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والمحقّق النّراقيّ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مستند الشّيعة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المحقّق الثّاني في شرح الرّسالة الألفيّة أنّ هذا القول هو قول الأكثر أو المشهور، إلّا أن الموجود فيها 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وهو ما عليه المتأخّرون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الرّسالة الألفيّة المطبوعة ضمن رسائل المحقّق الكركيّ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المبسوط في فقه الإماميّة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الجامع للشّرائع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كنز الفوائد في حلّ مشكلات القواعد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رسالة المحرّر في الفتوى المطبوع ضمن الرّسائل العشر لابن فهد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روض الجنان في شرح إرشاد الأذهان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مصابيح الظّلام في شرح مفاتيح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الحدائق النّاضرة في أحكام العترة الطّاهرة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مستند الشّيعة في أحكام الشّريعة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رياض المسائل في بيان أحكام الشّرع بالدّلائل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السّرائر الحاوي لتحرير الفتاوي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غاية المرام في شرح 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جامع المقاصد في شرح القواعد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كفاية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حكاه المحقّق عن السيّد المرتضى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واختاره، 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 في شرح المختصر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مسالك الأفهام إلى تنقيح 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مدارك الأحكام في شرح 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كشف اللّثام عن قواعد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جواهر الكلام في شرح 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مصباح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العروة الوثقى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السيّد العامليّ في مدارك الأحكام عن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عرض المجالس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 في شرح 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المنسوب إلى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 في شرح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باب حكم الجنابة وصفة الطّهارة منها، ح</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باب صفة الغسل والوضوء قبله وبعده والرّجل يغتسل في مكان غير طيّب وما يقال عند الغسل وتحويل الخاتم عند الغسل،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تهذيب الأحكام في شرح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باب حكم الجنابة وصفة الطّهارة منها، ح</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باب صفة الغسل والوضوء قبله وبعده والرّجل يغتسل في مكان غير طيّب وما يقال عند الغسل وتحويل الخاتم عند الغسل،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تهذيب الأحكام في شرح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باب حكم الجنابة وصفة الطّهارة منها، ح</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وغيرها</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إلى تحصيل مسائل الشّريعة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غنائم الأيّام في مسائل الحلال والحرام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مستند الشّيعة في أحكام الشّريعة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إضافة اقتضاها السّياق</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 في فقه الإماميّة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نهاية الإحكام في معرفة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الدّروس الشّرعيّة في فقه الإماميّة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المقاصد العليّة في شرح الرّسالة الألفيّة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رياض المسائل في بيان أحكام الشّرع بالدّلائل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مستند الشّيعة في أحكام الشّريعة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وغيرها</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991</w:t>
      </w:r>
      <w:r>
        <w:rPr>
          <w:rFonts w:ascii="IRNazanin" w:hAnsi="IRNazanin" w:eastAsia="IRNazanin"/>
          <w:b w:val="false"/>
          <w:b w:val="false"/>
          <w:bCs w:val="false"/>
          <w:i w:val="false"/>
          <w:i w:val="false"/>
          <w:iCs w:val="false"/>
          <w:color w:val="333333"/>
          <w:sz w:val="20"/>
          <w:sz w:val="20"/>
          <w:szCs w:val="20"/>
          <w:rtl w:val="true"/>
        </w:rPr>
        <w:t>، تهذيب الأحكام في شرح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باب تفصيل ما تقدّم ذكره في الصّلاة من المفروض والمسنون، وما يجوز فيها وما لا يجوز، ح</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1004</w:t>
      </w:r>
      <w:r>
        <w:rPr>
          <w:rFonts w:ascii="IRNazanin" w:hAnsi="IRNazanin" w:eastAsia="IRNazanin"/>
          <w:b w:val="false"/>
          <w:b w:val="false"/>
          <w:bCs w:val="false"/>
          <w:i w:val="false"/>
          <w:i w:val="false"/>
          <w:iCs w:val="false"/>
          <w:color w:val="333333"/>
          <w:sz w:val="20"/>
          <w:sz w:val="20"/>
          <w:szCs w:val="20"/>
          <w:rtl w:val="true"/>
        </w:rPr>
        <w:t>، تهذيب الأحكام في شرح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باب تفصيل ما تقدّم ذكره في الصّلاة من المفروض والمسنون، وما يجوز فيها وما لا يجوز، ح</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الاستبصار فيما اختلف من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باب مَن نسي القراءة،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1003</w:t>
      </w:r>
      <w:r>
        <w:rPr>
          <w:rFonts w:ascii="IRNazanin" w:hAnsi="IRNazanin" w:eastAsia="IRNazanin"/>
          <w:b w:val="false"/>
          <w:b w:val="false"/>
          <w:bCs w:val="false"/>
          <w:i w:val="false"/>
          <w:i w:val="false"/>
          <w:iCs w:val="false"/>
          <w:color w:val="333333"/>
          <w:sz w:val="20"/>
          <w:sz w:val="20"/>
          <w:szCs w:val="20"/>
          <w:rtl w:val="true"/>
        </w:rPr>
        <w:t>، تهذيب الأحكام في شرح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باب تفصيل ما تقدّم ذكره في الصّلاة من المفروض والمسنون، وما يجوز فيها وما لا يجوز، ح</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الاستبصار فيما اختلف من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باب وجوب الجهر بالقراءة،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وفي جميعها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ساهياً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جاهلاً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 شيء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فليس عليه شيء</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رسالة في السّهو والشّكّ في الصّلاة المطبوعة ضمن رسائل المحقّق الكركيّ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روض الجنان في شرح إرشاد الأذهان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911</w:t>
      </w:r>
      <w:r>
        <w:rPr>
          <w:rFonts w:ascii="IRNazanin" w:hAnsi="IRNazanin" w:eastAsia="IRNazanin"/>
          <w:b w:val="false"/>
          <w:b w:val="false"/>
          <w:bCs w:val="false"/>
          <w:i w:val="false"/>
          <w:i w:val="false"/>
          <w:iCs w:val="false"/>
          <w:color w:val="333333"/>
          <w:sz w:val="20"/>
          <w:sz w:val="20"/>
          <w:szCs w:val="20"/>
          <w:rtl w:val="true"/>
        </w:rPr>
        <w:t>، ذخيرة المعاد في شرح 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الحاشية على مدارك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كشف الغطاء عن مبهمات الشّريعة الغرّاء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مستند الشّيعة في أحكام الشّريعة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وما بعدها، جواهر الكلام في شرح 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 مصباح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ذكرى الشّيعة في أحكام الشّريعة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المهذّب البارع في شرح المختصر النّافع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جامع المقاصد في شرح القواعد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المقاصد العليّة في شرح الرّسالة الألفيّة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غنائم الأيّام في مسائل الحلال والحرام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2594</w:t>
      </w:r>
      <w:r>
        <w:rPr>
          <w:rFonts w:ascii="IRNazanin" w:hAnsi="IRNazanin" w:eastAsia="IRNazanin"/>
          <w:b w:val="false"/>
          <w:b w:val="false"/>
          <w:bCs w:val="false"/>
          <w:i w:val="false"/>
          <w:i w:val="false"/>
          <w:iCs w:val="false"/>
          <w:color w:val="333333"/>
          <w:sz w:val="20"/>
          <w:sz w:val="20"/>
          <w:szCs w:val="20"/>
          <w:rtl w:val="true"/>
        </w:rPr>
        <w:t>، جواهر الكلام في شرح 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الصّفحة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الصّفحة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في فقه الإماميّة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السّرائر الحاوي لتحرير الفتاوي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المعتبر في شرح المختصر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نهاية الإحكام في معرفة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w:t>
      </w:r>
      <w:r>
        <w:rPr>
          <w:rFonts w:ascii="IRNazanin" w:hAnsi="IRNazanin" w:eastAsia="IRNazanin"/>
          <w:b w:val="false"/>
          <w:b w:val="false"/>
          <w:bCs w:val="false"/>
          <w:i w:val="false"/>
          <w:i w:val="false"/>
          <w:iCs w:val="false"/>
          <w:color w:val="333333"/>
          <w:sz w:val="20"/>
          <w:sz w:val="20"/>
          <w:szCs w:val="20"/>
          <w:rtl w:val="true"/>
        </w:rPr>
        <w:t>،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رسالة المبتدي وهداية المقتدي المطبوعة ضمن الرّسائل العشر لابن فهد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رسالة في السّهو والشّكّ في الصّلاة المطبوعة ضمن رسائل المحقّق الكركيّ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مسالك الأفهام إلى تنقيح 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مجمع الفائدة والبرهان في شرح إرشاد الأذهان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ذخيرة المعاد في شرح 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عبّر عنه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المشهور بين الأصحاب</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باب السّهو في القراءة،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 في شرح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باب تفصيل ما تقدّم ذكره في الصّلاة من المفروض والمسنون، وما يجوز فيها وما لا يجوز، ح</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قراءة حتّى يبدأ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صلاة له حتّى يبدأ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الاستبصار فيما اختلف من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باب مَن نسِي القراءة،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يبدأ</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 في شرح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باب تفصيل ما تقدّم ذكره في الصّلاة من المفروض والمسنون، وما يجوز فيها وما لا يجوز، ح</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الموضع السابقين، ح</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باب الركوع وما يقال فيه من التّسبيح والدّعاء فيه وإذا رفع الرأس منه،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تهذيب الأحكام في شرح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باب كيفيّة الصلاة وصفتها، وشرح الإحدى وخمسين ركعة، وترتيبها والقراءة فيها، والتسبيح في ركوعها وسجودها، والقنوت فيها، والمفروض من ذلك والمسنون، ح</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هذا القسم صوراً أربعة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نسيان الحمد أو السّورة والتّذكّر حال القنوت، الثّانية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نسيان الرّكوع والتّذكّر حال السّجود، الثّالثة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نسيان السّجدتين أو احديهما، الرّابعة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نسيان التّشهّد والتذكّر قبل الرّكوع من الرّكعة الثّالثة</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المنسوب إلى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الشّيخ صاحب الجواهر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الرّضويّ يمكن أن يكون دليلاً اعتمده الشّيخ والعلّامة على وجوب إعادة السّورة بعينها</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وأمّا الأصل الثانوي</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 الحاوي لتحرير الفتاوي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وقد ذكر المحقّق الهمدانيّ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التّوهّم والرّدّ عليه في مصباح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ينبغي الإشكال</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إصباح الشّيعة بمصباح الشّريعة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شرائع الإسلام في مسائل الحلال والحرام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نهاية الإحكام في معرفة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رسالة المحرّر في الفتوى المطبوعة ضمن الرّسائل العشر لابن فهد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مسالك الأفهام إلى تنقيح 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مجمع الفائدة والبرهان في شرح إرشاد الأذهان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مدارك الأحكام في شرح 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ذخيرة المعاد في شرح 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كشف اللّثام عن قواعد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رياض المسائل في بيان أحكام الشّرع بالدّلائل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مستند الشّيعة في أحكام الشّريعة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جواهر الكلام في شرح 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مصباح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وإن ذكر قبل أن يسجد</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في جواهر الكلام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ويُلاحظ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مدارك الأحكام في شرح 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ذخيرة المعاد في شرح 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مستند الشّيعة في أحكام الشّريعة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 في شرح 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ذكرى الشّيعة في أحكام الشّريعة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روض الجنان في شرح إرشاد الأذهان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919</w:t>
      </w:r>
      <w:r>
        <w:rPr>
          <w:rFonts w:ascii="IRNazanin" w:hAnsi="IRNazanin" w:eastAsia="IRNazanin"/>
          <w:b w:val="false"/>
          <w:b w:val="false"/>
          <w:bCs w:val="false"/>
          <w:i w:val="false"/>
          <w:i w:val="false"/>
          <w:iCs w:val="false"/>
          <w:color w:val="333333"/>
          <w:sz w:val="20"/>
          <w:sz w:val="20"/>
          <w:szCs w:val="20"/>
          <w:rtl w:val="true"/>
        </w:rPr>
        <w:t>، مصابيح الظّلام في شرح مفاتيح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حيث ذهب إلى ركنيّة هذه الطمأنينة</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الحاكي هو صاحب 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ويُلاحظ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 في شرح 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 في شرح 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 في شرح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باب تفصيل ما تقدّم ذكره في الصّلاة من المفروض والمسنون، وما يجوز فيها وما لا يجوز، ح</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ركع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الاستبصار فيما اختلف من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باب مَن ترك سجدة واحدة من السجدتين ناسياً حتى يركع،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1008</w:t>
      </w:r>
      <w:r>
        <w:rPr>
          <w:rFonts w:ascii="IRNazanin" w:hAnsi="IRNazanin" w:eastAsia="IRNazanin"/>
          <w:b w:val="false"/>
          <w:b w:val="false"/>
          <w:bCs w:val="false"/>
          <w:i w:val="false"/>
          <w:i w:val="false"/>
          <w:iCs w:val="false"/>
          <w:color w:val="333333"/>
          <w:sz w:val="20"/>
          <w:sz w:val="20"/>
          <w:szCs w:val="20"/>
          <w:rtl w:val="true"/>
        </w:rPr>
        <w:t>، تهذيب الأحكام في شرح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باب تفصيل ما تقدّم ذكره في الصّلاة من المفروض المسنون، وما يجوز فيها وما لا يجوز، ح</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الاستبصار فيما اختلف من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باب مَن ترك سجدة واحدة من السّجدتين ناسياً حتّى ركع،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الحاكي هو العلّامة في 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 الحاوي لتحرير الفتاوي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1/245</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مصابيح الظّلام في شرح مفاتيح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غنائم الأيّام في مسائل الحلال والحرام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الشّرح الصّغير في شرح المختصر النّافع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مستند الشّيعة في أحكام الشّريعة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كتاب الصّلاة للشيخ الأنصاريّ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 في شرح 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ربّما يكون إشارة إلى الأخبار البيانيّة كما عن مجمع الفائدة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باب افتتاح الصّلاة والحدّ في التكبير وما يقال عند ذلك،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وسائل الشّيعة إلى تحصيل مسائل الشّريعة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أفعال الصّلاة،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مستدرك الوسائل ومستنبط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أفعال الصّلاة،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الجمل والعقود في العبادات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المعتبر في شرح المختصر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الجامع للشرائع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إرشاد الأذهان إلى أحكام الإيمان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ذكرى الشّيعة في أحكام الشّريعة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رسائل المحقّق الكركيّ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روض الجنان في شرح إرشاد الأذهان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732</w:t>
      </w:r>
      <w:r>
        <w:rPr>
          <w:rFonts w:ascii="IRNazanin" w:hAnsi="IRNazanin" w:eastAsia="IRNazanin"/>
          <w:b w:val="false"/>
          <w:b w:val="false"/>
          <w:bCs w:val="false"/>
          <w:i w:val="false"/>
          <w:i w:val="false"/>
          <w:iCs w:val="false"/>
          <w:color w:val="333333"/>
          <w:sz w:val="20"/>
          <w:sz w:val="20"/>
          <w:szCs w:val="20"/>
          <w:rtl w:val="true"/>
        </w:rPr>
        <w:t>، مدارك الأحكام في شرح 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رياض المسائل في بيان أحكام الشّرع بالدّلائل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مستند الشّيعة في أحكام الشّريعة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جواهر الكلام في شرح 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الحاكي هو المحقّق السّبزواريّ، 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ذخيرة المعاد في شرح 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في فقه الإماميّة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1/120</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 في تحقيق المذهب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ونسبه المحقّق النراقيّ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مستند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ظاهر الذخيرة، إلّا أنّ الموجود فيها بعد ذكر القولين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والمسألة محلّ تردّد، ولا يبعد ترجيح الأوّل تحصيلاً للبراءة اليقينيّة من التّكليف الثّابت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ذخيرة المعاد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ذخيرة المعاد في شرح 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 في شرح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باب تفصيل ما تقدّم ذكره في الصّلاة من المفروض والمسنون، وما يجوز فيها وما لا يجوز، ح</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 فيما اختلف في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باب من نسي التشهّد الأوّل حتّى ركع في الثّالثة،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1026</w:t>
      </w:r>
      <w:r>
        <w:rPr>
          <w:rFonts w:ascii="IRNazanin" w:hAnsi="IRNazanin" w:eastAsia="IRNazanin"/>
          <w:b w:val="false"/>
          <w:b w:val="false"/>
          <w:bCs w:val="false"/>
          <w:i w:val="false"/>
          <w:i w:val="false"/>
          <w:iCs w:val="false"/>
          <w:color w:val="333333"/>
          <w:sz w:val="20"/>
          <w:sz w:val="20"/>
          <w:szCs w:val="20"/>
          <w:rtl w:val="true"/>
        </w:rPr>
        <w:t xml:space="preserve">، ورواها الشيّخ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والاستبصار مسندة إلى أبي العلا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وإلى ابن أبي يعفور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وقد تضمّن السّؤال عبارة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حتّى يركع في الثّالثة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لا في جواب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 في شرح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باب تفصيل ما تقدّم ذكره في الصّلاة من المفروض والمسنون، وما يجوز فيها وما لا يجوز، ح</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الاستبصار فيما اختلف من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باب مَن نسي التّشهّد الأوّل حتّى ركع في الثّالثة،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باب مَن تكلّم في صلاته أو انصرف قبل أن يتمّها أو يقوم في موضع جلوسه،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تهذيب الأحكام في شرح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باب أحكام السّهو، ح</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غيرهما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ومن غيرها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وإن أنت لم تذكر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وإن لم تذكر</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يمكن رجوع هذه العائدة إلى موارد متعدّدة، أوفقها في النّظر القاصر أن محلّها بعد الملخّص في الصفحة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وبها يختم الصّورة الثالثة</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 في شرح 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image" Target="media/image2.jpeg"/><Relationship Id="rId337" Type="http://schemas.openxmlformats.org/officeDocument/2006/relationships/image" Target="media/image2.jpeg"/><Relationship Id="rId338" Type="http://schemas.openxmlformats.org/officeDocument/2006/relationships/footer" Target="footer331.xml"/><Relationship Id="rId339" Type="http://schemas.openxmlformats.org/officeDocument/2006/relationships/footnotes" Target="footnotes.xml"/><Relationship Id="rId340" Type="http://schemas.openxmlformats.org/officeDocument/2006/relationships/numbering" Target="numbering.xml"/><Relationship Id="rId341" Type="http://schemas.openxmlformats.org/officeDocument/2006/relationships/fontTable" Target="fontTable.xml"/><Relationship Id="rId342" Type="http://schemas.openxmlformats.org/officeDocument/2006/relationships/settings" Target="settings.xml"/><Relationship Id="rId34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339</Pages>
  <Words>46878</Words>
  <Characters>213390</Characters>
  <CharactersWithSpaces>258650</CharactersWithSpaces>
  <Paragraphs>1895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2026-08-20T10:00:00Z</dcterms:created>
  <dc:creator>ghaemiyeh.com</dc:creator>
  <dc:description/>
  <dc:language>en-US</dc:language>
  <cp:lastModifiedBy/>
  <dcterms:modified xsi:type="dcterms:W3CDTF">2026-08-20T13:30:10Z</dcterms:modified>
  <cp:revision>1</cp:revision>
  <dc:subject/>
  <dc:title>دراسات علمیة - 16 مجلة نصف سنویة تعنى بالأبحاث التخصصیة فی الحوزة العلمیة</dc:title>
</cp:coreProperties>
</file>

<file path=docProps/custom.xml><?xml version="1.0" encoding="utf-8"?>
<Properties xmlns="http://schemas.openxmlformats.org/officeDocument/2006/custom-properties" xmlns:vt="http://schemas.openxmlformats.org/officeDocument/2006/docPropsVTypes"/>
</file>