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4716_2870459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364718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64720_2870459653">
            <w:r>
              <w:rPr>
                <w:webHidden/>
                <w:rStyle w:val="IndexLink"/>
                <w:rtl w:val="true"/>
              </w:rPr>
              <w:t>الأسس المعتمدة للنشر</w:t>
            </w:r>
            <w:r>
              <w:rPr>
                <w:rStyle w:val="IndexLink"/>
                <w:rtl w:val="true"/>
              </w:rPr>
              <w:tab/>
            </w:r>
            <w:r>
              <w:rPr>
                <w:rStyle w:val="IndexLink"/>
              </w:rPr>
              <w:t>9</w:t>
            </w:r>
          </w:hyperlink>
        </w:p>
        <w:p>
          <w:pPr>
            <w:pStyle w:val="Contents2"/>
            <w:tabs>
              <w:tab w:val="clear" w:pos="8743"/>
              <w:tab w:val="right" w:pos="9026" w:leader="dot"/>
            </w:tabs>
            <w:rPr/>
          </w:pPr>
          <w:hyperlink w:anchor="__RefHeading___Toc2364722_2870459653">
            <w:r>
              <w:rPr>
                <w:webHidden/>
                <w:rStyle w:val="IndexLink"/>
                <w:rtl w:val="true"/>
              </w:rPr>
              <w:t>مقدِّمة الطَّبعة الثَّانية</w:t>
            </w:r>
            <w:r>
              <w:rPr>
                <w:rStyle w:val="IndexLink"/>
                <w:rtl w:val="true"/>
              </w:rPr>
              <w:tab/>
            </w:r>
            <w:r>
              <w:rPr>
                <w:rStyle w:val="IndexLink"/>
              </w:rPr>
              <w:t>10</w:t>
            </w:r>
          </w:hyperlink>
        </w:p>
        <w:p>
          <w:pPr>
            <w:pStyle w:val="Contents2"/>
            <w:tabs>
              <w:tab w:val="clear" w:pos="8743"/>
              <w:tab w:val="right" w:pos="9026" w:leader="dot"/>
            </w:tabs>
            <w:rPr/>
          </w:pPr>
          <w:hyperlink w:anchor="__RefHeading___Toc2364724_2870459653">
            <w:r>
              <w:rPr>
                <w:webHidden/>
                <w:rStyle w:val="IndexLink"/>
                <w:rtl w:val="true"/>
              </w:rPr>
              <w:t>محتویات العدد</w:t>
            </w:r>
            <w:r>
              <w:rPr>
                <w:rStyle w:val="IndexLink"/>
                <w:rtl w:val="true"/>
              </w:rPr>
              <w:tab/>
            </w:r>
            <w:r>
              <w:rPr>
                <w:rStyle w:val="IndexLink"/>
              </w:rPr>
              <w:t>11</w:t>
            </w:r>
          </w:hyperlink>
        </w:p>
        <w:p>
          <w:pPr>
            <w:pStyle w:val="Contents2"/>
            <w:tabs>
              <w:tab w:val="clear" w:pos="8743"/>
              <w:tab w:val="right" w:pos="9026" w:leader="dot"/>
            </w:tabs>
            <w:rPr/>
          </w:pPr>
          <w:hyperlink w:anchor="__RefHeading___Toc2364726_2870459653">
            <w:r>
              <w:rPr>
                <w:webHidden/>
                <w:rStyle w:val="IndexLink"/>
                <w:rtl w:val="true"/>
              </w:rPr>
              <w:t>افتتاحية العدد</w:t>
            </w:r>
            <w:r>
              <w:rPr>
                <w:rStyle w:val="IndexLink"/>
                <w:rtl w:val="true"/>
              </w:rPr>
              <w:tab/>
            </w:r>
            <w:r>
              <w:rPr>
                <w:rStyle w:val="IndexLink"/>
              </w:rPr>
              <w:t>12</w:t>
            </w:r>
          </w:hyperlink>
        </w:p>
        <w:p>
          <w:pPr>
            <w:pStyle w:val="Contents2"/>
            <w:tabs>
              <w:tab w:val="clear" w:pos="8743"/>
              <w:tab w:val="right" w:pos="9026" w:leader="dot"/>
            </w:tabs>
            <w:rPr/>
          </w:pPr>
          <w:hyperlink w:anchor="__RefHeading___Toc2364728_2870459653">
            <w:r>
              <w:rPr>
                <w:webHidden/>
                <w:rStyle w:val="IndexLink"/>
                <w:rtl w:val="true"/>
              </w:rPr>
              <w:t xml:space="preserve">بیع الرصید فی خدمات الاتصال بالآجل </w:t>
            </w:r>
            <w:r>
              <w:rPr>
                <w:rStyle w:val="IndexLink"/>
                <w:rtl w:val="true"/>
              </w:rPr>
              <w:t xml:space="preserve">- </w:t>
            </w:r>
            <w:r>
              <w:rPr>
                <w:rStyle w:val="IndexLink"/>
                <w:rtl w:val="true"/>
              </w:rPr>
              <w:t xml:space="preserve">الشيخ عمار الأسدي </w:t>
            </w:r>
            <w:r>
              <w:rPr>
                <w:rStyle w:val="IndexLink"/>
                <w:rtl w:val="true"/>
              </w:rPr>
              <w:t>(</w:t>
            </w:r>
            <w:r>
              <w:rPr>
                <w:rStyle w:val="IndexLink"/>
                <w:rtl w:val="true"/>
              </w:rPr>
              <w:t>دام عزه</w:t>
            </w:r>
            <w:r>
              <w:rPr>
                <w:rStyle w:val="IndexLink"/>
                <w:rtl w:val="true"/>
              </w:rPr>
              <w:t>)</w:t>
              <w:tab/>
            </w:r>
            <w:r>
              <w:rPr>
                <w:rStyle w:val="IndexLink"/>
              </w:rPr>
              <w:t>16</w:t>
            </w:r>
          </w:hyperlink>
        </w:p>
        <w:p>
          <w:pPr>
            <w:pStyle w:val="Contents3"/>
            <w:tabs>
              <w:tab w:val="clear" w:pos="8459"/>
              <w:tab w:val="right" w:pos="9026" w:leader="dot"/>
            </w:tabs>
            <w:rPr/>
          </w:pPr>
          <w:hyperlink w:anchor="__RefHeading___Toc2364730_2870459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364732_2870459653">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2364734_2870459653">
            <w:r>
              <w:rPr>
                <w:webHidden/>
                <w:rStyle w:val="IndexLink"/>
                <w:rtl w:val="true"/>
              </w:rPr>
              <w:t>وفي البحث أربع مسائل</w:t>
            </w:r>
            <w:r>
              <w:rPr>
                <w:rStyle w:val="IndexLink"/>
                <w:rtl w:val="true"/>
              </w:rPr>
              <w:tab/>
            </w:r>
            <w:r>
              <w:rPr>
                <w:rStyle w:val="IndexLink"/>
              </w:rPr>
              <w:t>19</w:t>
            </w:r>
          </w:hyperlink>
        </w:p>
        <w:p>
          <w:pPr>
            <w:pStyle w:val="Contents4"/>
            <w:tabs>
              <w:tab w:val="clear" w:pos="8176"/>
              <w:tab w:val="right" w:pos="9026" w:leader="dot"/>
            </w:tabs>
            <w:rPr/>
          </w:pPr>
          <w:hyperlink w:anchor="__RefHeading___Toc2364736_2870459653">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2364738_2870459653">
            <w:r>
              <w:rPr>
                <w:webHidden/>
                <w:rStyle w:val="IndexLink"/>
                <w:rtl w:val="true"/>
              </w:rPr>
              <w:t>توطئة</w:t>
            </w:r>
            <w:r>
              <w:rPr>
                <w:rStyle w:val="IndexLink"/>
                <w:rtl w:val="true"/>
              </w:rPr>
              <w:tab/>
            </w:r>
            <w:r>
              <w:rPr>
                <w:rStyle w:val="IndexLink"/>
              </w:rPr>
              <w:t>20</w:t>
            </w:r>
          </w:hyperlink>
        </w:p>
        <w:p>
          <w:pPr>
            <w:pStyle w:val="Contents5"/>
            <w:tabs>
              <w:tab w:val="clear" w:pos="7892"/>
              <w:tab w:val="right" w:pos="9026" w:leader="dot"/>
            </w:tabs>
            <w:rPr/>
          </w:pPr>
          <w:hyperlink w:anchor="__RefHeading___Toc2364740_2870459653">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2364742_2870459653">
            <w:r>
              <w:rPr>
                <w:webHidden/>
                <w:rStyle w:val="IndexLink"/>
                <w:rtl w:val="true"/>
              </w:rPr>
              <w:t>المُكوِّنات الاعتبارية لرصيد الأموال</w:t>
            </w:r>
            <w:r>
              <w:rPr>
                <w:rStyle w:val="IndexLink"/>
                <w:rtl w:val="true"/>
              </w:rPr>
              <w:tab/>
            </w:r>
            <w:r>
              <w:rPr>
                <w:rStyle w:val="IndexLink"/>
              </w:rPr>
              <w:t>22</w:t>
            </w:r>
          </w:hyperlink>
        </w:p>
        <w:p>
          <w:pPr>
            <w:pStyle w:val="Contents5"/>
            <w:tabs>
              <w:tab w:val="clear" w:pos="7892"/>
              <w:tab w:val="right" w:pos="9026" w:leader="dot"/>
            </w:tabs>
            <w:rPr/>
          </w:pPr>
          <w:hyperlink w:anchor="__RefHeading___Toc2364744_2870459653">
            <w:r>
              <w:rPr>
                <w:webHidden/>
                <w:rStyle w:val="IndexLink"/>
                <w:rtl w:val="true"/>
              </w:rPr>
              <w:t xml:space="preserve">بطاقات التعبئة </w:t>
            </w:r>
            <w:r>
              <w:rPr>
                <w:rStyle w:val="IndexLink"/>
                <w:rtl w:val="true"/>
              </w:rPr>
              <w:t>(</w:t>
            </w:r>
            <w:r>
              <w:rPr>
                <w:rStyle w:val="IndexLink"/>
                <w:rtl w:val="true"/>
              </w:rPr>
              <w:t>شحن الرصيد</w:t>
            </w:r>
            <w:r>
              <w:rPr>
                <w:rStyle w:val="IndexLink"/>
                <w:rtl w:val="true"/>
              </w:rPr>
              <w:t>)</w:t>
              <w:tab/>
            </w:r>
            <w:r>
              <w:rPr>
                <w:rStyle w:val="IndexLink"/>
              </w:rPr>
              <w:t>24</w:t>
            </w:r>
          </w:hyperlink>
        </w:p>
        <w:p>
          <w:pPr>
            <w:pStyle w:val="Contents6"/>
            <w:tabs>
              <w:tab w:val="clear" w:pos="7609"/>
              <w:tab w:val="right" w:pos="9026" w:leader="dot"/>
            </w:tabs>
            <w:rPr/>
          </w:pPr>
          <w:hyperlink w:anchor="__RefHeading___Toc2364746_2870459653">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2364748_2870459653">
            <w:r>
              <w:rPr>
                <w:webHidden/>
                <w:rStyle w:val="IndexLink"/>
                <w:rtl w:val="true"/>
              </w:rPr>
              <w:t>التوجيه الأول لماليّة بطاقة الشحن</w:t>
            </w:r>
            <w:r>
              <w:rPr>
                <w:rStyle w:val="IndexLink"/>
                <w:rtl w:val="true"/>
              </w:rPr>
              <w:tab/>
            </w:r>
            <w:r>
              <w:rPr>
                <w:rStyle w:val="IndexLink"/>
              </w:rPr>
              <w:t>25</w:t>
            </w:r>
          </w:hyperlink>
        </w:p>
        <w:p>
          <w:pPr>
            <w:pStyle w:val="Contents6"/>
            <w:tabs>
              <w:tab w:val="clear" w:pos="7609"/>
              <w:tab w:val="right" w:pos="9026" w:leader="dot"/>
            </w:tabs>
            <w:rPr/>
          </w:pPr>
          <w:hyperlink w:anchor="__RefHeading___Toc2364750_2870459653">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2364752_2870459653">
            <w:r>
              <w:rPr>
                <w:webHidden/>
                <w:rStyle w:val="IndexLink"/>
                <w:rtl w:val="true"/>
              </w:rPr>
              <w:t>التصوير الشرعي لتعجيل دفع أجرة المنفعة</w:t>
            </w:r>
            <w:r>
              <w:rPr>
                <w:rStyle w:val="IndexLink"/>
                <w:rtl w:val="true"/>
              </w:rPr>
              <w:tab/>
            </w:r>
            <w:r>
              <w:rPr>
                <w:rStyle w:val="IndexLink"/>
              </w:rPr>
              <w:t>26</w:t>
            </w:r>
          </w:hyperlink>
        </w:p>
        <w:p>
          <w:pPr>
            <w:pStyle w:val="Contents6"/>
            <w:tabs>
              <w:tab w:val="clear" w:pos="7609"/>
              <w:tab w:val="right" w:pos="9026" w:leader="dot"/>
            </w:tabs>
            <w:rPr/>
          </w:pPr>
          <w:hyperlink w:anchor="__RefHeading___Toc2364754_2870459653">
            <w:r>
              <w:rPr>
                <w:webHidden/>
                <w:rStyle w:val="IndexLink"/>
                <w:rtl w:val="true"/>
              </w:rPr>
              <w:t>طريقة الجُعالة والإباحة بالعوض</w:t>
            </w:r>
            <w:r>
              <w:rPr>
                <w:rStyle w:val="IndexLink"/>
                <w:rtl w:val="true"/>
              </w:rPr>
              <w:tab/>
            </w:r>
            <w:r>
              <w:rPr>
                <w:rStyle w:val="IndexLink"/>
              </w:rPr>
              <w:t>27</w:t>
            </w:r>
          </w:hyperlink>
        </w:p>
        <w:p>
          <w:pPr>
            <w:pStyle w:val="Contents6"/>
            <w:tabs>
              <w:tab w:val="clear" w:pos="7609"/>
              <w:tab w:val="right" w:pos="9026" w:leader="dot"/>
            </w:tabs>
            <w:rPr/>
          </w:pPr>
          <w:hyperlink w:anchor="__RefHeading___Toc2364756_2870459653">
            <w:r>
              <w:rPr>
                <w:webHidden/>
                <w:rStyle w:val="IndexLink"/>
                <w:rtl w:val="true"/>
              </w:rPr>
              <w:t>المناقشة في وفاء المعاملات المذكورة بمقصود صاحب المنفعة</w:t>
            </w:r>
            <w:r>
              <w:rPr>
                <w:rStyle w:val="IndexLink"/>
                <w:rtl w:val="true"/>
              </w:rPr>
              <w:tab/>
            </w:r>
            <w:r>
              <w:rPr>
                <w:rStyle w:val="IndexLink"/>
              </w:rPr>
              <w:t>28</w:t>
            </w:r>
          </w:hyperlink>
        </w:p>
        <w:p>
          <w:pPr>
            <w:pStyle w:val="Contents6"/>
            <w:tabs>
              <w:tab w:val="clear" w:pos="7609"/>
              <w:tab w:val="right" w:pos="9026" w:leader="dot"/>
            </w:tabs>
            <w:rPr/>
          </w:pPr>
          <w:hyperlink w:anchor="__RefHeading___Toc2364758_2870459653">
            <w:r>
              <w:rPr>
                <w:webHidden/>
                <w:rStyle w:val="IndexLink"/>
                <w:rtl w:val="true"/>
              </w:rPr>
              <w:t>التوجيه الثاني لماليَّة بطاقة الشحن</w:t>
            </w:r>
            <w:r>
              <w:rPr>
                <w:rStyle w:val="IndexLink"/>
                <w:rtl w:val="true"/>
              </w:rPr>
              <w:tab/>
            </w:r>
            <w:r>
              <w:rPr>
                <w:rStyle w:val="IndexLink"/>
              </w:rPr>
              <w:t>32</w:t>
            </w:r>
          </w:hyperlink>
        </w:p>
        <w:p>
          <w:pPr>
            <w:pStyle w:val="Contents4"/>
            <w:tabs>
              <w:tab w:val="clear" w:pos="8176"/>
              <w:tab w:val="right" w:pos="9026" w:leader="dot"/>
            </w:tabs>
            <w:rPr/>
          </w:pPr>
          <w:hyperlink w:anchor="__RefHeading___Toc2364760_2870459653">
            <w:r>
              <w:rPr>
                <w:webHidden/>
                <w:rStyle w:val="IndexLink"/>
                <w:rtl w:val="true"/>
              </w:rPr>
              <w:t xml:space="preserve">المسالة الأولى </w:t>
            </w:r>
            <w:r>
              <w:rPr>
                <w:rStyle w:val="IndexLink"/>
                <w:rtl w:val="true"/>
              </w:rPr>
              <w:t xml:space="preserve">: </w:t>
            </w:r>
            <w:r>
              <w:rPr>
                <w:rStyle w:val="IndexLink"/>
                <w:rtl w:val="true"/>
              </w:rPr>
              <w:t xml:space="preserve">بيع الرصيد نقداً </w:t>
            </w:r>
            <w:r>
              <w:rPr>
                <w:rStyle w:val="IndexLink"/>
                <w:rtl w:val="true"/>
              </w:rPr>
              <w:t>(</w:t>
            </w:r>
            <w:r>
              <w:rPr>
                <w:rStyle w:val="IndexLink"/>
                <w:rtl w:val="true"/>
              </w:rPr>
              <w:t>يداً بيد</w:t>
            </w:r>
            <w:r>
              <w:rPr>
                <w:rStyle w:val="IndexLink"/>
                <w:rtl w:val="true"/>
              </w:rPr>
              <w:t>)</w:t>
              <w:tab/>
            </w:r>
            <w:r>
              <w:rPr>
                <w:rStyle w:val="IndexLink"/>
              </w:rPr>
              <w:t>34</w:t>
            </w:r>
          </w:hyperlink>
        </w:p>
        <w:p>
          <w:pPr>
            <w:pStyle w:val="Contents4"/>
            <w:tabs>
              <w:tab w:val="clear" w:pos="8176"/>
              <w:tab w:val="right" w:pos="9026" w:leader="dot"/>
            </w:tabs>
            <w:rPr/>
          </w:pPr>
          <w:hyperlink w:anchor="__RefHeading___Toc2364762_2870459653">
            <w:r>
              <w:rPr>
                <w:webHidden/>
                <w:rStyle w:val="IndexLink"/>
                <w:rtl w:val="true"/>
              </w:rPr>
              <w:t>المسألة الثانية</w:t>
            </w:r>
            <w:r>
              <w:rPr>
                <w:rStyle w:val="IndexLink"/>
                <w:rtl w:val="true"/>
              </w:rPr>
              <w:t xml:space="preserve">: </w:t>
            </w:r>
            <w:r>
              <w:rPr>
                <w:rStyle w:val="IndexLink"/>
                <w:rtl w:val="true"/>
              </w:rPr>
              <w:t xml:space="preserve">بيع الرصيد بثمن مؤجل </w:t>
            </w:r>
            <w:r>
              <w:rPr>
                <w:rStyle w:val="IndexLink"/>
                <w:rtl w:val="true"/>
              </w:rPr>
              <w:t>(</w:t>
            </w:r>
            <w:r>
              <w:rPr>
                <w:rStyle w:val="IndexLink"/>
                <w:rtl w:val="true"/>
              </w:rPr>
              <w:t>نسيئةً</w:t>
            </w:r>
            <w:r>
              <w:rPr>
                <w:rStyle w:val="IndexLink"/>
                <w:rtl w:val="true"/>
              </w:rPr>
              <w:t>)</w:t>
              <w:tab/>
            </w:r>
            <w:r>
              <w:rPr>
                <w:rStyle w:val="IndexLink"/>
              </w:rPr>
              <w:t>35</w:t>
            </w:r>
          </w:hyperlink>
        </w:p>
        <w:p>
          <w:pPr>
            <w:pStyle w:val="Contents5"/>
            <w:tabs>
              <w:tab w:val="clear" w:pos="7892"/>
              <w:tab w:val="right" w:pos="9026" w:leader="dot"/>
            </w:tabs>
            <w:rPr/>
          </w:pPr>
          <w:hyperlink w:anchor="__RefHeading___Toc2364764_2870459653">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2364766_2870459653">
            <w:r>
              <w:rPr>
                <w:webHidden/>
                <w:rStyle w:val="IndexLink"/>
                <w:rtl w:val="true"/>
              </w:rPr>
              <w:t>بحث الجهة الأولى في المسألة الثانية</w:t>
            </w:r>
            <w:r>
              <w:rPr>
                <w:rStyle w:val="IndexLink"/>
                <w:rtl w:val="true"/>
              </w:rPr>
              <w:tab/>
            </w:r>
            <w:r>
              <w:rPr>
                <w:rStyle w:val="IndexLink"/>
              </w:rPr>
              <w:t>36</w:t>
            </w:r>
          </w:hyperlink>
        </w:p>
        <w:p>
          <w:pPr>
            <w:pStyle w:val="Contents6"/>
            <w:tabs>
              <w:tab w:val="clear" w:pos="7609"/>
              <w:tab w:val="right" w:pos="9026" w:leader="dot"/>
            </w:tabs>
            <w:rPr/>
          </w:pPr>
          <w:hyperlink w:anchor="__RefHeading___Toc2364768_2870459653">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364770_2870459653">
            <w:r>
              <w:rPr>
                <w:webHidden/>
                <w:rStyle w:val="IndexLink"/>
                <w:rtl w:val="true"/>
              </w:rPr>
              <w:t>موقف الجمهور من بيع الأجناس بنفسها متفاضلة نسيئة</w:t>
            </w:r>
            <w:r>
              <w:rPr>
                <w:rStyle w:val="IndexLink"/>
                <w:rtl w:val="true"/>
              </w:rPr>
              <w:tab/>
            </w:r>
            <w:r>
              <w:rPr>
                <w:rStyle w:val="IndexLink"/>
              </w:rPr>
              <w:t>40</w:t>
            </w:r>
          </w:hyperlink>
        </w:p>
        <w:p>
          <w:pPr>
            <w:pStyle w:val="Contents6"/>
            <w:tabs>
              <w:tab w:val="clear" w:pos="7609"/>
              <w:tab w:val="right" w:pos="9026" w:leader="dot"/>
            </w:tabs>
            <w:rPr/>
          </w:pPr>
          <w:hyperlink w:anchor="__RefHeading___Toc2364772_2870459653">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2364774_2870459653">
            <w:r>
              <w:rPr>
                <w:webHidden/>
                <w:rStyle w:val="IndexLink"/>
                <w:rtl w:val="true"/>
              </w:rPr>
              <w:t>الطائفة الأولى</w:t>
            </w:r>
            <w:r>
              <w:rPr>
                <w:rStyle w:val="IndexLink"/>
                <w:rtl w:val="true"/>
              </w:rPr>
              <w:t xml:space="preserve">: </w:t>
            </w:r>
            <w:r>
              <w:rPr>
                <w:rStyle w:val="IndexLink"/>
                <w:rtl w:val="true"/>
              </w:rPr>
              <w:t>تدل على جواز بيع المعدود بجنسه متفاضلاً مطلقاً</w:t>
            </w:r>
            <w:r>
              <w:rPr>
                <w:rStyle w:val="IndexLink"/>
                <w:rtl w:val="true"/>
              </w:rPr>
              <w:tab/>
            </w:r>
            <w:r>
              <w:rPr>
                <w:rStyle w:val="IndexLink"/>
              </w:rPr>
              <w:t>42</w:t>
            </w:r>
          </w:hyperlink>
        </w:p>
        <w:p>
          <w:pPr>
            <w:pStyle w:val="Contents6"/>
            <w:tabs>
              <w:tab w:val="clear" w:pos="7609"/>
              <w:tab w:val="right" w:pos="9026" w:leader="dot"/>
            </w:tabs>
            <w:rPr/>
          </w:pPr>
          <w:hyperlink w:anchor="__RefHeading___Toc2364776_2870459653">
            <w:r>
              <w:rPr>
                <w:webHidden/>
                <w:rStyle w:val="IndexLink"/>
                <w:rtl w:val="true"/>
              </w:rPr>
              <w:t>الطائفة الثانية</w:t>
            </w:r>
            <w:r>
              <w:rPr>
                <w:rStyle w:val="IndexLink"/>
                <w:rtl w:val="true"/>
              </w:rPr>
              <w:t xml:space="preserve">: </w:t>
            </w:r>
            <w:r>
              <w:rPr>
                <w:rStyle w:val="IndexLink"/>
                <w:rtl w:val="true"/>
              </w:rPr>
              <w:t>تدل على جواز بيع المعدود بجنسه متفاضلاً نقداً</w:t>
            </w:r>
            <w:r>
              <w:rPr>
                <w:rStyle w:val="IndexLink"/>
                <w:rtl w:val="true"/>
              </w:rPr>
              <w:tab/>
            </w:r>
            <w:r>
              <w:rPr>
                <w:rStyle w:val="IndexLink"/>
              </w:rPr>
              <w:t>43</w:t>
            </w:r>
          </w:hyperlink>
        </w:p>
        <w:p>
          <w:pPr>
            <w:pStyle w:val="Contents6"/>
            <w:tabs>
              <w:tab w:val="clear" w:pos="7609"/>
              <w:tab w:val="right" w:pos="9026" w:leader="dot"/>
            </w:tabs>
            <w:rPr/>
          </w:pPr>
          <w:hyperlink w:anchor="__RefHeading___Toc2364778_2870459653">
            <w:r>
              <w:rPr>
                <w:webHidden/>
                <w:rStyle w:val="IndexLink"/>
                <w:rtl w:val="true"/>
              </w:rPr>
              <w:t>الطائفة الثالثة</w:t>
            </w:r>
            <w:r>
              <w:rPr>
                <w:rStyle w:val="IndexLink"/>
                <w:rtl w:val="true"/>
              </w:rPr>
              <w:t xml:space="preserve">: </w:t>
            </w:r>
            <w:r>
              <w:rPr>
                <w:rStyle w:val="IndexLink"/>
                <w:rtl w:val="true"/>
              </w:rPr>
              <w:t>تدل على الجواز نسيئة</w:t>
            </w:r>
            <w:r>
              <w:rPr>
                <w:rStyle w:val="IndexLink"/>
                <w:rtl w:val="true"/>
              </w:rPr>
              <w:tab/>
            </w:r>
            <w:r>
              <w:rPr>
                <w:rStyle w:val="IndexLink"/>
              </w:rPr>
              <w:t>43</w:t>
            </w:r>
          </w:hyperlink>
        </w:p>
        <w:p>
          <w:pPr>
            <w:pStyle w:val="Contents6"/>
            <w:tabs>
              <w:tab w:val="clear" w:pos="7609"/>
              <w:tab w:val="right" w:pos="9026" w:leader="dot"/>
            </w:tabs>
            <w:rPr/>
          </w:pPr>
          <w:hyperlink w:anchor="__RefHeading___Toc2364780_2870459653">
            <w:r>
              <w:rPr>
                <w:webHidden/>
                <w:rStyle w:val="IndexLink"/>
                <w:rtl w:val="true"/>
              </w:rPr>
              <w:t>الطائفة الرابعة</w:t>
            </w:r>
            <w:r>
              <w:rPr>
                <w:rStyle w:val="IndexLink"/>
                <w:rtl w:val="true"/>
              </w:rPr>
              <w:t xml:space="preserve">: </w:t>
            </w:r>
            <w:r>
              <w:rPr>
                <w:rStyle w:val="IndexLink"/>
                <w:rtl w:val="true"/>
              </w:rPr>
              <w:t>تدل على عدم جواز بيع المعدود متفاضلاً بجنسه نسيئة</w:t>
            </w:r>
            <w:r>
              <w:rPr>
                <w:rStyle w:val="IndexLink"/>
                <w:rtl w:val="true"/>
              </w:rPr>
              <w:tab/>
            </w:r>
            <w:r>
              <w:rPr>
                <w:rStyle w:val="IndexLink"/>
              </w:rPr>
              <w:t>44</w:t>
            </w:r>
          </w:hyperlink>
        </w:p>
        <w:p>
          <w:pPr>
            <w:pStyle w:val="Contents6"/>
            <w:tabs>
              <w:tab w:val="clear" w:pos="7609"/>
              <w:tab w:val="right" w:pos="9026" w:leader="dot"/>
            </w:tabs>
            <w:rPr/>
          </w:pPr>
          <w:hyperlink w:anchor="__RefHeading___Toc2364782_2870459653">
            <w:r>
              <w:rPr>
                <w:webHidden/>
                <w:rStyle w:val="IndexLink"/>
                <w:rtl w:val="true"/>
              </w:rPr>
              <w:t xml:space="preserve">الطائفة الخامسة </w:t>
            </w:r>
            <w:r>
              <w:rPr>
                <w:rStyle w:val="IndexLink"/>
                <w:rtl w:val="true"/>
              </w:rPr>
              <w:t xml:space="preserve">: </w:t>
            </w:r>
            <w:r>
              <w:rPr>
                <w:rStyle w:val="IndexLink"/>
                <w:rtl w:val="true"/>
              </w:rPr>
              <w:t>تدل على عدم جواز بيع المعدود متفاضلاً بجنسه مطلقاً</w:t>
            </w:r>
            <w:r>
              <w:rPr>
                <w:rStyle w:val="IndexLink"/>
                <w:rtl w:val="true"/>
              </w:rPr>
              <w:tab/>
            </w:r>
            <w:r>
              <w:rPr>
                <w:rStyle w:val="IndexLink"/>
              </w:rPr>
              <w:t>45</w:t>
            </w:r>
          </w:hyperlink>
        </w:p>
        <w:p>
          <w:pPr>
            <w:pStyle w:val="Contents6"/>
            <w:tabs>
              <w:tab w:val="clear" w:pos="7609"/>
              <w:tab w:val="right" w:pos="9026" w:leader="dot"/>
            </w:tabs>
            <w:rPr/>
          </w:pPr>
          <w:hyperlink w:anchor="__RefHeading___Toc2364784_2870459653">
            <w:r>
              <w:rPr>
                <w:webHidden/>
                <w:rStyle w:val="IndexLink"/>
                <w:rtl w:val="true"/>
              </w:rPr>
              <w:t>مناقشة الروايات في المسألة</w:t>
            </w:r>
            <w:r>
              <w:rPr>
                <w:rStyle w:val="IndexLink"/>
                <w:rtl w:val="true"/>
              </w:rPr>
              <w:tab/>
            </w:r>
            <w:r>
              <w:rPr>
                <w:rStyle w:val="IndexLink"/>
              </w:rPr>
              <w:t>46</w:t>
            </w:r>
          </w:hyperlink>
        </w:p>
        <w:p>
          <w:pPr>
            <w:pStyle w:val="Contents6"/>
            <w:tabs>
              <w:tab w:val="clear" w:pos="7609"/>
              <w:tab w:val="right" w:pos="9026" w:leader="dot"/>
            </w:tabs>
            <w:rPr/>
          </w:pPr>
          <w:hyperlink w:anchor="__RefHeading___Toc2364786_2870459653">
            <w:r>
              <w:rPr>
                <w:webHidden/>
                <w:rStyle w:val="IndexLink"/>
                <w:rtl w:val="true"/>
              </w:rPr>
              <w:t>النص على عدم جواز بيع المعدود بجنسه نسيئة</w:t>
            </w:r>
            <w:r>
              <w:rPr>
                <w:rStyle w:val="IndexLink"/>
                <w:rtl w:val="true"/>
              </w:rPr>
              <w:tab/>
            </w:r>
            <w:r>
              <w:rPr>
                <w:rStyle w:val="IndexLink"/>
              </w:rPr>
              <w:t>48</w:t>
            </w:r>
          </w:hyperlink>
        </w:p>
        <w:p>
          <w:pPr>
            <w:pStyle w:val="Contents6"/>
            <w:tabs>
              <w:tab w:val="clear" w:pos="7609"/>
              <w:tab w:val="right" w:pos="9026" w:leader="dot"/>
            </w:tabs>
            <w:rPr/>
          </w:pPr>
          <w:hyperlink w:anchor="__RefHeading___Toc2364788_2870459653">
            <w:r>
              <w:rPr>
                <w:webHidden/>
                <w:rStyle w:val="IndexLink"/>
                <w:rtl w:val="true"/>
              </w:rPr>
              <w:t>ثمرة البحث في ربا المعدود</w:t>
            </w:r>
            <w:r>
              <w:rPr>
                <w:rStyle w:val="IndexLink"/>
                <w:rtl w:val="true"/>
              </w:rPr>
              <w:tab/>
            </w:r>
            <w:r>
              <w:rPr>
                <w:rStyle w:val="IndexLink"/>
              </w:rPr>
              <w:t>52</w:t>
            </w:r>
          </w:hyperlink>
        </w:p>
        <w:p>
          <w:pPr>
            <w:pStyle w:val="Contents6"/>
            <w:tabs>
              <w:tab w:val="clear" w:pos="7609"/>
              <w:tab w:val="right" w:pos="9026" w:leader="dot"/>
            </w:tabs>
            <w:rPr/>
          </w:pPr>
          <w:hyperlink w:anchor="__RefHeading___Toc2364790_2870459653">
            <w:r>
              <w:rPr>
                <w:webHidden/>
                <w:rStyle w:val="IndexLink"/>
                <w:rtl w:val="true"/>
              </w:rPr>
              <w:t>شبهة القرض الربوي</w:t>
            </w:r>
            <w:r>
              <w:rPr>
                <w:rStyle w:val="IndexLink"/>
                <w:rtl w:val="true"/>
              </w:rPr>
              <w:tab/>
            </w:r>
            <w:r>
              <w:rPr>
                <w:rStyle w:val="IndexLink"/>
              </w:rPr>
              <w:t>52</w:t>
            </w:r>
          </w:hyperlink>
        </w:p>
        <w:p>
          <w:pPr>
            <w:pStyle w:val="Contents5"/>
            <w:tabs>
              <w:tab w:val="clear" w:pos="7892"/>
              <w:tab w:val="right" w:pos="9026" w:leader="dot"/>
            </w:tabs>
            <w:rPr/>
          </w:pPr>
          <w:hyperlink w:anchor="__RefHeading___Toc2364792_2870459653">
            <w:r>
              <w:rPr>
                <w:webHidden/>
                <w:rStyle w:val="IndexLink"/>
                <w:rtl w:val="true"/>
              </w:rPr>
              <w:t>بحث الجهة الثانية في المسألة الثانية</w:t>
            </w:r>
            <w:r>
              <w:rPr>
                <w:rStyle w:val="IndexLink"/>
                <w:rtl w:val="true"/>
              </w:rPr>
              <w:tab/>
            </w:r>
            <w:r>
              <w:rPr>
                <w:rStyle w:val="IndexLink"/>
              </w:rPr>
              <w:t>53</w:t>
            </w:r>
          </w:hyperlink>
        </w:p>
        <w:p>
          <w:pPr>
            <w:pStyle w:val="Contents4"/>
            <w:tabs>
              <w:tab w:val="clear" w:pos="8176"/>
              <w:tab w:val="right" w:pos="9026" w:leader="dot"/>
            </w:tabs>
            <w:rPr/>
          </w:pPr>
          <w:hyperlink w:anchor="__RefHeading___Toc2364794_2870459653">
            <w:r>
              <w:rPr>
                <w:webHidden/>
                <w:rStyle w:val="IndexLink"/>
                <w:rtl w:val="true"/>
              </w:rPr>
              <w:t>المسألة الثالثة</w:t>
            </w:r>
            <w:r>
              <w:rPr>
                <w:rStyle w:val="IndexLink"/>
                <w:rtl w:val="true"/>
              </w:rPr>
              <w:t xml:space="preserve">: </w:t>
            </w:r>
            <w:r>
              <w:rPr>
                <w:rStyle w:val="IndexLink"/>
                <w:rtl w:val="true"/>
              </w:rPr>
              <w:t xml:space="preserve">بيع الرصيد مؤجلاً بثمن معجّل </w:t>
            </w:r>
            <w:r>
              <w:rPr>
                <w:rStyle w:val="IndexLink"/>
                <w:rtl w:val="true"/>
              </w:rPr>
              <w:t>(</w:t>
            </w:r>
            <w:r>
              <w:rPr>
                <w:rStyle w:val="IndexLink"/>
                <w:rtl w:val="true"/>
              </w:rPr>
              <w:t>بيع السَلَف أو السَلَم</w:t>
            </w:r>
            <w:r>
              <w:rPr>
                <w:rStyle w:val="IndexLink"/>
                <w:rtl w:val="true"/>
              </w:rPr>
              <w:t>)</w:t>
              <w:tab/>
            </w:r>
            <w:r>
              <w:rPr>
                <w:rStyle w:val="IndexLink"/>
              </w:rPr>
              <w:t>56</w:t>
            </w:r>
          </w:hyperlink>
        </w:p>
        <w:p>
          <w:pPr>
            <w:pStyle w:val="Contents4"/>
            <w:tabs>
              <w:tab w:val="clear" w:pos="8176"/>
              <w:tab w:val="right" w:pos="9026" w:leader="dot"/>
            </w:tabs>
            <w:rPr/>
          </w:pPr>
          <w:hyperlink w:anchor="__RefHeading___Toc2364796_2870459653">
            <w:r>
              <w:rPr>
                <w:webHidden/>
                <w:rStyle w:val="IndexLink"/>
                <w:rtl w:val="true"/>
              </w:rPr>
              <w:t xml:space="preserve">المسالة الرابعة </w:t>
            </w:r>
            <w:r>
              <w:rPr>
                <w:rStyle w:val="IndexLink"/>
                <w:rtl w:val="true"/>
              </w:rPr>
              <w:t xml:space="preserve">: </w:t>
            </w:r>
            <w:r>
              <w:rPr>
                <w:rStyle w:val="IndexLink"/>
                <w:rtl w:val="true"/>
              </w:rPr>
              <w:t>تحويل الرصيد بين المشتركين</w:t>
            </w:r>
            <w:r>
              <w:rPr>
                <w:rStyle w:val="IndexLink"/>
                <w:rtl w:val="true"/>
              </w:rPr>
              <w:tab/>
            </w:r>
            <w:r>
              <w:rPr>
                <w:rStyle w:val="IndexLink"/>
              </w:rPr>
              <w:t>57</w:t>
            </w:r>
          </w:hyperlink>
        </w:p>
        <w:p>
          <w:pPr>
            <w:pStyle w:val="Contents3"/>
            <w:tabs>
              <w:tab w:val="clear" w:pos="8459"/>
              <w:tab w:val="right" w:pos="9026" w:leader="dot"/>
            </w:tabs>
            <w:rPr/>
          </w:pPr>
          <w:hyperlink w:anchor="__RefHeading___Toc2364798_2870459653">
            <w:r>
              <w:rPr>
                <w:webHidden/>
                <w:rStyle w:val="IndexLink"/>
                <w:rtl w:val="true"/>
              </w:rPr>
              <w:t>مصادر البحث</w:t>
            </w:r>
            <w:r>
              <w:rPr>
                <w:rStyle w:val="IndexLink"/>
                <w:rtl w:val="true"/>
              </w:rPr>
              <w:tab/>
            </w:r>
            <w:r>
              <w:rPr>
                <w:rStyle w:val="IndexLink"/>
              </w:rPr>
              <w:t>60</w:t>
            </w:r>
          </w:hyperlink>
        </w:p>
        <w:p>
          <w:pPr>
            <w:pStyle w:val="Contents2"/>
            <w:tabs>
              <w:tab w:val="clear" w:pos="8743"/>
              <w:tab w:val="right" w:pos="9026" w:leader="dot"/>
            </w:tabs>
            <w:rPr/>
          </w:pPr>
          <w:hyperlink w:anchor="__RefHeading___Toc2364800_2870459653">
            <w:r>
              <w:rPr>
                <w:webHidden/>
                <w:rStyle w:val="IndexLink"/>
                <w:rtl w:val="true"/>
              </w:rPr>
              <w:t xml:space="preserve">استثناء الدین من الأرباح قبل تخمیسها </w:t>
            </w:r>
            <w:r>
              <w:rPr>
                <w:rStyle w:val="IndexLink"/>
                <w:rtl w:val="true"/>
              </w:rPr>
              <w:t xml:space="preserve">- </w:t>
            </w:r>
            <w:r>
              <w:rPr>
                <w:rStyle w:val="IndexLink"/>
                <w:rtl w:val="true"/>
              </w:rPr>
              <w:t xml:space="preserve">السَّيّد محمّد الحسينيّ </w:t>
            </w:r>
            <w:r>
              <w:rPr>
                <w:rStyle w:val="IndexLink"/>
                <w:rtl w:val="true"/>
              </w:rPr>
              <w:t>(</w:t>
            </w:r>
            <w:r>
              <w:rPr>
                <w:rStyle w:val="IndexLink"/>
                <w:rtl w:val="true"/>
              </w:rPr>
              <w:t>دام عزه</w:t>
            </w:r>
            <w:r>
              <w:rPr>
                <w:rStyle w:val="IndexLink"/>
                <w:rtl w:val="true"/>
              </w:rPr>
              <w:t>)</w:t>
              <w:tab/>
            </w:r>
            <w:r>
              <w:rPr>
                <w:rStyle w:val="IndexLink"/>
              </w:rPr>
              <w:t>62</w:t>
            </w:r>
          </w:hyperlink>
        </w:p>
        <w:p>
          <w:pPr>
            <w:pStyle w:val="Contents3"/>
            <w:tabs>
              <w:tab w:val="clear" w:pos="8459"/>
              <w:tab w:val="right" w:pos="9026" w:leader="dot"/>
            </w:tabs>
            <w:rPr/>
          </w:pPr>
          <w:hyperlink w:anchor="__RefHeading___Toc2364802_2870459653">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2364804_2870459653">
            <w:r>
              <w:rPr>
                <w:webHidden/>
                <w:rStyle w:val="IndexLink"/>
                <w:rtl w:val="true"/>
              </w:rPr>
              <w:t>المقام الأوَّل</w:t>
            </w:r>
            <w:r>
              <w:rPr>
                <w:rStyle w:val="IndexLink"/>
                <w:rtl w:val="true"/>
              </w:rPr>
              <w:t xml:space="preserve">: </w:t>
            </w:r>
            <w:r>
              <w:rPr>
                <w:rStyle w:val="IndexLink"/>
                <w:rtl w:val="true"/>
              </w:rPr>
              <w:t>في استثناء مقدار الدين من أرباح سنة حصوله</w:t>
            </w:r>
            <w:r>
              <w:rPr>
                <w:rStyle w:val="IndexLink"/>
                <w:rtl w:val="true"/>
              </w:rPr>
              <w:tab/>
            </w:r>
            <w:r>
              <w:rPr>
                <w:rStyle w:val="IndexLink"/>
              </w:rPr>
              <w:t>64</w:t>
            </w:r>
          </w:hyperlink>
        </w:p>
        <w:p>
          <w:pPr>
            <w:pStyle w:val="Contents3"/>
            <w:tabs>
              <w:tab w:val="clear" w:pos="8459"/>
              <w:tab w:val="right" w:pos="9026" w:leader="dot"/>
            </w:tabs>
            <w:rPr/>
          </w:pPr>
          <w:hyperlink w:anchor="__RefHeading___Toc2364806_2870459653">
            <w:r>
              <w:rPr>
                <w:webHidden/>
                <w:rStyle w:val="IndexLink"/>
                <w:rtl w:val="true"/>
              </w:rPr>
              <w:t>المقام الثاني</w:t>
            </w:r>
            <w:r>
              <w:rPr>
                <w:rStyle w:val="IndexLink"/>
                <w:rtl w:val="true"/>
              </w:rPr>
              <w:t xml:space="preserve">: </w:t>
            </w:r>
            <w:r>
              <w:rPr>
                <w:rStyle w:val="IndexLink"/>
                <w:rtl w:val="true"/>
              </w:rPr>
              <w:t>في أداء الدين من أرباح السنة الثانية قبل تخميسها</w:t>
            </w:r>
            <w:r>
              <w:rPr>
                <w:rStyle w:val="IndexLink"/>
                <w:rtl w:val="true"/>
              </w:rPr>
              <w:tab/>
            </w:r>
            <w:r>
              <w:rPr>
                <w:rStyle w:val="IndexLink"/>
              </w:rPr>
              <w:t>72</w:t>
            </w:r>
          </w:hyperlink>
        </w:p>
        <w:p>
          <w:pPr>
            <w:pStyle w:val="Contents3"/>
            <w:tabs>
              <w:tab w:val="clear" w:pos="8459"/>
              <w:tab w:val="right" w:pos="9026" w:leader="dot"/>
            </w:tabs>
            <w:rPr/>
          </w:pPr>
          <w:hyperlink w:anchor="__RefHeading___Toc2364808_2870459653">
            <w:r>
              <w:rPr>
                <w:webHidden/>
                <w:rStyle w:val="IndexLink"/>
                <w:rtl w:val="true"/>
              </w:rPr>
              <w:t>المصادر</w:t>
            </w:r>
            <w:r>
              <w:rPr>
                <w:rStyle w:val="IndexLink"/>
                <w:rtl w:val="true"/>
              </w:rPr>
              <w:tab/>
            </w:r>
            <w:r>
              <w:rPr>
                <w:rStyle w:val="IndexLink"/>
              </w:rPr>
              <w:t>76</w:t>
            </w:r>
          </w:hyperlink>
        </w:p>
        <w:p>
          <w:pPr>
            <w:pStyle w:val="Contents2"/>
            <w:tabs>
              <w:tab w:val="clear" w:pos="8743"/>
              <w:tab w:val="right" w:pos="9026" w:leader="dot"/>
            </w:tabs>
            <w:rPr/>
          </w:pPr>
          <w:hyperlink w:anchor="__RefHeading___Toc2364810_2870459653">
            <w:r>
              <w:rPr>
                <w:webHidden/>
                <w:rStyle w:val="IndexLink"/>
                <w:rtl w:val="true"/>
              </w:rPr>
              <w:t xml:space="preserve">المناسبة الذاتیة بین اللفظ و معناه </w:t>
            </w:r>
            <w:r>
              <w:rPr>
                <w:rStyle w:val="IndexLink"/>
                <w:rtl w:val="true"/>
              </w:rPr>
              <w:t xml:space="preserve">- </w:t>
            </w:r>
            <w:r>
              <w:rPr>
                <w:rStyle w:val="IndexLink"/>
                <w:rtl w:val="true"/>
              </w:rPr>
              <w:t xml:space="preserve">السّيّد جواد الموسوي الغريفي </w:t>
            </w:r>
            <w:r>
              <w:rPr>
                <w:rStyle w:val="IndexLink"/>
                <w:rtl w:val="true"/>
              </w:rPr>
              <w:t>(</w:t>
            </w:r>
            <w:r>
              <w:rPr>
                <w:rStyle w:val="IndexLink"/>
                <w:rtl w:val="true"/>
              </w:rPr>
              <w:t>دام عزه</w:t>
            </w:r>
            <w:r>
              <w:rPr>
                <w:rStyle w:val="IndexLink"/>
                <w:rtl w:val="true"/>
              </w:rPr>
              <w:t>)</w:t>
              <w:tab/>
            </w:r>
            <w:r>
              <w:rPr>
                <w:rStyle w:val="IndexLink"/>
              </w:rPr>
              <w:t>78</w:t>
            </w:r>
          </w:hyperlink>
        </w:p>
        <w:p>
          <w:pPr>
            <w:pStyle w:val="Contents3"/>
            <w:tabs>
              <w:tab w:val="clear" w:pos="8459"/>
              <w:tab w:val="right" w:pos="9026" w:leader="dot"/>
            </w:tabs>
            <w:rPr/>
          </w:pPr>
          <w:hyperlink w:anchor="__RefHeading___Toc2364812_2870459653">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364814_2870459653">
            <w:r>
              <w:rPr>
                <w:webHidden/>
                <w:rStyle w:val="IndexLink"/>
                <w:rtl w:val="true"/>
              </w:rPr>
              <w:t>توطئة</w:t>
            </w:r>
            <w:r>
              <w:rPr>
                <w:rStyle w:val="IndexLink"/>
                <w:rtl w:val="true"/>
              </w:rPr>
              <w:tab/>
            </w:r>
            <w:r>
              <w:rPr>
                <w:rStyle w:val="IndexLink"/>
              </w:rPr>
              <w:t>80</w:t>
            </w:r>
          </w:hyperlink>
        </w:p>
        <w:p>
          <w:pPr>
            <w:pStyle w:val="Contents3"/>
            <w:tabs>
              <w:tab w:val="clear" w:pos="8459"/>
              <w:tab w:val="right" w:pos="9026" w:leader="dot"/>
            </w:tabs>
            <w:rPr/>
          </w:pPr>
          <w:hyperlink w:anchor="__RefHeading___Toc2364816_2870459653">
            <w:r>
              <w:rPr>
                <w:webHidden/>
                <w:rStyle w:val="IndexLink"/>
                <w:rtl w:val="true"/>
              </w:rPr>
              <w:t>العلاقة الذاتية بين اللفظ ومعناه</w:t>
            </w:r>
            <w:r>
              <w:rPr>
                <w:rStyle w:val="IndexLink"/>
                <w:rtl w:val="true"/>
              </w:rPr>
              <w:tab/>
            </w:r>
            <w:r>
              <w:rPr>
                <w:rStyle w:val="IndexLink"/>
              </w:rPr>
              <w:t>82</w:t>
            </w:r>
          </w:hyperlink>
        </w:p>
        <w:p>
          <w:pPr>
            <w:pStyle w:val="Contents3"/>
            <w:tabs>
              <w:tab w:val="clear" w:pos="8459"/>
              <w:tab w:val="right" w:pos="9026" w:leader="dot"/>
            </w:tabs>
            <w:rPr/>
          </w:pPr>
          <w:hyperlink w:anchor="__RefHeading___Toc2364818_2870459653">
            <w:r>
              <w:rPr>
                <w:webHidden/>
                <w:rStyle w:val="IndexLink"/>
                <w:rtl w:val="true"/>
              </w:rPr>
              <w:t>حُجَّة المُثبتين</w:t>
            </w:r>
            <w:r>
              <w:rPr>
                <w:rStyle w:val="IndexLink"/>
                <w:rtl w:val="true"/>
              </w:rPr>
              <w:tab/>
            </w:r>
            <w:r>
              <w:rPr>
                <w:rStyle w:val="IndexLink"/>
              </w:rPr>
              <w:t>91</w:t>
            </w:r>
          </w:hyperlink>
        </w:p>
        <w:p>
          <w:pPr>
            <w:pStyle w:val="Contents3"/>
            <w:tabs>
              <w:tab w:val="clear" w:pos="8459"/>
              <w:tab w:val="right" w:pos="9026" w:leader="dot"/>
            </w:tabs>
            <w:rPr/>
          </w:pPr>
          <w:hyperlink w:anchor="__RefHeading___Toc2364820_2870459653">
            <w:r>
              <w:rPr>
                <w:webHidden/>
                <w:rStyle w:val="IndexLink"/>
                <w:rtl w:val="true"/>
              </w:rPr>
              <w:t>حُجَّة النافين</w:t>
            </w:r>
            <w:r>
              <w:rPr>
                <w:rStyle w:val="IndexLink"/>
                <w:rtl w:val="true"/>
              </w:rPr>
              <w:tab/>
            </w:r>
            <w:r>
              <w:rPr>
                <w:rStyle w:val="IndexLink"/>
              </w:rPr>
              <w:t>100</w:t>
            </w:r>
          </w:hyperlink>
        </w:p>
        <w:p>
          <w:pPr>
            <w:pStyle w:val="Contents3"/>
            <w:tabs>
              <w:tab w:val="clear" w:pos="8459"/>
              <w:tab w:val="right" w:pos="9026" w:leader="dot"/>
            </w:tabs>
            <w:rPr/>
          </w:pPr>
          <w:hyperlink w:anchor="__RefHeading___Toc2364822_2870459653">
            <w:r>
              <w:rPr>
                <w:webHidden/>
                <w:rStyle w:val="IndexLink"/>
                <w:rtl w:val="true"/>
              </w:rPr>
              <w:t>المصادر</w:t>
            </w:r>
            <w:r>
              <w:rPr>
                <w:rStyle w:val="IndexLink"/>
                <w:rtl w:val="true"/>
              </w:rPr>
              <w:tab/>
            </w:r>
            <w:r>
              <w:rPr>
                <w:rStyle w:val="IndexLink"/>
              </w:rPr>
              <w:t>104</w:t>
            </w:r>
          </w:hyperlink>
        </w:p>
        <w:p>
          <w:pPr>
            <w:pStyle w:val="Contents2"/>
            <w:tabs>
              <w:tab w:val="clear" w:pos="8743"/>
              <w:tab w:val="right" w:pos="9026" w:leader="dot"/>
            </w:tabs>
            <w:rPr/>
          </w:pPr>
          <w:hyperlink w:anchor="__RefHeading___Toc2364824_2870459653">
            <w:r>
              <w:rPr>
                <w:webHidden/>
                <w:rStyle w:val="IndexLink"/>
                <w:rtl w:val="true"/>
              </w:rPr>
              <w:t xml:space="preserve">قبح العقاب بلا بیان والاحتیاط العقلی فی موارد الشبهة البدویة </w:t>
            </w:r>
            <w:r>
              <w:rPr>
                <w:rStyle w:val="IndexLink"/>
                <w:rtl w:val="true"/>
              </w:rPr>
              <w:t xml:space="preserve">- </w:t>
            </w:r>
            <w:r>
              <w:rPr>
                <w:rStyle w:val="IndexLink"/>
                <w:rtl w:val="true"/>
              </w:rPr>
              <w:t xml:space="preserve">السيد علي البعاج </w:t>
            </w:r>
            <w:r>
              <w:rPr>
                <w:rStyle w:val="IndexLink"/>
                <w:rtl w:val="true"/>
              </w:rPr>
              <w:t>(</w:t>
            </w:r>
            <w:r>
              <w:rPr>
                <w:rStyle w:val="IndexLink"/>
                <w:rtl w:val="true"/>
              </w:rPr>
              <w:t>دام عزه</w:t>
            </w:r>
            <w:r>
              <w:rPr>
                <w:rStyle w:val="IndexLink"/>
                <w:rtl w:val="true"/>
              </w:rPr>
              <w:t>)</w:t>
              <w:tab/>
            </w:r>
            <w:r>
              <w:rPr>
                <w:rStyle w:val="IndexLink"/>
              </w:rPr>
              <w:t>108</w:t>
            </w:r>
          </w:hyperlink>
        </w:p>
        <w:p>
          <w:pPr>
            <w:pStyle w:val="Contents3"/>
            <w:tabs>
              <w:tab w:val="clear" w:pos="8459"/>
              <w:tab w:val="right" w:pos="9026" w:leader="dot"/>
            </w:tabs>
            <w:rPr/>
          </w:pPr>
          <w:hyperlink w:anchor="__RefHeading___Toc2364826_2870459653">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2364828_2870459653">
            <w:r>
              <w:rPr>
                <w:webHidden/>
                <w:rStyle w:val="IndexLink"/>
                <w:rtl w:val="true"/>
              </w:rPr>
              <w:t>الحلقة الأولى</w:t>
            </w:r>
            <w:r>
              <w:rPr>
                <w:rStyle w:val="IndexLink"/>
                <w:rtl w:val="true"/>
              </w:rPr>
              <w:t xml:space="preserve">: </w:t>
            </w:r>
            <w:r>
              <w:rPr>
                <w:rStyle w:val="IndexLink"/>
                <w:rtl w:val="true"/>
              </w:rPr>
              <w:t>مسلك قبح العقاب بلا بيان</w:t>
            </w:r>
            <w:r>
              <w:rPr>
                <w:rStyle w:val="IndexLink"/>
                <w:rtl w:val="true"/>
              </w:rPr>
              <w:tab/>
            </w:r>
            <w:r>
              <w:rPr>
                <w:rStyle w:val="IndexLink"/>
              </w:rPr>
              <w:t>111</w:t>
            </w:r>
          </w:hyperlink>
        </w:p>
        <w:p>
          <w:pPr>
            <w:pStyle w:val="Contents2"/>
            <w:tabs>
              <w:tab w:val="clear" w:pos="8743"/>
              <w:tab w:val="right" w:pos="9026" w:leader="dot"/>
            </w:tabs>
            <w:rPr/>
          </w:pPr>
          <w:hyperlink w:anchor="__RefHeading___Toc2364830_2870459653">
            <w:r>
              <w:rPr>
                <w:webHidden/>
                <w:rStyle w:val="IndexLink"/>
                <w:rtl w:val="true"/>
              </w:rPr>
              <w:t xml:space="preserve">الغلو والغلاة عند الرجالیین والرواة </w:t>
            </w:r>
            <w:r>
              <w:rPr>
                <w:rStyle w:val="IndexLink"/>
                <w:rtl w:val="true"/>
              </w:rPr>
              <w:t xml:space="preserve">- </w:t>
            </w:r>
            <w:r>
              <w:rPr>
                <w:rStyle w:val="IndexLink"/>
                <w:rtl w:val="true"/>
              </w:rPr>
              <w:t xml:space="preserve">السيد محمد البكاء </w:t>
            </w:r>
            <w:r>
              <w:rPr>
                <w:rStyle w:val="IndexLink"/>
                <w:rtl w:val="true"/>
              </w:rPr>
              <w:t>(</w:t>
            </w:r>
            <w:r>
              <w:rPr>
                <w:rStyle w:val="IndexLink"/>
                <w:rtl w:val="true"/>
              </w:rPr>
              <w:t>دام عزه</w:t>
            </w:r>
            <w:r>
              <w:rPr>
                <w:rStyle w:val="IndexLink"/>
                <w:rtl w:val="true"/>
              </w:rPr>
              <w:t>)</w:t>
              <w:tab/>
            </w:r>
            <w:r>
              <w:rPr>
                <w:rStyle w:val="IndexLink"/>
              </w:rPr>
              <w:t>154</w:t>
            </w:r>
          </w:hyperlink>
        </w:p>
        <w:p>
          <w:pPr>
            <w:pStyle w:val="Contents3"/>
            <w:tabs>
              <w:tab w:val="clear" w:pos="8459"/>
              <w:tab w:val="right" w:pos="9026" w:leader="dot"/>
            </w:tabs>
            <w:rPr/>
          </w:pPr>
          <w:hyperlink w:anchor="__RefHeading___Toc2364832_2870459653">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364834_2870459653">
            <w:r>
              <w:rPr>
                <w:webHidden/>
                <w:rStyle w:val="IndexLink"/>
                <w:rtl w:val="true"/>
              </w:rPr>
              <w:t>مقدمة</w:t>
            </w:r>
            <w:r>
              <w:rPr>
                <w:rStyle w:val="IndexLink"/>
                <w:rtl w:val="true"/>
              </w:rPr>
              <w:tab/>
            </w:r>
            <w:r>
              <w:rPr>
                <w:rStyle w:val="IndexLink"/>
              </w:rPr>
              <w:t>156</w:t>
            </w:r>
          </w:hyperlink>
        </w:p>
        <w:p>
          <w:pPr>
            <w:pStyle w:val="Contents3"/>
            <w:tabs>
              <w:tab w:val="clear" w:pos="8459"/>
              <w:tab w:val="right" w:pos="9026" w:leader="dot"/>
            </w:tabs>
            <w:rPr/>
          </w:pPr>
          <w:hyperlink w:anchor="__RefHeading___Toc2364836_2870459653">
            <w:r>
              <w:rPr>
                <w:webHidden/>
                <w:rStyle w:val="IndexLink"/>
                <w:rtl w:val="true"/>
              </w:rPr>
              <w:t>الفصل الأوَّل</w:t>
            </w:r>
            <w:r>
              <w:rPr>
                <w:rStyle w:val="IndexLink"/>
                <w:rtl w:val="true"/>
              </w:rPr>
              <w:tab/>
            </w:r>
            <w:r>
              <w:rPr>
                <w:rStyle w:val="IndexLink"/>
              </w:rPr>
              <w:t>158</w:t>
            </w:r>
          </w:hyperlink>
        </w:p>
        <w:p>
          <w:pPr>
            <w:pStyle w:val="Contents4"/>
            <w:tabs>
              <w:tab w:val="clear" w:pos="8176"/>
              <w:tab w:val="right" w:pos="9026" w:leader="dot"/>
            </w:tabs>
            <w:rPr/>
          </w:pPr>
          <w:hyperlink w:anchor="__RefHeading___Toc2364838_2870459653">
            <w:r>
              <w:rPr>
                <w:webHidden/>
                <w:rStyle w:val="IndexLink"/>
                <w:rtl w:val="true"/>
              </w:rPr>
              <w:t>الغلوّ لغة</w:t>
            </w:r>
            <w:r>
              <w:rPr>
                <w:rStyle w:val="IndexLink"/>
                <w:rtl w:val="true"/>
              </w:rPr>
              <w:tab/>
            </w:r>
            <w:r>
              <w:rPr>
                <w:rStyle w:val="IndexLink"/>
              </w:rPr>
              <w:t>158</w:t>
            </w:r>
          </w:hyperlink>
        </w:p>
        <w:p>
          <w:pPr>
            <w:pStyle w:val="Contents4"/>
            <w:tabs>
              <w:tab w:val="clear" w:pos="8176"/>
              <w:tab w:val="right" w:pos="9026" w:leader="dot"/>
            </w:tabs>
            <w:rPr/>
          </w:pPr>
          <w:hyperlink w:anchor="__RefHeading___Toc2364840_2870459653">
            <w:r>
              <w:rPr>
                <w:webHidden/>
                <w:rStyle w:val="IndexLink"/>
                <w:rtl w:val="true"/>
              </w:rPr>
              <w:t>الغلو اصطلاحاً</w:t>
            </w:r>
            <w:r>
              <w:rPr>
                <w:rStyle w:val="IndexLink"/>
                <w:rtl w:val="true"/>
              </w:rPr>
              <w:tab/>
            </w:r>
            <w:r>
              <w:rPr>
                <w:rStyle w:val="IndexLink"/>
              </w:rPr>
              <w:t>158</w:t>
            </w:r>
          </w:hyperlink>
        </w:p>
        <w:p>
          <w:pPr>
            <w:pStyle w:val="Contents4"/>
            <w:tabs>
              <w:tab w:val="clear" w:pos="8176"/>
              <w:tab w:val="right" w:pos="9026" w:leader="dot"/>
            </w:tabs>
            <w:rPr/>
          </w:pPr>
          <w:hyperlink w:anchor="__RefHeading___Toc2364842_2870459653">
            <w:r>
              <w:rPr>
                <w:webHidden/>
                <w:rStyle w:val="IndexLink"/>
                <w:rtl w:val="true"/>
              </w:rPr>
              <w:t>المقام الأوَّل</w:t>
            </w:r>
            <w:r>
              <w:rPr>
                <w:rStyle w:val="IndexLink"/>
                <w:rtl w:val="true"/>
              </w:rPr>
              <w:t xml:space="preserve">: </w:t>
            </w:r>
            <w:r>
              <w:rPr>
                <w:rStyle w:val="IndexLink"/>
                <w:rtl w:val="true"/>
              </w:rPr>
              <w:t>في الغلوّ عند علماء الجمهور</w:t>
            </w:r>
            <w:r>
              <w:rPr>
                <w:rStyle w:val="IndexLink"/>
                <w:rtl w:val="true"/>
              </w:rPr>
              <w:tab/>
            </w:r>
            <w:r>
              <w:rPr>
                <w:rStyle w:val="IndexLink"/>
              </w:rPr>
              <w:t>158</w:t>
            </w:r>
          </w:hyperlink>
        </w:p>
        <w:p>
          <w:pPr>
            <w:pStyle w:val="Contents4"/>
            <w:tabs>
              <w:tab w:val="clear" w:pos="8176"/>
              <w:tab w:val="right" w:pos="9026" w:leader="dot"/>
            </w:tabs>
            <w:rPr/>
          </w:pPr>
          <w:hyperlink w:anchor="__RefHeading___Toc2364844_2870459653">
            <w:r>
              <w:rPr>
                <w:webHidden/>
                <w:rStyle w:val="IndexLink"/>
                <w:rtl w:val="true"/>
              </w:rPr>
              <w:t>المقام الثاني</w:t>
            </w:r>
            <w:r>
              <w:rPr>
                <w:rStyle w:val="IndexLink"/>
                <w:rtl w:val="true"/>
              </w:rPr>
              <w:t xml:space="preserve">: </w:t>
            </w:r>
            <w:r>
              <w:rPr>
                <w:rStyle w:val="IndexLink"/>
                <w:rtl w:val="true"/>
              </w:rPr>
              <w:t>في الغلو عند الإماميّة</w:t>
            </w:r>
            <w:r>
              <w:rPr>
                <w:rStyle w:val="IndexLink"/>
                <w:rtl w:val="true"/>
              </w:rPr>
              <w:tab/>
            </w:r>
            <w:r>
              <w:rPr>
                <w:rStyle w:val="IndexLink"/>
              </w:rPr>
              <w:t>168</w:t>
            </w:r>
          </w:hyperlink>
        </w:p>
        <w:p>
          <w:pPr>
            <w:pStyle w:val="Contents5"/>
            <w:tabs>
              <w:tab w:val="clear" w:pos="7892"/>
              <w:tab w:val="right" w:pos="9026" w:leader="dot"/>
            </w:tabs>
            <w:rPr/>
          </w:pPr>
          <w:hyperlink w:anchor="__RefHeading___Toc2364846_2870459653">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2364848_2870459653">
            <w:r>
              <w:rPr>
                <w:webHidden/>
                <w:rStyle w:val="IndexLink"/>
              </w:rPr>
              <w:t>1</w:t>
            </w:r>
            <w:r>
              <w:rPr>
                <w:rStyle w:val="IndexLink"/>
                <w:rtl w:val="true"/>
              </w:rPr>
              <w:t xml:space="preserve">- </w:t>
            </w:r>
            <w:r>
              <w:rPr>
                <w:rStyle w:val="IndexLink"/>
                <w:rtl w:val="true"/>
              </w:rPr>
              <w:t xml:space="preserve">موقف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من الغلوّ والغلاة</w:t>
            </w:r>
            <w:r>
              <w:rPr>
                <w:rStyle w:val="IndexLink"/>
                <w:rtl w:val="true"/>
              </w:rPr>
              <w:tab/>
            </w:r>
            <w:r>
              <w:rPr>
                <w:rStyle w:val="IndexLink"/>
              </w:rPr>
              <w:t>168</w:t>
            </w:r>
          </w:hyperlink>
        </w:p>
        <w:p>
          <w:pPr>
            <w:pStyle w:val="Contents5"/>
            <w:tabs>
              <w:tab w:val="clear" w:pos="7892"/>
              <w:tab w:val="right" w:pos="9026" w:leader="dot"/>
            </w:tabs>
            <w:rPr/>
          </w:pPr>
          <w:hyperlink w:anchor="__RefHeading___Toc2364850_2870459653">
            <w:r>
              <w:rPr>
                <w:webHidden/>
                <w:rStyle w:val="IndexLink"/>
              </w:rPr>
              <w:t>2</w:t>
            </w:r>
            <w:r>
              <w:rPr>
                <w:rStyle w:val="IndexLink"/>
                <w:rtl w:val="true"/>
              </w:rPr>
              <w:t xml:space="preserve">- </w:t>
            </w:r>
            <w:r>
              <w:rPr>
                <w:rStyle w:val="IndexLink"/>
                <w:rtl w:val="true"/>
              </w:rPr>
              <w:t>موقف بعض علمائنا المتقدمين من الغلوّ والغلاة</w:t>
            </w:r>
            <w:r>
              <w:rPr>
                <w:rStyle w:val="IndexLink"/>
                <w:rtl w:val="true"/>
              </w:rPr>
              <w:tab/>
            </w:r>
            <w:r>
              <w:rPr>
                <w:rStyle w:val="IndexLink"/>
              </w:rPr>
              <w:t>174</w:t>
            </w:r>
          </w:hyperlink>
        </w:p>
        <w:p>
          <w:pPr>
            <w:pStyle w:val="Contents5"/>
            <w:tabs>
              <w:tab w:val="clear" w:pos="7892"/>
              <w:tab w:val="right" w:pos="9026" w:leader="dot"/>
            </w:tabs>
            <w:rPr/>
          </w:pPr>
          <w:hyperlink w:anchor="__RefHeading___Toc2364852_2870459653">
            <w:r>
              <w:rPr>
                <w:webHidden/>
                <w:rStyle w:val="IndexLink"/>
              </w:rPr>
              <w:t>3</w:t>
            </w:r>
            <w:r>
              <w:rPr>
                <w:rStyle w:val="IndexLink"/>
                <w:rtl w:val="true"/>
              </w:rPr>
              <w:t xml:space="preserve">- </w:t>
            </w:r>
            <w:r>
              <w:rPr>
                <w:rStyle w:val="IndexLink"/>
                <w:rtl w:val="true"/>
              </w:rPr>
              <w:t>موقف الفقهاء من الغلو والغلاة</w:t>
            </w:r>
            <w:r>
              <w:rPr>
                <w:rStyle w:val="IndexLink"/>
                <w:rtl w:val="true"/>
              </w:rPr>
              <w:tab/>
            </w:r>
            <w:r>
              <w:rPr>
                <w:rStyle w:val="IndexLink"/>
              </w:rPr>
              <w:t>175</w:t>
            </w:r>
          </w:hyperlink>
        </w:p>
        <w:p>
          <w:pPr>
            <w:pStyle w:val="Contents5"/>
            <w:tabs>
              <w:tab w:val="clear" w:pos="7892"/>
              <w:tab w:val="right" w:pos="9026" w:leader="dot"/>
            </w:tabs>
            <w:rPr/>
          </w:pPr>
          <w:hyperlink w:anchor="__RefHeading___Toc2364854_2870459653">
            <w:r>
              <w:rPr>
                <w:webHidden/>
                <w:rStyle w:val="IndexLink"/>
              </w:rPr>
              <w:t>4</w:t>
            </w:r>
            <w:r>
              <w:rPr>
                <w:rStyle w:val="IndexLink"/>
                <w:rtl w:val="true"/>
              </w:rPr>
              <w:t xml:space="preserve">- </w:t>
            </w:r>
            <w:r>
              <w:rPr>
                <w:rStyle w:val="IndexLink"/>
                <w:rtl w:val="true"/>
              </w:rPr>
              <w:t>موقف أهل الجرح والتعديل من الغلو والغلاة</w:t>
            </w:r>
            <w:r>
              <w:rPr>
                <w:rStyle w:val="IndexLink"/>
                <w:rtl w:val="true"/>
              </w:rPr>
              <w:tab/>
            </w:r>
            <w:r>
              <w:rPr>
                <w:rStyle w:val="IndexLink"/>
              </w:rPr>
              <w:t>176</w:t>
            </w:r>
          </w:hyperlink>
        </w:p>
        <w:p>
          <w:pPr>
            <w:pStyle w:val="Contents3"/>
            <w:tabs>
              <w:tab w:val="clear" w:pos="8459"/>
              <w:tab w:val="right" w:pos="9026" w:leader="dot"/>
            </w:tabs>
            <w:rPr/>
          </w:pPr>
          <w:hyperlink w:anchor="__RefHeading___Toc2364856_2870459653">
            <w:r>
              <w:rPr>
                <w:webHidden/>
                <w:rStyle w:val="IndexLink"/>
                <w:rtl w:val="true"/>
              </w:rPr>
              <w:t>الفصل الثانی</w:t>
            </w:r>
            <w:r>
              <w:rPr>
                <w:rStyle w:val="IndexLink"/>
                <w:rtl w:val="true"/>
              </w:rPr>
              <w:t xml:space="preserve">: </w:t>
            </w:r>
            <w:r>
              <w:rPr>
                <w:rStyle w:val="IndexLink"/>
                <w:rtl w:val="true"/>
              </w:rPr>
              <w:t>في ألفاظ الذم والقدح عند أهل الجرح والتعديل</w:t>
            </w:r>
            <w:r>
              <w:rPr>
                <w:rStyle w:val="IndexLink"/>
                <w:rtl w:val="true"/>
              </w:rPr>
              <w:tab/>
            </w:r>
            <w:r>
              <w:rPr>
                <w:rStyle w:val="IndexLink"/>
              </w:rPr>
              <w:t>185</w:t>
            </w:r>
          </w:hyperlink>
        </w:p>
        <w:p>
          <w:pPr>
            <w:pStyle w:val="Contents4"/>
            <w:tabs>
              <w:tab w:val="clear" w:pos="8176"/>
              <w:tab w:val="right" w:pos="9026" w:leader="dot"/>
            </w:tabs>
            <w:rPr/>
          </w:pPr>
          <w:hyperlink w:anchor="__RefHeading___Toc2364858_2870459653">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364860_2870459653">
            <w:r>
              <w:rPr>
                <w:webHidden/>
                <w:rStyle w:val="IndexLink"/>
                <w:rtl w:val="true"/>
              </w:rPr>
              <w:t>الجهة الأولى</w:t>
            </w:r>
            <w:r>
              <w:rPr>
                <w:rStyle w:val="IndexLink"/>
                <w:rtl w:val="true"/>
              </w:rPr>
              <w:t xml:space="preserve">: </w:t>
            </w:r>
            <w:r>
              <w:rPr>
                <w:rStyle w:val="IndexLink"/>
                <w:rtl w:val="true"/>
              </w:rPr>
              <w:t>في بيان معاني بعض ألفاظ الذم والقدح</w:t>
            </w:r>
            <w:r>
              <w:rPr>
                <w:rStyle w:val="IndexLink"/>
                <w:rtl w:val="true"/>
              </w:rPr>
              <w:tab/>
            </w:r>
            <w:r>
              <w:rPr>
                <w:rStyle w:val="IndexLink"/>
              </w:rPr>
              <w:t>185</w:t>
            </w:r>
          </w:hyperlink>
        </w:p>
        <w:p>
          <w:pPr>
            <w:pStyle w:val="Contents4"/>
            <w:tabs>
              <w:tab w:val="clear" w:pos="8176"/>
              <w:tab w:val="right" w:pos="9026" w:leader="dot"/>
            </w:tabs>
            <w:rPr/>
          </w:pPr>
          <w:hyperlink w:anchor="__RefHeading___Toc2364862_2870459653">
            <w:r>
              <w:rPr>
                <w:webHidden/>
                <w:rStyle w:val="IndexLink"/>
                <w:rtl w:val="true"/>
              </w:rPr>
              <w:t xml:space="preserve">الجهة الثانية </w:t>
            </w:r>
            <w:r>
              <w:rPr>
                <w:rStyle w:val="IndexLink"/>
                <w:rtl w:val="true"/>
              </w:rPr>
              <w:t xml:space="preserve">: </w:t>
            </w:r>
            <w:r>
              <w:rPr>
                <w:rStyle w:val="IndexLink"/>
                <w:rtl w:val="true"/>
              </w:rPr>
              <w:t>في مدى دلالاتها على الجرح</w:t>
            </w:r>
            <w:r>
              <w:rPr>
                <w:rStyle w:val="IndexLink"/>
                <w:rtl w:val="true"/>
              </w:rPr>
              <w:tab/>
            </w:r>
            <w:r>
              <w:rPr>
                <w:rStyle w:val="IndexLink"/>
              </w:rPr>
              <w:t>192</w:t>
            </w:r>
          </w:hyperlink>
        </w:p>
        <w:p>
          <w:pPr>
            <w:pStyle w:val="Contents3"/>
            <w:tabs>
              <w:tab w:val="clear" w:pos="8459"/>
              <w:tab w:val="right" w:pos="9026" w:leader="dot"/>
            </w:tabs>
            <w:rPr/>
          </w:pPr>
          <w:hyperlink w:anchor="__RefHeading___Toc2364864_2870459653">
            <w:r>
              <w:rPr>
                <w:webHidden/>
                <w:rStyle w:val="IndexLink"/>
                <w:rtl w:val="true"/>
              </w:rPr>
              <w:t>الفصل الثالث</w:t>
            </w:r>
            <w:r>
              <w:rPr>
                <w:rStyle w:val="IndexLink"/>
                <w:rtl w:val="true"/>
              </w:rPr>
              <w:t xml:space="preserve">: </w:t>
            </w:r>
            <w:r>
              <w:rPr>
                <w:rStyle w:val="IndexLink"/>
                <w:rtl w:val="true"/>
              </w:rPr>
              <w:t>في بعض الوجوه التي استند إليها في توثيق المتهمين بالغلو ومناقشتها</w:t>
            </w:r>
            <w:r>
              <w:rPr>
                <w:rStyle w:val="IndexLink"/>
                <w:rtl w:val="true"/>
              </w:rPr>
              <w:tab/>
            </w:r>
            <w:r>
              <w:rPr>
                <w:rStyle w:val="IndexLink"/>
              </w:rPr>
              <w:t>199</w:t>
            </w:r>
          </w:hyperlink>
        </w:p>
        <w:p>
          <w:pPr>
            <w:pStyle w:val="Contents3"/>
            <w:tabs>
              <w:tab w:val="clear" w:pos="8459"/>
              <w:tab w:val="right" w:pos="9026" w:leader="dot"/>
            </w:tabs>
            <w:rPr/>
          </w:pPr>
          <w:hyperlink w:anchor="__RefHeading___Toc2364866_2870459653">
            <w:r>
              <w:rPr>
                <w:webHidden/>
                <w:rStyle w:val="IndexLink"/>
                <w:rtl w:val="true"/>
              </w:rPr>
              <w:t>نتائج البحث</w:t>
            </w:r>
            <w:r>
              <w:rPr>
                <w:rStyle w:val="IndexLink"/>
                <w:rtl w:val="true"/>
              </w:rPr>
              <w:tab/>
            </w:r>
            <w:r>
              <w:rPr>
                <w:rStyle w:val="IndexLink"/>
              </w:rPr>
              <w:t>215</w:t>
            </w:r>
          </w:hyperlink>
        </w:p>
        <w:p>
          <w:pPr>
            <w:pStyle w:val="Contents3"/>
            <w:tabs>
              <w:tab w:val="clear" w:pos="8459"/>
              <w:tab w:val="right" w:pos="9026" w:leader="dot"/>
            </w:tabs>
            <w:rPr/>
          </w:pPr>
          <w:hyperlink w:anchor="__RefHeading___Toc2364868_2870459653">
            <w:r>
              <w:rPr>
                <w:webHidden/>
                <w:rStyle w:val="IndexLink"/>
                <w:rtl w:val="true"/>
              </w:rPr>
              <w:t>ملحق و فيه</w:t>
            </w:r>
            <w:r>
              <w:rPr>
                <w:rStyle w:val="IndexLink"/>
                <w:rtl w:val="true"/>
              </w:rPr>
              <w:tab/>
            </w:r>
            <w:r>
              <w:rPr>
                <w:rStyle w:val="IndexLink"/>
              </w:rPr>
              <w:t>220</w:t>
            </w:r>
          </w:hyperlink>
        </w:p>
        <w:p>
          <w:pPr>
            <w:pStyle w:val="Contents3"/>
            <w:tabs>
              <w:tab w:val="clear" w:pos="8459"/>
              <w:tab w:val="right" w:pos="9026" w:leader="dot"/>
            </w:tabs>
            <w:rPr/>
          </w:pPr>
          <w:hyperlink w:anchor="__RefHeading___Toc2364870_2870459653">
            <w:r>
              <w:rPr>
                <w:webHidden/>
                <w:rStyle w:val="IndexLink"/>
                <w:rtl w:val="true"/>
              </w:rPr>
              <w:t>مصادر البحث</w:t>
            </w:r>
            <w:r>
              <w:rPr>
                <w:rStyle w:val="IndexLink"/>
                <w:rtl w:val="true"/>
              </w:rPr>
              <w:tab/>
            </w:r>
            <w:r>
              <w:rPr>
                <w:rStyle w:val="IndexLink"/>
              </w:rPr>
              <w:t>227</w:t>
            </w:r>
          </w:hyperlink>
        </w:p>
        <w:p>
          <w:pPr>
            <w:pStyle w:val="Contents2"/>
            <w:tabs>
              <w:tab w:val="clear" w:pos="8743"/>
              <w:tab w:val="right" w:pos="9026" w:leader="dot"/>
            </w:tabs>
            <w:rPr/>
          </w:pPr>
          <w:hyperlink w:anchor="__RefHeading___Toc2364872_2870459653">
            <w:r>
              <w:rPr>
                <w:webHidden/>
                <w:rStyle w:val="IndexLink"/>
                <w:rtl w:val="true"/>
              </w:rPr>
              <w:t xml:space="preserve">رسالة فی حرمة الغلیان فی شهر رمضان </w:t>
            </w:r>
            <w:r>
              <w:rPr>
                <w:rStyle w:val="IndexLink"/>
                <w:rtl w:val="true"/>
              </w:rPr>
              <w:t xml:space="preserve">- </w:t>
            </w:r>
            <w:r>
              <w:rPr>
                <w:rStyle w:val="IndexLink"/>
                <w:rtl w:val="true"/>
              </w:rPr>
              <w:t>الشيخ محمد عزالدين الكرباسي و الشيخ حيدر عزالدين الكرباسي</w:t>
            </w:r>
            <w:r>
              <w:rPr>
                <w:rStyle w:val="IndexLink"/>
                <w:rtl w:val="true"/>
              </w:rPr>
              <w:tab/>
            </w:r>
            <w:r>
              <w:rPr>
                <w:rStyle w:val="IndexLink"/>
              </w:rPr>
              <w:t>234</w:t>
            </w:r>
          </w:hyperlink>
        </w:p>
        <w:p>
          <w:pPr>
            <w:pStyle w:val="Contents3"/>
            <w:tabs>
              <w:tab w:val="clear" w:pos="8459"/>
              <w:tab w:val="right" w:pos="9026" w:leader="dot"/>
            </w:tabs>
            <w:rPr/>
          </w:pPr>
          <w:hyperlink w:anchor="__RefHeading___Toc2364874_2870459653">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2364876_2870459653">
            <w:r>
              <w:rPr>
                <w:webHidden/>
                <w:rStyle w:val="IndexLink"/>
                <w:rtl w:val="true"/>
              </w:rPr>
              <w:t>مقدمة التحقيق</w:t>
            </w:r>
            <w:r>
              <w:rPr>
                <w:rStyle w:val="IndexLink"/>
                <w:rtl w:val="true"/>
              </w:rPr>
              <w:tab/>
            </w:r>
            <w:r>
              <w:rPr>
                <w:rStyle w:val="IndexLink"/>
              </w:rPr>
              <w:t>236</w:t>
            </w:r>
          </w:hyperlink>
        </w:p>
        <w:p>
          <w:pPr>
            <w:pStyle w:val="Contents3"/>
            <w:tabs>
              <w:tab w:val="clear" w:pos="8459"/>
              <w:tab w:val="right" w:pos="9026" w:leader="dot"/>
            </w:tabs>
            <w:rPr/>
          </w:pPr>
          <w:hyperlink w:anchor="__RefHeading___Toc2364878_2870459653">
            <w:r>
              <w:rPr>
                <w:webHidden/>
                <w:rStyle w:val="IndexLink"/>
                <w:rtl w:val="true"/>
              </w:rPr>
              <w:t>الفصل الأول</w:t>
            </w:r>
            <w:r>
              <w:rPr>
                <w:rStyle w:val="IndexLink"/>
                <w:rtl w:val="true"/>
              </w:rPr>
              <w:t xml:space="preserve">: </w:t>
            </w:r>
            <w:r>
              <w:rPr>
                <w:rStyle w:val="IndexLink"/>
                <w:rtl w:val="true"/>
              </w:rPr>
              <w:t>أبحاث تتعلق بموضوع الرسالة</w:t>
            </w:r>
            <w:r>
              <w:rPr>
                <w:rStyle w:val="IndexLink"/>
                <w:rtl w:val="true"/>
              </w:rPr>
              <w:tab/>
            </w:r>
            <w:r>
              <w:rPr>
                <w:rStyle w:val="IndexLink"/>
              </w:rPr>
              <w:t>238</w:t>
            </w:r>
          </w:hyperlink>
        </w:p>
        <w:p>
          <w:pPr>
            <w:pStyle w:val="Contents4"/>
            <w:tabs>
              <w:tab w:val="clear" w:pos="8176"/>
              <w:tab w:val="right" w:pos="9026" w:leader="dot"/>
            </w:tabs>
            <w:rPr/>
          </w:pPr>
          <w:hyperlink w:anchor="__RefHeading___Toc2364880_2870459653">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2364882_2870459653">
            <w:r>
              <w:rPr>
                <w:webHidden/>
                <w:rStyle w:val="IndexLink"/>
                <w:rtl w:val="true"/>
              </w:rPr>
              <w:t>المطلب الأول</w:t>
            </w:r>
            <w:r>
              <w:rPr>
                <w:rStyle w:val="IndexLink"/>
                <w:rtl w:val="true"/>
              </w:rPr>
              <w:t xml:space="preserve">: </w:t>
            </w:r>
            <w:r>
              <w:rPr>
                <w:rStyle w:val="IndexLink"/>
                <w:rtl w:val="true"/>
              </w:rPr>
              <w:t>في بيان معنى جملة من الكلمات تتعلق بالمقام</w:t>
            </w:r>
            <w:r>
              <w:rPr>
                <w:rStyle w:val="IndexLink"/>
                <w:rtl w:val="true"/>
              </w:rPr>
              <w:tab/>
            </w:r>
            <w:r>
              <w:rPr>
                <w:rStyle w:val="IndexLink"/>
              </w:rPr>
              <w:t>238</w:t>
            </w:r>
          </w:hyperlink>
        </w:p>
        <w:p>
          <w:pPr>
            <w:pStyle w:val="Contents4"/>
            <w:tabs>
              <w:tab w:val="clear" w:pos="8176"/>
              <w:tab w:val="right" w:pos="9026" w:leader="dot"/>
            </w:tabs>
            <w:rPr/>
          </w:pPr>
          <w:hyperlink w:anchor="__RefHeading___Toc2364884_2870459653">
            <w:r>
              <w:rPr>
                <w:webHidden/>
                <w:rStyle w:val="IndexLink"/>
                <w:rtl w:val="true"/>
              </w:rPr>
              <w:t>المطلب الثاني</w:t>
            </w:r>
            <w:r>
              <w:rPr>
                <w:rStyle w:val="IndexLink"/>
                <w:rtl w:val="true"/>
              </w:rPr>
              <w:t xml:space="preserve">: </w:t>
            </w:r>
            <w:r>
              <w:rPr>
                <w:rStyle w:val="IndexLink"/>
                <w:rtl w:val="true"/>
              </w:rPr>
              <w:t>موقف العلماء من التبغ</w:t>
            </w:r>
            <w:r>
              <w:rPr>
                <w:rStyle w:val="IndexLink"/>
                <w:rtl w:val="true"/>
              </w:rPr>
              <w:tab/>
            </w:r>
            <w:r>
              <w:rPr>
                <w:rStyle w:val="IndexLink"/>
              </w:rPr>
              <w:t>238</w:t>
            </w:r>
          </w:hyperlink>
        </w:p>
        <w:p>
          <w:pPr>
            <w:pStyle w:val="Contents4"/>
            <w:tabs>
              <w:tab w:val="clear" w:pos="8176"/>
              <w:tab w:val="right" w:pos="9026" w:leader="dot"/>
            </w:tabs>
            <w:rPr/>
          </w:pPr>
          <w:hyperlink w:anchor="__RefHeading___Toc2364886_2870459653">
            <w:r>
              <w:rPr>
                <w:webHidden/>
                <w:rStyle w:val="IndexLink"/>
                <w:rtl w:val="true"/>
              </w:rPr>
              <w:t>المطلب الثالث</w:t>
            </w:r>
            <w:r>
              <w:rPr>
                <w:rStyle w:val="IndexLink"/>
                <w:rtl w:val="true"/>
              </w:rPr>
              <w:t xml:space="preserve">: </w:t>
            </w:r>
            <w:r>
              <w:rPr>
                <w:rStyle w:val="IndexLink"/>
                <w:rtl w:val="true"/>
              </w:rPr>
              <w:t>مَنْ ألّف في مفطريّة التتن</w:t>
            </w:r>
            <w:r>
              <w:rPr>
                <w:rStyle w:val="IndexLink"/>
                <w:rtl w:val="true"/>
              </w:rPr>
              <w:tab/>
            </w:r>
            <w:r>
              <w:rPr>
                <w:rStyle w:val="IndexLink"/>
              </w:rPr>
              <w:t>239</w:t>
            </w:r>
          </w:hyperlink>
        </w:p>
        <w:p>
          <w:pPr>
            <w:pStyle w:val="Contents3"/>
            <w:tabs>
              <w:tab w:val="clear" w:pos="8459"/>
              <w:tab w:val="right" w:pos="9026" w:leader="dot"/>
            </w:tabs>
            <w:rPr/>
          </w:pPr>
          <w:hyperlink w:anchor="__RefHeading___Toc2364888_2870459653">
            <w:r>
              <w:rPr>
                <w:webHidden/>
                <w:rStyle w:val="IndexLink"/>
                <w:rtl w:val="true"/>
              </w:rPr>
              <w:t>الفصل الثاني</w:t>
            </w:r>
            <w:r>
              <w:rPr>
                <w:rStyle w:val="IndexLink"/>
                <w:rtl w:val="true"/>
              </w:rPr>
              <w:t xml:space="preserve">: </w:t>
            </w:r>
            <w:r>
              <w:rPr>
                <w:rStyle w:val="IndexLink"/>
                <w:rtl w:val="true"/>
              </w:rPr>
              <w:t xml:space="preserve">نبذة مختصرة عن حياة المصنّف </w:t>
            </w:r>
            <w:r>
              <w:rPr>
                <w:rStyle w:val="IndexLink"/>
                <w:rtl w:val="true"/>
              </w:rPr>
              <w:t>(</w:t>
            </w:r>
            <w:r>
              <w:rPr>
                <w:rStyle w:val="IndexLink"/>
                <w:rtl w:val="true"/>
              </w:rPr>
              <w:t>قدس سره</w:t>
            </w:r>
            <w:r>
              <w:rPr>
                <w:rStyle w:val="IndexLink"/>
                <w:rtl w:val="true"/>
              </w:rPr>
              <w:t>)</w:t>
              <w:tab/>
            </w:r>
            <w:r>
              <w:rPr>
                <w:rStyle w:val="IndexLink"/>
              </w:rPr>
              <w:t>241</w:t>
            </w:r>
          </w:hyperlink>
        </w:p>
        <w:p>
          <w:pPr>
            <w:pStyle w:val="Contents4"/>
            <w:tabs>
              <w:tab w:val="clear" w:pos="8176"/>
              <w:tab w:val="right" w:pos="9026" w:leader="dot"/>
            </w:tabs>
            <w:rPr/>
          </w:pPr>
          <w:hyperlink w:anchor="__RefHeading___Toc2364890_2870459653">
            <w:r>
              <w:rPr>
                <w:webHidden/>
                <w:rStyle w:val="IndexLink"/>
              </w:rPr>
              <w:t>1</w:t>
            </w:r>
            <w:r>
              <w:rPr>
                <w:rStyle w:val="IndexLink"/>
                <w:rtl w:val="true"/>
              </w:rPr>
              <w:t xml:space="preserve">- </w:t>
            </w:r>
            <w:r>
              <w:rPr>
                <w:rStyle w:val="IndexLink"/>
                <w:rtl w:val="true"/>
              </w:rPr>
              <w:t>اسمه وكنيته</w:t>
            </w:r>
            <w:r>
              <w:rPr>
                <w:rStyle w:val="IndexLink"/>
                <w:rtl w:val="true"/>
              </w:rPr>
              <w:tab/>
            </w:r>
            <w:r>
              <w:rPr>
                <w:rStyle w:val="IndexLink"/>
              </w:rPr>
              <w:t>241</w:t>
            </w:r>
          </w:hyperlink>
        </w:p>
        <w:p>
          <w:pPr>
            <w:pStyle w:val="Contents4"/>
            <w:tabs>
              <w:tab w:val="clear" w:pos="8176"/>
              <w:tab w:val="right" w:pos="9026" w:leader="dot"/>
            </w:tabs>
            <w:rPr/>
          </w:pPr>
          <w:hyperlink w:anchor="__RefHeading___Toc2364892_2870459653">
            <w:r>
              <w:rPr>
                <w:webHidden/>
                <w:rStyle w:val="IndexLink"/>
              </w:rPr>
              <w:t>2</w:t>
            </w:r>
            <w:r>
              <w:rPr>
                <w:rStyle w:val="IndexLink"/>
                <w:rtl w:val="true"/>
              </w:rPr>
              <w:t xml:space="preserve">- </w:t>
            </w:r>
            <w:r>
              <w:rPr>
                <w:rStyle w:val="IndexLink"/>
                <w:rtl w:val="true"/>
              </w:rPr>
              <w:t>الإطراء عليه</w:t>
            </w:r>
            <w:r>
              <w:rPr>
                <w:rStyle w:val="IndexLink"/>
                <w:rtl w:val="true"/>
              </w:rPr>
              <w:tab/>
            </w:r>
            <w:r>
              <w:rPr>
                <w:rStyle w:val="IndexLink"/>
              </w:rPr>
              <w:t>241</w:t>
            </w:r>
          </w:hyperlink>
        </w:p>
        <w:p>
          <w:pPr>
            <w:pStyle w:val="Contents4"/>
            <w:tabs>
              <w:tab w:val="clear" w:pos="8176"/>
              <w:tab w:val="right" w:pos="9026" w:leader="dot"/>
            </w:tabs>
            <w:rPr/>
          </w:pPr>
          <w:hyperlink w:anchor="__RefHeading___Toc2364894_2870459653">
            <w:r>
              <w:rPr>
                <w:webHidden/>
                <w:rStyle w:val="IndexLink"/>
              </w:rPr>
              <w:t>3</w:t>
            </w:r>
            <w:r>
              <w:rPr>
                <w:rStyle w:val="IndexLink"/>
                <w:rtl w:val="true"/>
              </w:rPr>
              <w:t xml:space="preserve">- </w:t>
            </w:r>
            <w:r>
              <w:rPr>
                <w:rStyle w:val="IndexLink"/>
                <w:rtl w:val="true"/>
              </w:rPr>
              <w:t>مراحل حياته</w:t>
            </w:r>
            <w:r>
              <w:rPr>
                <w:rStyle w:val="IndexLink"/>
                <w:rtl w:val="true"/>
              </w:rPr>
              <w:tab/>
            </w:r>
            <w:r>
              <w:rPr>
                <w:rStyle w:val="IndexLink"/>
              </w:rPr>
              <w:t>242</w:t>
            </w:r>
          </w:hyperlink>
        </w:p>
        <w:p>
          <w:pPr>
            <w:pStyle w:val="Contents4"/>
            <w:tabs>
              <w:tab w:val="clear" w:pos="8176"/>
              <w:tab w:val="right" w:pos="9026" w:leader="dot"/>
            </w:tabs>
            <w:rPr/>
          </w:pPr>
          <w:hyperlink w:anchor="__RefHeading___Toc2364896_2870459653">
            <w:r>
              <w:rPr>
                <w:webHidden/>
                <w:rStyle w:val="IndexLink"/>
              </w:rPr>
              <w:t>4</w:t>
            </w:r>
            <w:r>
              <w:rPr>
                <w:rStyle w:val="IndexLink"/>
                <w:rtl w:val="true"/>
              </w:rPr>
              <w:t xml:space="preserve">- </w:t>
            </w:r>
            <w:r>
              <w:rPr>
                <w:rStyle w:val="IndexLink"/>
                <w:rtl w:val="true"/>
              </w:rPr>
              <w:t>مكانة المترجَم الفقهيّة والأصوليّة</w:t>
            </w:r>
            <w:r>
              <w:rPr>
                <w:rStyle w:val="IndexLink"/>
                <w:rtl w:val="true"/>
              </w:rPr>
              <w:tab/>
            </w:r>
            <w:r>
              <w:rPr>
                <w:rStyle w:val="IndexLink"/>
              </w:rPr>
              <w:t>243</w:t>
            </w:r>
          </w:hyperlink>
        </w:p>
        <w:p>
          <w:pPr>
            <w:pStyle w:val="Contents4"/>
            <w:tabs>
              <w:tab w:val="clear" w:pos="8176"/>
              <w:tab w:val="right" w:pos="9026" w:leader="dot"/>
            </w:tabs>
            <w:rPr/>
          </w:pPr>
          <w:hyperlink w:anchor="__RefHeading___Toc2364898_2870459653">
            <w:r>
              <w:rPr>
                <w:webHidden/>
                <w:rStyle w:val="IndexLink"/>
              </w:rPr>
              <w:t>5</w:t>
            </w:r>
            <w:r>
              <w:rPr>
                <w:rStyle w:val="IndexLink"/>
                <w:rtl w:val="true"/>
              </w:rPr>
              <w:t xml:space="preserve">- </w:t>
            </w:r>
            <w:r>
              <w:rPr>
                <w:rStyle w:val="IndexLink"/>
                <w:rtl w:val="true"/>
              </w:rPr>
              <w:t>وفاته ومدفنه</w:t>
            </w:r>
            <w:r>
              <w:rPr>
                <w:rStyle w:val="IndexLink"/>
                <w:rtl w:val="true"/>
              </w:rPr>
              <w:tab/>
            </w:r>
            <w:r>
              <w:rPr>
                <w:rStyle w:val="IndexLink"/>
              </w:rPr>
              <w:t>244</w:t>
            </w:r>
          </w:hyperlink>
        </w:p>
        <w:p>
          <w:pPr>
            <w:pStyle w:val="Contents3"/>
            <w:tabs>
              <w:tab w:val="clear" w:pos="8459"/>
              <w:tab w:val="right" w:pos="9026" w:leader="dot"/>
            </w:tabs>
            <w:rPr/>
          </w:pPr>
          <w:hyperlink w:anchor="__RefHeading___Toc2364900_2870459653">
            <w:r>
              <w:rPr>
                <w:webHidden/>
                <w:rStyle w:val="IndexLink"/>
                <w:rtl w:val="true"/>
              </w:rPr>
              <w:t>الفصل الثالث</w:t>
            </w:r>
            <w:r>
              <w:rPr>
                <w:rStyle w:val="IndexLink"/>
                <w:rtl w:val="true"/>
              </w:rPr>
              <w:t xml:space="preserve">: </w:t>
            </w:r>
            <w:r>
              <w:rPr>
                <w:rStyle w:val="IndexLink"/>
                <w:rtl w:val="true"/>
              </w:rPr>
              <w:t>أبحاث تتعلق بالرسالة</w:t>
            </w:r>
            <w:r>
              <w:rPr>
                <w:rStyle w:val="IndexLink"/>
                <w:rtl w:val="true"/>
              </w:rPr>
              <w:tab/>
            </w:r>
            <w:r>
              <w:rPr>
                <w:rStyle w:val="IndexLink"/>
              </w:rPr>
              <w:t>245</w:t>
            </w:r>
          </w:hyperlink>
        </w:p>
        <w:p>
          <w:pPr>
            <w:pStyle w:val="Contents4"/>
            <w:tabs>
              <w:tab w:val="clear" w:pos="8176"/>
              <w:tab w:val="right" w:pos="9026" w:leader="dot"/>
            </w:tabs>
            <w:rPr/>
          </w:pPr>
          <w:hyperlink w:anchor="__RefHeading___Toc2364902_2870459653">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364904_2870459653">
            <w:r>
              <w:rPr>
                <w:webHidden/>
                <w:rStyle w:val="IndexLink"/>
                <w:rtl w:val="true"/>
              </w:rPr>
              <w:t>المطلب الأوَّل</w:t>
            </w:r>
            <w:r>
              <w:rPr>
                <w:rStyle w:val="IndexLink"/>
                <w:rtl w:val="true"/>
              </w:rPr>
              <w:t xml:space="preserve">: </w:t>
            </w:r>
            <w:r>
              <w:rPr>
                <w:rStyle w:val="IndexLink"/>
                <w:rtl w:val="true"/>
              </w:rPr>
              <w:t>هوية الرسالة، وما يتعلّق بتصنيفها</w:t>
            </w:r>
            <w:r>
              <w:rPr>
                <w:rStyle w:val="IndexLink"/>
                <w:rtl w:val="true"/>
              </w:rPr>
              <w:tab/>
            </w:r>
            <w:r>
              <w:rPr>
                <w:rStyle w:val="IndexLink"/>
              </w:rPr>
              <w:t>245</w:t>
            </w:r>
          </w:hyperlink>
        </w:p>
        <w:p>
          <w:pPr>
            <w:pStyle w:val="Contents5"/>
            <w:tabs>
              <w:tab w:val="clear" w:pos="7892"/>
              <w:tab w:val="right" w:pos="9026" w:leader="dot"/>
            </w:tabs>
            <w:rPr/>
          </w:pPr>
          <w:hyperlink w:anchor="__RefHeading___Toc2364906_2870459653">
            <w:r>
              <w:rPr>
                <w:webHidden/>
                <w:rStyle w:val="IndexLink"/>
              </w:rPr>
              <w:t>1</w:t>
            </w:r>
            <w:r>
              <w:rPr>
                <w:rStyle w:val="IndexLink"/>
                <w:rtl w:val="true"/>
              </w:rPr>
              <w:t xml:space="preserve">- </w:t>
            </w:r>
            <w:r>
              <w:rPr>
                <w:rStyle w:val="IndexLink"/>
                <w:rtl w:val="true"/>
              </w:rPr>
              <w:t>مصنّفها</w:t>
            </w:r>
            <w:r>
              <w:rPr>
                <w:rStyle w:val="IndexLink"/>
                <w:rtl w:val="true"/>
              </w:rPr>
              <w:tab/>
            </w:r>
            <w:r>
              <w:rPr>
                <w:rStyle w:val="IndexLink"/>
              </w:rPr>
              <w:t>245</w:t>
            </w:r>
          </w:hyperlink>
        </w:p>
        <w:p>
          <w:pPr>
            <w:pStyle w:val="Contents5"/>
            <w:tabs>
              <w:tab w:val="clear" w:pos="7892"/>
              <w:tab w:val="right" w:pos="9026" w:leader="dot"/>
            </w:tabs>
            <w:rPr/>
          </w:pPr>
          <w:hyperlink w:anchor="__RefHeading___Toc2364908_2870459653">
            <w:r>
              <w:rPr>
                <w:webHidden/>
                <w:rStyle w:val="IndexLink"/>
              </w:rPr>
              <w:t>2</w:t>
            </w:r>
            <w:r>
              <w:rPr>
                <w:rStyle w:val="IndexLink"/>
                <w:rtl w:val="true"/>
              </w:rPr>
              <w:t xml:space="preserve">- </w:t>
            </w:r>
            <w:r>
              <w:rPr>
                <w:rStyle w:val="IndexLink"/>
                <w:rtl w:val="true"/>
              </w:rPr>
              <w:t>سبب التأليف</w:t>
            </w:r>
            <w:r>
              <w:rPr>
                <w:rStyle w:val="IndexLink"/>
                <w:rtl w:val="true"/>
              </w:rPr>
              <w:tab/>
            </w:r>
            <w:r>
              <w:rPr>
                <w:rStyle w:val="IndexLink"/>
              </w:rPr>
              <w:t>246</w:t>
            </w:r>
          </w:hyperlink>
        </w:p>
        <w:p>
          <w:pPr>
            <w:pStyle w:val="Contents5"/>
            <w:tabs>
              <w:tab w:val="clear" w:pos="7892"/>
              <w:tab w:val="right" w:pos="9026" w:leader="dot"/>
            </w:tabs>
            <w:rPr/>
          </w:pPr>
          <w:hyperlink w:anchor="__RefHeading___Toc2364910_2870459653">
            <w:r>
              <w:rPr>
                <w:webHidden/>
                <w:rStyle w:val="IndexLink"/>
              </w:rPr>
              <w:t>3</w:t>
            </w:r>
            <w:r>
              <w:rPr>
                <w:rStyle w:val="IndexLink"/>
                <w:rtl w:val="true"/>
              </w:rPr>
              <w:t xml:space="preserve">- </w:t>
            </w:r>
            <w:r>
              <w:rPr>
                <w:rStyle w:val="IndexLink"/>
                <w:rtl w:val="true"/>
              </w:rPr>
              <w:t>اسم الرسالة وموضوعها</w:t>
            </w:r>
            <w:r>
              <w:rPr>
                <w:rStyle w:val="IndexLink"/>
                <w:rtl w:val="true"/>
              </w:rPr>
              <w:tab/>
            </w:r>
            <w:r>
              <w:rPr>
                <w:rStyle w:val="IndexLink"/>
              </w:rPr>
              <w:t>247</w:t>
            </w:r>
          </w:hyperlink>
        </w:p>
        <w:p>
          <w:pPr>
            <w:pStyle w:val="Contents4"/>
            <w:tabs>
              <w:tab w:val="clear" w:pos="8176"/>
              <w:tab w:val="right" w:pos="9026" w:leader="dot"/>
            </w:tabs>
            <w:rPr/>
          </w:pPr>
          <w:hyperlink w:anchor="__RefHeading___Toc2364912_2870459653">
            <w:r>
              <w:rPr>
                <w:webHidden/>
                <w:rStyle w:val="IndexLink"/>
                <w:rtl w:val="true"/>
              </w:rPr>
              <w:t>المطلب الثاني</w:t>
            </w:r>
            <w:r>
              <w:rPr>
                <w:rStyle w:val="IndexLink"/>
                <w:rtl w:val="true"/>
              </w:rPr>
              <w:t xml:space="preserve">: </w:t>
            </w:r>
            <w:r>
              <w:rPr>
                <w:rStyle w:val="IndexLink"/>
                <w:rtl w:val="true"/>
              </w:rPr>
              <w:t>مضمون الرسالة</w:t>
            </w:r>
            <w:r>
              <w:rPr>
                <w:rStyle w:val="IndexLink"/>
                <w:rtl w:val="true"/>
              </w:rPr>
              <w:tab/>
            </w:r>
            <w:r>
              <w:rPr>
                <w:rStyle w:val="IndexLink"/>
              </w:rPr>
              <w:t>248</w:t>
            </w:r>
          </w:hyperlink>
        </w:p>
        <w:p>
          <w:pPr>
            <w:pStyle w:val="Contents4"/>
            <w:tabs>
              <w:tab w:val="clear" w:pos="8176"/>
              <w:tab w:val="right" w:pos="9026" w:leader="dot"/>
            </w:tabs>
            <w:rPr/>
          </w:pPr>
          <w:hyperlink w:anchor="__RefHeading___Toc2364914_2870459653">
            <w:r>
              <w:rPr>
                <w:webHidden/>
                <w:rStyle w:val="IndexLink"/>
                <w:rtl w:val="true"/>
              </w:rPr>
              <w:t>المطلب الثالث</w:t>
            </w:r>
            <w:r>
              <w:rPr>
                <w:rStyle w:val="IndexLink"/>
                <w:rtl w:val="true"/>
              </w:rPr>
              <w:t xml:space="preserve">: </w:t>
            </w:r>
            <w:r>
              <w:rPr>
                <w:rStyle w:val="IndexLink"/>
                <w:rtl w:val="true"/>
              </w:rPr>
              <w:t>أهمية الرسالة ومميزاتها</w:t>
            </w:r>
            <w:r>
              <w:rPr>
                <w:rStyle w:val="IndexLink"/>
                <w:rtl w:val="true"/>
              </w:rPr>
              <w:tab/>
            </w:r>
            <w:r>
              <w:rPr>
                <w:rStyle w:val="IndexLink"/>
              </w:rPr>
              <w:t>250</w:t>
            </w:r>
          </w:hyperlink>
        </w:p>
        <w:p>
          <w:pPr>
            <w:pStyle w:val="Contents3"/>
            <w:tabs>
              <w:tab w:val="clear" w:pos="8459"/>
              <w:tab w:val="right" w:pos="9026" w:leader="dot"/>
            </w:tabs>
            <w:rPr/>
          </w:pPr>
          <w:hyperlink w:anchor="__RefHeading___Toc2364916_2870459653">
            <w:r>
              <w:rPr>
                <w:webHidden/>
                <w:rStyle w:val="IndexLink"/>
                <w:rtl w:val="true"/>
              </w:rPr>
              <w:t>الفصل الرابع</w:t>
            </w:r>
            <w:r>
              <w:rPr>
                <w:rStyle w:val="IndexLink"/>
                <w:rtl w:val="true"/>
              </w:rPr>
              <w:t xml:space="preserve">: </w:t>
            </w:r>
            <w:r>
              <w:rPr>
                <w:rStyle w:val="IndexLink"/>
                <w:rtl w:val="true"/>
              </w:rPr>
              <w:t>عملنا في التحقيق والنسخة المعتمدة</w:t>
            </w:r>
            <w:r>
              <w:rPr>
                <w:rStyle w:val="IndexLink"/>
                <w:rtl w:val="true"/>
              </w:rPr>
              <w:tab/>
            </w:r>
            <w:r>
              <w:rPr>
                <w:rStyle w:val="IndexLink"/>
              </w:rPr>
              <w:t>253</w:t>
            </w:r>
          </w:hyperlink>
        </w:p>
        <w:p>
          <w:pPr>
            <w:pStyle w:val="Contents3"/>
            <w:tabs>
              <w:tab w:val="clear" w:pos="8459"/>
              <w:tab w:val="right" w:pos="9026" w:leader="dot"/>
            </w:tabs>
            <w:rPr/>
          </w:pPr>
          <w:hyperlink w:anchor="__RefHeading___Toc2364918_2870459653">
            <w:r>
              <w:rPr>
                <w:webHidden/>
                <w:rStyle w:val="IndexLink"/>
                <w:rtl w:val="true"/>
              </w:rPr>
              <w:t>مصادر المقدّمة</w:t>
            </w:r>
            <w:r>
              <w:rPr>
                <w:rStyle w:val="IndexLink"/>
                <w:rtl w:val="true"/>
              </w:rPr>
              <w:tab/>
            </w:r>
            <w:r>
              <w:rPr>
                <w:rStyle w:val="IndexLink"/>
              </w:rPr>
              <w:t>255</w:t>
            </w:r>
          </w:hyperlink>
        </w:p>
        <w:p>
          <w:pPr>
            <w:pStyle w:val="Contents3"/>
            <w:tabs>
              <w:tab w:val="clear" w:pos="8459"/>
              <w:tab w:val="right" w:pos="9026" w:leader="dot"/>
            </w:tabs>
            <w:rPr/>
          </w:pPr>
          <w:hyperlink w:anchor="__RefHeading___Toc2364920_2870459653">
            <w:r>
              <w:rPr>
                <w:webHidden/>
                <w:rStyle w:val="IndexLink"/>
                <w:rtl w:val="true"/>
              </w:rPr>
              <w:t>نَصُّ الرسالة</w:t>
            </w:r>
            <w:r>
              <w:rPr>
                <w:rStyle w:val="IndexLink"/>
                <w:rtl w:val="true"/>
              </w:rPr>
              <w:tab/>
            </w:r>
            <w:r>
              <w:rPr>
                <w:rStyle w:val="IndexLink"/>
              </w:rPr>
              <w:t>260</w:t>
            </w:r>
          </w:hyperlink>
        </w:p>
        <w:p>
          <w:pPr>
            <w:pStyle w:val="Contents3"/>
            <w:tabs>
              <w:tab w:val="clear" w:pos="8459"/>
              <w:tab w:val="right" w:pos="9026" w:leader="dot"/>
            </w:tabs>
            <w:rPr/>
          </w:pPr>
          <w:hyperlink w:anchor="__RefHeading___Toc2364922_2870459653">
            <w:r>
              <w:rPr>
                <w:webHidden/>
                <w:rStyle w:val="IndexLink"/>
                <w:rtl w:val="true"/>
              </w:rPr>
              <w:t>خاتمة</w:t>
            </w:r>
            <w:r>
              <w:rPr>
                <w:rStyle w:val="IndexLink"/>
                <w:rtl w:val="true"/>
              </w:rPr>
              <w:tab/>
            </w:r>
            <w:r>
              <w:rPr>
                <w:rStyle w:val="IndexLink"/>
              </w:rPr>
              <w:t>305</w:t>
            </w:r>
          </w:hyperlink>
        </w:p>
        <w:p>
          <w:pPr>
            <w:pStyle w:val="Contents4"/>
            <w:tabs>
              <w:tab w:val="clear" w:pos="8176"/>
              <w:tab w:val="right" w:pos="9026" w:leader="dot"/>
            </w:tabs>
            <w:rPr/>
          </w:pPr>
          <w:hyperlink w:anchor="__RefHeading___Toc2364924_2870459653">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2364926_2870459653">
            <w:r>
              <w:rPr>
                <w:webHidden/>
                <w:rStyle w:val="IndexLink"/>
                <w:rtl w:val="true"/>
              </w:rPr>
              <w:t>الأولى</w:t>
            </w:r>
            <w:r>
              <w:rPr>
                <w:rStyle w:val="IndexLink"/>
                <w:rtl w:val="true"/>
              </w:rPr>
              <w:t>: [</w:t>
            </w:r>
            <w:r>
              <w:rPr>
                <w:rStyle w:val="IndexLink"/>
                <w:rtl w:val="true"/>
              </w:rPr>
              <w:t>وصية بالتقوى، وتحذير من الدنيا، ومن الإفتاء</w:t>
            </w:r>
            <w:r>
              <w:rPr>
                <w:rStyle w:val="IndexLink"/>
                <w:rtl w:val="true"/>
              </w:rPr>
              <w:t>]</w:t>
              <w:tab/>
            </w:r>
            <w:r>
              <w:rPr>
                <w:rStyle w:val="IndexLink"/>
              </w:rPr>
              <w:t>305</w:t>
            </w:r>
          </w:hyperlink>
        </w:p>
        <w:p>
          <w:pPr>
            <w:pStyle w:val="Contents4"/>
            <w:tabs>
              <w:tab w:val="clear" w:pos="8176"/>
              <w:tab w:val="right" w:pos="9026" w:leader="dot"/>
            </w:tabs>
            <w:rPr/>
          </w:pPr>
          <w:hyperlink w:anchor="__RefHeading___Toc2364928_2870459653">
            <w:r>
              <w:rPr>
                <w:webHidden/>
                <w:rStyle w:val="IndexLink"/>
                <w:rtl w:val="true"/>
              </w:rPr>
              <w:t>الثانية</w:t>
            </w:r>
            <w:r>
              <w:rPr>
                <w:rStyle w:val="IndexLink"/>
                <w:rtl w:val="true"/>
              </w:rPr>
              <w:t>: [</w:t>
            </w:r>
            <w:r>
              <w:rPr>
                <w:rStyle w:val="IndexLink"/>
                <w:rtl w:val="true"/>
              </w:rPr>
              <w:t>في مفاسد الغليان ومضاره</w:t>
            </w:r>
            <w:r>
              <w:rPr>
                <w:rStyle w:val="IndexLink"/>
                <w:rtl w:val="true"/>
              </w:rPr>
              <w:t>]</w:t>
              <w:tab/>
            </w:r>
            <w:r>
              <w:rPr>
                <w:rStyle w:val="IndexLink"/>
              </w:rPr>
              <w:t>308</w:t>
            </w:r>
          </w:hyperlink>
        </w:p>
        <w:p>
          <w:pPr>
            <w:pStyle w:val="Contents3"/>
            <w:tabs>
              <w:tab w:val="clear" w:pos="8459"/>
              <w:tab w:val="right" w:pos="9026" w:leader="dot"/>
            </w:tabs>
            <w:rPr/>
          </w:pPr>
          <w:hyperlink w:anchor="__RefHeading___Toc2364930_2870459653">
            <w:r>
              <w:rPr>
                <w:webHidden/>
                <w:rStyle w:val="IndexLink"/>
                <w:rtl w:val="true"/>
              </w:rPr>
              <w:t>فهرس مصادر التحقيق</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58_87397"/>
      <w:bookmarkStart w:id="1" w:name="pg9058_87397"/>
      <w:bookmarkEnd w:id="1"/>
    </w:p>
    <w:p>
      <w:pPr>
        <w:pStyle w:val="Heading2"/>
        <w:numPr>
          <w:ilvl w:val="1"/>
          <w:numId w:val="1"/>
        </w:numPr>
        <w:rPr/>
      </w:pPr>
      <w:bookmarkStart w:id="2" w:name="pg9058_87397"/>
      <w:bookmarkStart w:id="3" w:name="__RefHeading___Toc2364716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دراسات علمیة</w:t>
      </w:r>
    </w:p>
    <w:p>
      <w:pPr>
        <w:pStyle w:val="BookText"/>
        <w:rPr/>
      </w:pPr>
      <w:r>
        <w:rPr>
          <w:rFonts w:ascii="Amiri" w:hAnsi="Amiri" w:eastAsia="Amiri" w:cs="Amiri"/>
          <w:color w:val="111111"/>
          <w:sz w:val="28"/>
          <w:sz w:val="28"/>
          <w:szCs w:val="28"/>
          <w:rtl w:val="true"/>
          <w:lang w:bidi="ar-SA"/>
        </w:rPr>
        <w:t>مجلَّة نصف سنويَّة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Amiri" w:hAnsi="Amiri" w:eastAsia="Amiri" w:cs="Amiri"/>
          <w:color w:val="111111"/>
          <w:sz w:val="28"/>
          <w:sz w:val="28"/>
          <w:szCs w:val="28"/>
          <w:rtl w:val="true"/>
          <w:lang w:bidi="ar-SA"/>
        </w:rPr>
        <w:t>العدد التَّجريبي الأوَّل</w:t>
      </w:r>
    </w:p>
    <w:p>
      <w:pPr>
        <w:pStyle w:val="BookText"/>
        <w:rPr/>
      </w:pP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هجري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471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058_87400"/>
    </w:p>
    <w:p>
      <w:pPr>
        <w:pStyle w:val="Heading2"/>
        <w:numPr>
          <w:ilvl w:val="1"/>
          <w:numId w:val="1"/>
        </w:numPr>
        <w:rPr/>
      </w:pPr>
      <w:bookmarkStart w:id="8" w:name="__RefHeading___Toc2364720_2870459653"/>
      <w:bookmarkStart w:id="9" w:name="_Toc3"/>
      <w:bookmarkEnd w:id="7"/>
      <w:bookmarkEnd w:id="8"/>
      <w:r>
        <w:rPr>
          <w:rtl w:val="true"/>
        </w:rPr>
        <w:t>الأسس المعتمدة للنشر</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ترحب المجلة بإسهامات الباحثين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رواد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الاصدار تجريبيّاً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عن ذلك يمكن تقسيمه إلى أكثر من حلقة، شريطة أن تتسلَّمَ المجلةُ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البحث</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وجه نظر المجلة</w:t>
      </w:r>
      <w:r>
        <w:rPr>
          <w:rFonts w:eastAsia="Amiri" w:cs="Amiri" w:ascii="Amiri" w:hAnsi="Amiri"/>
          <w:color w:val="111111"/>
          <w:sz w:val="28"/>
          <w:szCs w:val="28"/>
          <w:rtl w:val="true"/>
          <w:lang w:bidi="ar-SA"/>
        </w:rPr>
        <w:t xml:space="preserve">. </w:t>
      </w:r>
      <w:bookmarkStart w:id="10" w:name="pg9058_87401"/>
    </w:p>
    <w:p>
      <w:pPr>
        <w:pStyle w:val="Heading2"/>
        <w:numPr>
          <w:ilvl w:val="1"/>
          <w:numId w:val="1"/>
        </w:numPr>
        <w:rPr/>
      </w:pPr>
      <w:bookmarkStart w:id="11" w:name="__RefHeading___Toc2364722_2870459653"/>
      <w:bookmarkStart w:id="12" w:name="_Toc4"/>
      <w:bookmarkEnd w:id="10"/>
      <w:bookmarkEnd w:id="11"/>
      <w:r>
        <w:rPr>
          <w:rtl w:val="true"/>
        </w:rPr>
        <w:t>مقدِّمة الطَّبعة الثَّانية</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قديماً عن النجاح في الأهداف الطموحة لغير الأفراد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ثمرة تعاون الأيدي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السر في تنامي الشُّعور بالثقة والأمل بمواصلة السعي في العمل الدؤوب في أعداد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بدا هذا التعاون من قبل الكتاب وهيأتي الإدارة والتحرير واللجنة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من نسيج حاضرة الحوزة العلمية المباركة 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يتبلور في أعداد لفتت انتباه المختصين والمهتمين فأشاروا بالتقدير إلى الجهد النوعي المبذول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ذلك الاهتمام قد انعكس في الأوساط العلمية في الرغبة في زيادة كمية النسخ المطبوعة من أ ن أعداد المجلة حتى تكرّر الطلب بعد نفاد النسخ فلم يسعنا إِلَّا أَنْ نعيد طباعتها ثانيةً مع تصحيح ما فاتنا في الطبعة الأولى من أخطاء طباعية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وكلنا أمل في أن تقع موضع الرضا من عين القارئ اللبيب ونكون قد وافينا المتشوق لما تطلع إليه من مضمونها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 xml:space="preserve">) </w:t>
      </w:r>
      <w:bookmarkStart w:id="13" w:name="pg9058_87402"/>
    </w:p>
    <w:p>
      <w:pPr>
        <w:pStyle w:val="Heading2"/>
        <w:numPr>
          <w:ilvl w:val="1"/>
          <w:numId w:val="1"/>
        </w:numPr>
        <w:rPr/>
      </w:pPr>
      <w:bookmarkStart w:id="14" w:name="__RefHeading___Toc2364724_2870459653"/>
      <w:bookmarkStart w:id="15" w:name="_Toc5"/>
      <w:bookmarkEnd w:id="13"/>
      <w:bookmarkEnd w:id="14"/>
      <w:r>
        <w:rPr>
          <w:rtl w:val="true"/>
        </w:rPr>
        <w:t>محتویات العدد</w:t>
      </w:r>
      <w:bookmarkEnd w:id="15"/>
    </w:p>
    <w:p>
      <w:pPr>
        <w:pStyle w:val="BookText"/>
        <w:rPr/>
      </w:pPr>
      <w:r>
        <w:rPr>
          <w:rFonts w:ascii="Amiri" w:hAnsi="Amiri" w:eastAsia="Amiri" w:cs="Amiri"/>
          <w:color w:val="111111"/>
          <w:sz w:val="28"/>
          <w:sz w:val="28"/>
          <w:szCs w:val="28"/>
          <w:rtl w:val="true"/>
          <w:lang w:bidi="ar-SA"/>
        </w:rPr>
        <w:t>الافتتاحية</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بيع الرصيد في خدمات الاتصال بالآجل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عمار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استثناء الدين من الربح قبل تخميسه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المناسبة الذاتية بين اللفظ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جواد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قبح العقاب بلا بيان والاحتياط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البعاج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الغلو والغلاة بين الرجاليين والرواة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تحقبق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رسالة صُنِفَت في مفطرية</w:t>
      </w:r>
    </w:p>
    <w:p>
      <w:pPr>
        <w:pStyle w:val="BookText"/>
        <w:rPr/>
      </w:pPr>
      <w:r>
        <w:rPr>
          <w:rFonts w:ascii="Amiri" w:hAnsi="Amiri" w:eastAsia="Amiri" w:cs="Amiri"/>
          <w:color w:val="111111"/>
          <w:sz w:val="28"/>
          <w:sz w:val="28"/>
          <w:szCs w:val="28"/>
          <w:rtl w:val="true"/>
          <w:lang w:bidi="ar-SA"/>
        </w:rPr>
        <w:t>التتن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الغليان في شهر رمضان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الكرباسي والشيخ حيدر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16" w:name="pg9058_87403"/>
    </w:p>
    <w:p>
      <w:pPr>
        <w:pStyle w:val="Heading2"/>
        <w:numPr>
          <w:ilvl w:val="1"/>
          <w:numId w:val="1"/>
        </w:numPr>
        <w:rPr/>
      </w:pPr>
      <w:bookmarkStart w:id="17" w:name="__RefHeading___Toc2364726_2870459653"/>
      <w:bookmarkStart w:id="18" w:name="_Toc6"/>
      <w:bookmarkEnd w:id="16"/>
      <w:bookmarkEnd w:id="17"/>
      <w:r>
        <w:rPr>
          <w:rtl w:val="true"/>
        </w:rPr>
        <w:t>افتتاحية العدد</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كثيرٌ مِن العاكفين على الدَّرس الحوزوي، والواردين على هذا المنهل، حدَّثته نفسه بإطلاق عنان قلمه في ميدان ما سعى زمناً في تحصيله يؤلّف بين متفرقاته، أو يعبّر عن موضوع بمنظار فهمه، أو يتناول مسألةً ويتابعها بمرآة فكره، وقد لا يسعده جَدُّه أو انشغاله بدرسه في متابعة ما أمَّله ويتأبَّى عليه ما رامه، ويَزيدُ في إحجامه غيابُ صحيفةٍ أو مدَّونةٍ يُسطِّر فيها ما جال في خاطره، فإنَّ في وجود صحيفةٍ أو مجلَّةٍ تنتظم الرؤى والأبحاث في ثنايا صفحاتها خيرُ باعثٍ لأصحاب هذه الغايات في تجميع شوارد أفكارهم وتتميم ظهور إفاضات قرائحهم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سعي المجتمعات العلميَّة والمراكز الفكريَّة اليوم إلى تدوين ونشر خلاصات تجاربها، ورؤوس نتائج جهدها وعملها الفكريّ لم يكن نتيجة نزعةٍ من نزعات العصر الحاضر، إلَّا لعلمهم – وكما لا يخفى على غيرهم – بدور هذا النَّوع من العمل واللَّون من النَّشاط في ترويج حبّ العلم وسمو غاية الفكر، فإنَّ تعطيله يؤدي إلى الرُّكود، وتباعُد معاقد عُرى موضوع مسائل علمهم الَّذي يحومون حوله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ذلك عرف قديماً شغف المشتغلين بالعلوم في التَّصنيف والتَّدوين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 يألفوا ما نألف اليوم من تنوّع المصادر، وتذليل أدوات البحث، وسعة دائرة النَّشر، وتيسّر أدواته، وكثرة قرّائه، وتواصل مدارس العلوم فيما 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 الحال قديماً على ما وصفنا وهم – برغمه – على ذلك الإقبال فجديرٌ بروّاد العلم في عصرنا أنْ يضاعفوا ذلك النَّوع من العمل مع توفر تلك الدَّواعي ورواج الأسباب، ويُقبِلُوا على الكتابة والنَّشر بموازين علميَّة معروفة، وأنْ يساعدوا في ظهور تلك البيئة وهذا المناخ؛ فإنَّه صحّيٌّ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نجد بعد التأمّل في ما ذكرنا عائقاً أو عذراً في أنْ ننهض بهذا المشروع إذا لم يكن انضواؤنا في كنف هذه الحوزة العريقة في النَّجف الأشرف عاملاً آخر يجعل هذا العمل في دائرة المنجزيّة، ومانعاً عن التّفكير بالمعذريّة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فعَزمنا على إصدار هذه المجلَّة خدمةً لتلك الغاية ووسمناها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دراسات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وفق الله في استجابة عدد من الدّارسين والباحثين ليعينونا بأبحاثهم وكتاباتهم في هذا العدد، فجاء متنوّعاً بين الفقه والأصول وعلم الرجال، كما كان لتحقيق بعض المخطوطات من تراث أكابر علمائنا، وإخراجها بحلَّة التَّحقيق رافدٌ وركنٌ في هذا العدد، وفي الأعداد المقبلة إنْ شاء الله تعالى، فجاء هذا العدد بحمد الله تعالى ليعكس صورةً عن جزءٍ ممَّا يدور في أروقة الحوزة العلميَّة من بحثٍ ودرسٍ، ثُمَّ لم يألُنا غير مَنْ ذكرنا جهده ممَّن حمل نفسه سابقاً على الإفادة، وراجعها على الكتابة، ولم يجد لزنده قادحاً فإذا البابُ أمامَه مشرعةٌ فسوَّغَنا مشكورا جُهودَهُ وهي تحت التَّرتيب والنَّظر لإعدادها للنشر في الأعداد المقبلة بإذن الله تعالى</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وحَريٌ بنا أنْ نُشير إلى أنَّ نهجنا في هذه المجلَّة أنْ نُقدِّم فيها كلّ ما وصل إليه البحث الفقهيّ والأصوليّ والرّجاليّ، وما له صلة بها من نظريات وآراء واستدلالات لا تخرج عن الأسس العامَّة الَّتي ينتهجها علماؤنا، وصارت شعاراً لهذه المؤسَّسة العلميَّة، الَّتي برغم ذلك تسمح للباحث في البحث بهامشٍ عريضٍ، كما أنَّنا نولي عناية خاصَّة </w:t>
      </w:r>
    </w:p>
    <w:p>
      <w:pPr>
        <w:pStyle w:val="BookText"/>
        <w:rPr/>
      </w:pPr>
      <w:r>
        <w:rPr>
          <w:rFonts w:ascii="Amiri" w:hAnsi="Amiri" w:eastAsia="Amiri" w:cs="Amiri"/>
          <w:color w:val="111111"/>
          <w:sz w:val="28"/>
          <w:sz w:val="28"/>
          <w:szCs w:val="28"/>
          <w:rtl w:val="true"/>
          <w:lang w:bidi="ar-SA"/>
        </w:rPr>
        <w:t>للأبحاث الَّتي تدور حول موضوعات جديدة، أو ما يسمّى بمستحدثات المسائل؛ لأنَّها تُبرِزُ الجانب المتطوّر والفعّال من فقهنا، وقدرته على مسايرة واستيعاب تنوّع ميادين الحياة وتقلّبات أحوال أفعال المكلَّفين في النَّشاط الإنساني السَّريع، وتُحَقِّقُ قيام قواعده، ومتانة مباني أصوله بمهمّة تحديد الحكم الشَّرعي المناسب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ننظر عن كثبٍ ظهور أبحاثٍ ودراساتٍ تعنى بالموضوعات، أو المسائل الّتي جاءت في أبحاث علمائنا ومدوّناتهم، كأنَّها غيرَ مستدلَّة، أو غيرَ مُسَوَّرةٍ لأسباب لا تخفى، أو بُحِثَت إلى غايةٍ محدودة، فألقى توسّع البحث العلميّ في مسألةٍ ما بظلاله عليها، أو نوّه الوقع الحياتيّ أو التَّفاعل الثَّقافيّ والعلميّ مع مدارس أخرى على أهميَّة ابرازها وتحقيقها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ذلك لا يقلّل من الحاجة إلى متابعة البحث في عناوين المسائل المبحوثة قديماً، أو الَّتي نقَّح علماؤنا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البحث فيها فقهيّة كانت أو أصوليّة أو غيرها، لأنَّ لتغيُّر أساليب البحث، وصيغة العرض الّتي قد يتمتع بها الباحث، أو الجهة الّتي يصرف إليها بحثه أو رؤيته مدخليةً في إعادة رسم ملامح المسألة ممّا قد يظهر جوانب النقد في أدلّتها، أو يعزّز نقاط القوّة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نظرةً فاحصةً ويسيرةً إلى طريقة القدماء، وبعض المتأخّرين في الاستدلال على المطالب، ومقارنتها بدقّة مسلك المحقّقين في العصر المتأخّر عنهم، وصرامة أدواتهم الّتي هذّبوها طيلة هذه السنين تُظهِر لك الفارق الكبير في طريقة تدوين المسألة والاحتجاج على النَّتيجة فيها بالدَّليل</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وأنَّنا نحسب هذه التَّجربة رائدة أو تُقارب، وتحتاج إلى عناية مجتمعنا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رأوا في هيئتها أو مادّتها خللاً نوّهوا بتصويبه بما لا يفتّ في عضد مَنْ لم يقم صلب </w:t>
      </w:r>
    </w:p>
    <w:p>
      <w:pPr>
        <w:pStyle w:val="BookText"/>
        <w:rPr/>
      </w:pPr>
      <w:r>
        <w:rPr>
          <w:rFonts w:ascii="Amiri" w:hAnsi="Amiri" w:eastAsia="Amiri" w:cs="Amiri"/>
          <w:color w:val="111111"/>
          <w:sz w:val="28"/>
          <w:sz w:val="28"/>
          <w:szCs w:val="28"/>
          <w:rtl w:val="true"/>
          <w:lang w:bidi="ar-SA"/>
        </w:rPr>
        <w:t>عمله بعد، ونظروا بعين الصَّديق الشَّفيق أو الوالد الرَّفيق، بل لم نجرؤ على ركوب أخطارها إلّا بالظَّنّ البالغ غاية الحُسن في نيّات النّاقدين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لمسنا عوناً واهتماماً من كثيرٍ من أهل الفضلِ والعلمِ لحسن ظنّهم بنا، فجزى الله الجميع عنَّا خير جزاء المحسنين ولا خيّب الله ظنَّهم وظنَّ القارئ الكريم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هيئة إصدار المجلَّة </w:t>
      </w:r>
      <w:bookmarkStart w:id="19" w:name="pg9058_87407"/>
    </w:p>
    <w:p>
      <w:pPr>
        <w:pStyle w:val="Heading2"/>
        <w:numPr>
          <w:ilvl w:val="1"/>
          <w:numId w:val="1"/>
        </w:numPr>
        <w:rPr/>
      </w:pPr>
      <w:bookmarkStart w:id="20" w:name="__RefHeading___Toc2364728_2870459653"/>
      <w:bookmarkStart w:id="21" w:name="_Toc7"/>
      <w:bookmarkEnd w:id="19"/>
      <w:bookmarkEnd w:id="20"/>
      <w:r>
        <w:rPr>
          <w:rtl w:val="true"/>
        </w:rPr>
        <w:t xml:space="preserve">بیع الرصید فی خدمات الاتصال بالآجل </w:t>
      </w:r>
      <w:r>
        <w:rPr>
          <w:rtl w:val="true"/>
        </w:rPr>
        <w:t xml:space="preserve">- </w:t>
      </w:r>
      <w:r>
        <w:rPr>
          <w:rtl w:val="true"/>
        </w:rPr>
        <w:t xml:space="preserve">الشيخ عمار الأسدي </w:t>
      </w:r>
      <w:r>
        <w:rPr>
          <w:rtl w:val="true"/>
        </w:rPr>
        <w:t>(</w:t>
      </w:r>
      <w:r>
        <w:rPr>
          <w:rtl w:val="true"/>
        </w:rPr>
        <w:t>دام عزه</w:t>
      </w:r>
      <w:r>
        <w:rPr>
          <w:rtl w:val="true"/>
        </w:rPr>
        <w:t>)</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2364730_2870459653"/>
      <w:bookmarkStart w:id="23" w:name="_Toc8"/>
      <w:bookmarkEnd w:id="22"/>
      <w:r>
        <w:rPr>
          <w:rtl w:val="true"/>
        </w:rPr>
        <w:t>اشارة</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058_87409"/>
      <w:bookmarkStart w:id="25" w:name="pg9058_87409"/>
      <w:bookmarkEnd w:id="25"/>
    </w:p>
    <w:p>
      <w:pPr>
        <w:pStyle w:val="BookText"/>
        <w:rPr/>
      </w:pPr>
      <w:bookmarkStart w:id="26" w:name="pg9058_87409"/>
      <w:bookmarkEnd w:id="26"/>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7" w:name="__RefHeading___Toc2364732_2870459653"/>
      <w:bookmarkStart w:id="28" w:name="_Toc9"/>
      <w:bookmarkEnd w:id="27"/>
      <w:r>
        <w:rPr>
          <w:rtl w:val="true"/>
        </w:rPr>
        <w:t>المقدّمة</w:t>
      </w:r>
      <w:bookmarkEnd w:id="28"/>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أربع مسائل في ما بات يعرف في عصرنا الراهن ببيع الرصيد، تناولت فيه اِلمسألة من حيث الموضوع والحكم الشرعي له بالتصويرات الممكنة، وهي من المسائل التي اختلفت فيها أنظار الفقهاء وفتاواهم من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تجنّبت الخوض في مؤدّى تلك الفتاوى، واكتفيت ببحث المسألة بحسب القواعد العامة للفقه، والأدلة المناسبة التي يمكن أن تدخل هذه المسألة تحتها بحسب المعروف من فقه المعاملات، وبالوجوه الصالحة لتحديد الحكم الشرعي لهذا الموضوع الغائم بعض الشيء، فاستلزم في جانب كبير منه البحث في ربا المعدود؛ لدخول مسألتنا على بعض الوجوه صغرى لكبراها، وفرداً من كلّيها، في شيء من الاستطراد لم أجد منه بُدّاً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موضوع المسألة، أنّه بعد انتشار الهواتف النقالة في العصر الراهن، واعتماد تفعيل المكالمات فيها والخدمات الأخرى التي تبذلها شركات الاتصال المشغلة لهذه الهواتف على كارتات التعبئة، برز موضوع لمسألة شرعية يدخل في دائرة ابتلاء المكلفين من جهة الحكم الشرعي في التعاملات التجارية بهذه البطاقات، وهي بطاقات تصدرها تلك الشركات بأرقام يؤدي تلقيمها على الهاتف والاتصال بواسطتها الى تعيين مبلغ خاص من المال للمشترك في الخدمة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 استيفاء أُجور الخدمات التي تقدمها على شبكتها من الاتصال بالجهات الميسرة له، وغيرها من </w:t>
      </w:r>
      <w:bookmarkStart w:id="29" w:name="pg9058_87410"/>
    </w:p>
    <w:p>
      <w:pPr>
        <w:pStyle w:val="BookText"/>
        <w:rPr/>
      </w:pPr>
      <w:bookmarkEnd w:id="29"/>
      <w:r>
        <w:rPr>
          <w:rFonts w:ascii="Amiri" w:hAnsi="Amiri" w:eastAsia="Amiri" w:cs="Amiri"/>
          <w:color w:val="111111"/>
          <w:sz w:val="28"/>
          <w:sz w:val="28"/>
          <w:szCs w:val="28"/>
          <w:rtl w:val="true"/>
          <w:lang w:bidi="ar-SA"/>
        </w:rPr>
        <w:t>الخدمات على نحو الاقتطاع التدريجي بحسب أُجور المكالمات والخدمات المفترضة مسبقاً من قبل الشركة، على أن يتم تأمين غطاء هذا الرصيد بالمال الذي يدفعه المشترك في شراء نفس تلك البطاقات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هنا يقع في المعاملات الشرعية التي تتداول بها هذه البطاقات من البيع العاجل المنجّز، والمؤجّل بنوعية من تأجيل الثمن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المثمن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والمحاذير المتصورة التي تشكل عائقاً دون إنجاز بعض أنواع المعاملات فيها</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364734_2870459653"/>
      <w:bookmarkStart w:id="31" w:name="_Toc10"/>
      <w:bookmarkEnd w:id="30"/>
      <w:r>
        <w:rPr>
          <w:rtl w:val="true"/>
        </w:rPr>
        <w:t>وفي البحث أربع مسائل</w:t>
      </w:r>
      <w:bookmarkEnd w:id="31"/>
    </w:p>
    <w:p>
      <w:pPr>
        <w:pStyle w:val="Heading4"/>
        <w:numPr>
          <w:ilvl w:val="3"/>
          <w:numId w:val="1"/>
        </w:numPr>
        <w:rPr/>
      </w:pPr>
      <w:bookmarkStart w:id="32" w:name="__RefHeading___Toc2364736_2870459653"/>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المسالة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الرصيد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الرصيد 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تأجيل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الرصيد سلفاً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تعجيل الثمن وتأجيل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الرصيد بين المشتركين</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وأنّ غالب البحث وقع في تفصيل المسألة الثانية لأنّها موضع الإشكال والبحث</w:t>
      </w:r>
      <w:r>
        <w:rPr>
          <w:rFonts w:eastAsia="Amiri" w:cs="Amiri" w:ascii="Amiri" w:hAnsi="Amiri"/>
          <w:color w:val="111111"/>
          <w:sz w:val="28"/>
          <w:szCs w:val="28"/>
          <w:rtl w:val="true"/>
          <w:lang w:bidi="ar-SA"/>
        </w:rPr>
        <w:t xml:space="preserve">. </w:t>
      </w:r>
      <w:bookmarkStart w:id="34" w:name="pg9058_87411"/>
    </w:p>
    <w:p>
      <w:pPr>
        <w:pStyle w:val="Heading4"/>
        <w:numPr>
          <w:ilvl w:val="3"/>
          <w:numId w:val="1"/>
        </w:numPr>
        <w:rPr/>
      </w:pPr>
      <w:bookmarkStart w:id="35" w:name="__RefHeading___Toc2364738_2870459653"/>
      <w:bookmarkStart w:id="36" w:name="_Toc12"/>
      <w:bookmarkEnd w:id="34"/>
      <w:bookmarkEnd w:id="35"/>
      <w:r>
        <w:rPr>
          <w:rtl w:val="true"/>
        </w:rPr>
        <w:t>توطئة</w:t>
      </w:r>
      <w:bookmarkEnd w:id="36"/>
    </w:p>
    <w:p>
      <w:pPr>
        <w:pStyle w:val="Heading5"/>
        <w:numPr>
          <w:ilvl w:val="4"/>
          <w:numId w:val="1"/>
        </w:numPr>
        <w:rPr/>
      </w:pPr>
      <w:bookmarkStart w:id="37" w:name="__RefHeading___Toc2364740_2870459653"/>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تظهر بين الحين والآخر موضوعات تقع مورداً لأسئلة شرعية لتعلق أفعال المكلفين بها، وخصوصاً على مستوى المعاملات الدائرة بين الناس، نظراً لتطور الواقع العام للحياة، وتنوّع أساليب التجارة والعمل، ممّا يفرز خصوصيات تلحق بعض الموضوعات المعروفة بأحكامها الشرعية بشكل عام، إلّا أنّ الخصوصية أضفت حيثيّة على الموضوع جعلته يأخذ منحىً آخر في مناط الحكم الشرعي له، فيجدر بالباحث عن الحكم الشرعي لتلك الموضوعات مع تلك الخصوصية أن يجد المدرك المناسب لها، ويؤطرها بحدودها الشرعية رافعاً اللبس والابهام الذي تلبس به ذلك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الموضوعات التي حامت حوله الشبهة موضوعاً وحكماً،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المُمثّل ببطاقات شاع التعامل بها بظهور خدمة الهاتف النقال، وأُثير معها إشكال بيع الرصيد الممثل بتلك البطاقات الذي هو مقدار من المال بالعملات المتداولة الورقية،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على تلك البطاقات هل هي معاوضة على نفس المال الذي تغطيه تلك البطاقة، أو أنّها شيء وراء ذلك؟</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المصدرة لتلك البطاقات إنّما تتعهد وتلتزم بالمنفعة المتحققة بخدمة الاتصال قبال ما تأخذه من ثمن تلك البطاقات، محسوبة بتعرفة معينة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دينار للدقيقة الواحدة للاتصال الداخلي، وأربعمائة دينار للدقيقة الواحدة للاتصال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الشركة ملتزمة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دقيقة للبطاقة الواحدة من فئة عشرة آلاف دينار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وسنرى في هذا البحث، محاولة لتحقيق المعاملة الصحيحة التي يمكن أن تُنزَّل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معاملات الناس على هذه الأرصدة بحسب واقع تعاملات شركة الاتصال وطريقة أدائها للخدمة، والقواعد المناسبة في الأدلّة الشرعية، وفقه المعاملات لتحديد الحكم الشرعي على ضوء معطيات الواقعين، ولمختلف تقلّبات المعاملات من البيع النقدي والآجل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وتحويل الرصيد بين المشتركين</w:t>
      </w:r>
      <w:r>
        <w:rPr>
          <w:rFonts w:eastAsia="Amiri" w:cs="Amiri" w:ascii="Amiri" w:hAnsi="Amiri"/>
          <w:color w:val="111111"/>
          <w:sz w:val="28"/>
          <w:szCs w:val="28"/>
          <w:rtl w:val="true"/>
          <w:lang w:bidi="ar-SA"/>
        </w:rPr>
        <w:t xml:space="preserve">. </w:t>
      </w:r>
      <w:bookmarkStart w:id="39" w:name="pg9058_87413"/>
    </w:p>
    <w:p>
      <w:pPr>
        <w:pStyle w:val="Heading5"/>
        <w:numPr>
          <w:ilvl w:val="4"/>
          <w:numId w:val="1"/>
        </w:numPr>
        <w:rPr/>
      </w:pPr>
      <w:bookmarkStart w:id="40" w:name="__RefHeading___Toc2364742_2870459653"/>
      <w:bookmarkStart w:id="41" w:name="_Toc14"/>
      <w:bookmarkEnd w:id="39"/>
      <w:bookmarkEnd w:id="40"/>
      <w:r>
        <w:rPr>
          <w:rtl w:val="true"/>
        </w:rPr>
        <w:t>المُكوِّنات الاعتبارية لرصيد الأموال</w:t>
      </w:r>
      <w:bookmarkEnd w:id="41"/>
    </w:p>
    <w:p>
      <w:pPr>
        <w:pStyle w:val="BookText"/>
        <w:rPr/>
      </w:pPr>
      <w:r>
        <w:rPr>
          <w:rFonts w:ascii="Amiri" w:hAnsi="Amiri" w:eastAsia="Amiri" w:cs="Amiri"/>
          <w:color w:val="111111"/>
          <w:sz w:val="28"/>
          <w:sz w:val="28"/>
          <w:szCs w:val="28"/>
          <w:rtl w:val="true"/>
          <w:lang w:bidi="ar-SA"/>
        </w:rPr>
        <w:t>تفتق الذهن البشري عن مجموعة من الاعتبارات، وراجت في معاملاته المالية تلبيةً لحاجات التطور العصري في سرعة إنجاز المعاملة، وتأمين الأموال للمشاريع وعلى نطاق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ساهم تنوع المنتجات وزيادة الاستهلاك البشري، وتنوّع الحاجات تبعاً لذلك في الدعوة والترويج لتلك 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ونَعدّ منها الأوراق النقدية، والسندات وبطاقات الائتمان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Credit Cards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والكمبيالات، وبطاقات الشحن لأرصدة الاتصال المستعملة في أجهزة الاتصال النقالة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وتتراوح المذكورات بين ما يعتبر أموالاً، كماليَّة النقدين الذهب والفضة في العصور السابقة، وبغض النظر عن اعتباريتها وكونها بذاتها خالية من المنفعة التي يقصدها لأجلها العقلاء وينتزعون صفة الماليّة عنها لولا ذلك الاعتبار، وبين ما لا يُعدّ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فالأوراق النقديّة من قبيل النوع الأول لم تكن لذاتيتها وهيئتها سبب لرغبة الناس في اقتنائها والتنافس عليها، بحسب مقاصدهم النوعيّة والشخصيّة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جاءت الرغبة فيها والتنافس عليها وعدّها أموالاً بعد الالتزام المؤكّد بتعبيريتها عمّا تغطيه من الأموال الأصلية كالذهب والفضة والمعادن الأخرى كالنفط أو التعاملات التجارية في ميزان المال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تأكُّد هذا الاعتبار والالتزام في الأذهان تكون تلك الأوراق هي المقصودة بالذات وعليها يقوم ميزان المال في التعاملات، ولا يوجد في نفس المتعاملين بها أي عناية اتجاه منشأ ماليّتها الأول ولو بالارتكاز</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وبتبع ذلك لا تكون الأوراق النقدية موضوعا لحكم شرعي كالزكاة حتى لو علم أن منشأ انتزاع تلك المالية عين الذهب، كما لا تكون موضوعاً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بلحاظ عنوان المعدن لو كان منشأ اعتبارها التعبير عن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جميع الأحكام الشرعية التي أُخذت في عناوينها أصول ذلك الاعتبار لا تنطبق على الأوراق النقدية، بل هي مال جديد قائم برأسه، وتدخل موضوعاً للأحكام الشرعية بلحاظ ذاتها وعنوانها، ففي حكم الربا مثلاً لا تُعد الأوراق النقدية من دينار أو دولار أو جنيه وغيرها موضوعاً لحرمة الربا لو بيعت بمثلها؛ لعدم كونها مما يكال أو يوزن في التعاملات، ولا ربا إلّا فيما يُتداول بتلك الصفتين في ربا البيع كما ورد النص الشرعي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ويتعامل على ماليّتها بالعدد ولا يتعامل بها وزناً أو 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المذكورات في الإصدارات الاعتبارية آنفاً، فهي وثائق على الأموال، ولا يتعامل بها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أسسوا اعتباريتها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الأموال بالذات كالأوراق النقدية، وإذا أجروا المعاملات الماليّة عليها فإنّما ينظرون لعين المال المدّون فيها، ولا قيمة لها من دون تحصيل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كان بيع السندات والكمبيالات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w:t>
      </w:r>
    </w:p>
    <w:p>
      <w:pPr>
        <w:pStyle w:val="BookText"/>
        <w:rPr/>
      </w:pPr>
      <w:r>
        <w:rPr>
          <w:rFonts w:ascii="Amiri" w:hAnsi="Amiri" w:eastAsia="Amiri" w:cs="Amiri"/>
          <w:color w:val="111111"/>
          <w:sz w:val="28"/>
          <w:sz w:val="28"/>
          <w:szCs w:val="28"/>
          <w:rtl w:val="true"/>
          <w:lang w:bidi="ar-SA"/>
        </w:rPr>
        <w:t>للديون التي تعبر عنها وكتبت فيها، وبالتالي فلا موضوعيّة لها في الأحكام الشرعية في فقه المعاملات إلّا بموضوعيّة نفس الأموال المدوّنة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أعيان تلك السندات أو البطاقات معنية بالمعاملة، وإنّما هي كالمفاتيح لتلك الأموال التي ربّما هي ديون في ذمم آخرين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نرى في السندات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لا تدفع أعواضاً لشراء نفس أوراق السندات في التعاملات القائمة عليها، وإنّما يُقدِمون على معاملة متعلقة بنفس المال الذي يدفعونه ببيعه أو إقراضه، ثم يستعملون السند المعطى لهم في تلك المعاملة وثيقة على الأموال التي صارت لهم في ذمم الآخرين ممّن حرّروا تلك السندات كوثيقة على قبضهم للمال شراءً أو اقتراضاً علاوة على الزيادات على الأموال المدفوعة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bookmarkStart w:id="42" w:name="pg9058_87415"/>
    </w:p>
    <w:p>
      <w:pPr>
        <w:pStyle w:val="BookText"/>
        <w:rPr/>
      </w:pPr>
      <w:bookmarkEnd w:id="42"/>
      <w:r>
        <w:rPr>
          <w:rFonts w:ascii="Amiri" w:hAnsi="Amiri" w:eastAsia="Amiri" w:cs="Amiri"/>
          <w:color w:val="111111"/>
          <w:sz w:val="28"/>
          <w:sz w:val="28"/>
          <w:szCs w:val="28"/>
          <w:rtl w:val="true"/>
          <w:lang w:bidi="ar-SA"/>
        </w:rPr>
        <w:t xml:space="preserve">كانت تلك الوثائق تحتمل وجهين من المعاملة، فيحتاج إلى معرفة قصود المحرّرين ليتضح أنّهم يدفعون تلك السندات إلى المشترين وفيها فوائد 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أخذوا منهم من الأموال إزاءها قروضاً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فيها تسجيل لأموال بيعت في الذمة مع أرباحها 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أخذوا إزاءها أثماناً معجَّلة لتلك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يكشف عن عدم تعلق المعاملة بنفس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يكشف عنه وضوح عدم كون إعطاء هذه الأوراق المالية للدائنين لتمكينهم من ديونهم إقباضاً للمال الذي دُوِّن فيها، ولا تبرأ ذمة المدين ما لم يقبض المستفيد منها نفس المال الذي كانت وثيقة عليه</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2364744_2870459653"/>
      <w:bookmarkStart w:id="44" w:name="_Toc15"/>
      <w:bookmarkEnd w:id="43"/>
      <w:r>
        <w:rPr>
          <w:rtl w:val="true"/>
        </w:rPr>
        <w:t xml:space="preserve">بطاقات التعبئة </w:t>
      </w:r>
      <w:r>
        <w:rPr>
          <w:rtl w:val="true"/>
        </w:rPr>
        <w:t>(</w:t>
      </w:r>
      <w:r>
        <w:rPr>
          <w:rtl w:val="true"/>
        </w:rPr>
        <w:t>شحن الرصيد</w:t>
      </w:r>
      <w:r>
        <w:rPr>
          <w:rtl w:val="true"/>
        </w:rPr>
        <w:t>)</w:t>
      </w:r>
      <w:bookmarkEnd w:id="44"/>
    </w:p>
    <w:p>
      <w:pPr>
        <w:pStyle w:val="Heading6"/>
        <w:numPr>
          <w:ilvl w:val="5"/>
          <w:numId w:val="1"/>
        </w:numPr>
        <w:rPr/>
      </w:pPr>
      <w:bookmarkStart w:id="45" w:name="__RefHeading___Toc2364746_2870459653"/>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وقد حاول البعض</w:t>
      </w:r>
      <w:r>
        <w:rPr>
          <w:rStyle w:val="FootnoteAnchor"/>
          <w:rtl w:val="true"/>
        </w:rPr>
        <w:footnoteReference w:id="2"/>
      </w:r>
      <w:r>
        <w:rPr>
          <w:rFonts w:ascii="Amiri" w:hAnsi="Amiri" w:eastAsia="Amiri" w:cs="Amiri"/>
          <w:color w:val="111111"/>
          <w:sz w:val="28"/>
          <w:sz w:val="28"/>
          <w:szCs w:val="28"/>
          <w:rtl w:val="true"/>
          <w:lang w:bidi="ar-SA"/>
        </w:rPr>
        <w:t>الاستفادة من هذه المزية للأوراق المالية في تنزيل بطاقات شحن الرصيد على كونها سنداً على ضمان المنفعة محسوبة بالدقائق، تلتزم بها شركة الاتصال – على ما سيأتي بيانه – مقابل الثمن الذي تبيع البطاقة به، نافياً قيامها مقام السند على بيع مال معلوم من العملة الدارجة، بذريعة أنّ الشركة لو كانت تقصد بيع المال المسجّل على وجه البطاقة لصحّ دفع البطاقة ثمناً لشراء حاجة معينة، أو وفاءاً لدين يوازي المكتوب عليها، ولمّا لم يصحّ ذلك دلّ على عدم التزام مصدِّرها بالمبلغ المالي النقدي الذي تحمله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ينبغي أن يُعدَّ ما ذكر دليلاً على عدم تقوُّم اعتبارية البطاقة بذاتها بالقيمة النقدية، ولم يقُم الاعتبار المصحّح للعمل بها على إعطائها صفة الماليّة النقديّة، </w:t>
      </w:r>
      <w:bookmarkStart w:id="47" w:name="pg9058_87416"/>
    </w:p>
    <w:p>
      <w:pPr>
        <w:pStyle w:val="BookText"/>
        <w:rPr/>
      </w:pPr>
      <w:bookmarkEnd w:id="47"/>
      <w:r>
        <w:rPr>
          <w:rFonts w:ascii="Amiri" w:hAnsi="Amiri" w:eastAsia="Amiri" w:cs="Amiri"/>
          <w:color w:val="111111"/>
          <w:sz w:val="28"/>
          <w:sz w:val="28"/>
          <w:szCs w:val="28"/>
          <w:rtl w:val="true"/>
          <w:lang w:bidi="ar-SA"/>
        </w:rPr>
        <w:t>بل هي وثيقة على مال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لا يعد القابض لها قابضاً لنفس المال الذي تمثله، ولا تقع بذاتها ثمناً لشيء آخر، إلاّ بلحاظ منفعتها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 لا يلازم أيضاً انتفاء سنديّتها على القيمة النقدية، ويجتمع مع عدها وثيقة أو مفتاحاً للوصول لمال نقدي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راجع إلى نوعية وغرض المعتبر من اعتباره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2364748_2870459653"/>
      <w:bookmarkStart w:id="49" w:name="_Toc17"/>
      <w:bookmarkEnd w:id="48"/>
      <w:r>
        <w:rPr>
          <w:rtl w:val="true"/>
        </w:rPr>
        <w:t>التوجيه الأول لماليّة بطاقة الشحن</w:t>
      </w:r>
      <w:bookmarkEnd w:id="49"/>
    </w:p>
    <w:p>
      <w:pPr>
        <w:pStyle w:val="Heading6"/>
        <w:numPr>
          <w:ilvl w:val="5"/>
          <w:numId w:val="1"/>
        </w:numPr>
        <w:rPr/>
      </w:pPr>
      <w:bookmarkStart w:id="50" w:name="__RefHeading___Toc2364750_2870459653"/>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وبعد هذه المقدمة في تصوير السند المالي لمختلف الاعتبارات القانونيّة التجاريّة التي يصدرها المجتمع العقلائي على هيئات وسندات مختلفة، يقع الكلام في تصوير الغرض الذي من أجله أصدرت بطاقات الشحن في خدمة الاتصال على الهاتف المحمول وغيره، وحقيقة الأصل المالي الذي تمثله والذي سيكون موضوع الأحكام الشرعية للتعاملات التجارية الواقعة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والتصوير الأول قائم على كون المعاوض عليه في تلك البطاقة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المنفعة التي تلتزم بها الشركة المصدِّرة لها، والخدمة المقدرة مقابل ثمن البطاقة، تكتبه على وجه البطاقة، كعشرة آلاف دينار، أو عشرة دولارات، فهي ملزمة مقابل المال الذي تقبضه إزاء ها أن تؤدي خدمة اتصال لساعتين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أكثر محسوبة عندها بمعدل مائة دينار للدقيقة الواحدة مثلاً، وبذلك تكون الشركة قد باعت أو آجرت منفعتها بهذه الطريقة المسماة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بالدفع المسبق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والمعروف بالشرع الإسلامي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الثمن مع ضمان المثمن في الذمة لوقت محدّد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هذه الطريقة من التسهيل في استيفاء أجور المكالمات اعتماداً على الأرقام السرية في سطوح البطاقات بدلاً من العلاقة مع المستفيد مباشرة</w:t>
      </w:r>
      <w:r>
        <w:rPr>
          <w:rFonts w:eastAsia="Amiri" w:cs="Amiri" w:ascii="Amiri" w:hAnsi="Amiri"/>
          <w:color w:val="111111"/>
          <w:sz w:val="28"/>
          <w:szCs w:val="28"/>
          <w:rtl w:val="true"/>
          <w:lang w:bidi="ar-SA"/>
        </w:rPr>
        <w:t xml:space="preserve">. </w:t>
      </w:r>
      <w:bookmarkStart w:id="52" w:name="pg9058_87417"/>
    </w:p>
    <w:p>
      <w:pPr>
        <w:pStyle w:val="BookText"/>
        <w:rPr/>
      </w:pPr>
      <w:bookmarkEnd w:id="52"/>
      <w:r>
        <w:rPr>
          <w:rFonts w:ascii="Amiri" w:hAnsi="Amiri" w:eastAsia="Amiri" w:cs="Amiri"/>
          <w:color w:val="111111"/>
          <w:sz w:val="28"/>
          <w:sz w:val="28"/>
          <w:szCs w:val="28"/>
          <w:rtl w:val="true"/>
          <w:lang w:bidi="ar-SA"/>
        </w:rPr>
        <w:t>ولكن هل المقصود للشركة فعلاً هو ذلك؟ وأنّ موضوع بطاقة الشحن هو المنفعة بلسان المبلغ النقدي؟ وهل يصحّح المُشرِّعُ الإسلامي، وقواعد باب المعاملات السَلَم في المنافع أو بيع المنفعة ؟</w:t>
      </w:r>
    </w:p>
    <w:p>
      <w:p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بناء الشركة في بذلها للمنفعة على نهج واحد، بأن تكون الدقيقة الواحدة من خدمة الاتصال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وبأي جهة كانت من القرب والبعد، والمحلي والدولي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المالية في العوض، أمكن أن تقصد من بطاقاتها دقائق أو ساعات معينة من الخدمة ما دامت المنفعة المبذولة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يمكنها أن تقصد في البطاقات ماليّة منفعة محدّدة بالساعات والدقائق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يمكن بيع هذه المنفعة ببيع البطاقة؛ لأنَّ المنافع لا تقع مثمناً في البيع وإن صحَّ أن تقع أثماناً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هذا التحديد إلى اعتبار العقلاء نفسه، فهم جعلوا الأعيان تُنقل بالبيع والمنافع مورداً للنقل بالإجارة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كاشف عن عدم صحة وقوع المنافع مورداً للبيع، والمفروض أنّ الشارع لم يردع عن هذا البناء منهم وأمضاه بأدلة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 السَلَم مورده الأعيان، فلا مجال للمنافع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الطريف تعبير البعض عن الرصيد ببيع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 لان الدقائق ليست أموراً عينيّة لكي يقع عليها البيع، و المنفعة المحسوبة بها ليست موضوعاً للبيع</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2364752_2870459653"/>
      <w:bookmarkStart w:id="54" w:name="_Toc19"/>
      <w:bookmarkEnd w:id="53"/>
      <w:r>
        <w:rPr>
          <w:rtl w:val="true"/>
        </w:rPr>
        <w:t>التصوير الشرعي لتعجيل دفع أجرة المنفعة</w:t>
      </w:r>
      <w:bookmarkEnd w:id="54"/>
    </w:p>
    <w:p>
      <w:pPr>
        <w:pStyle w:val="BookText"/>
        <w:rPr/>
      </w:pPr>
      <w:r>
        <w:rPr>
          <w:rFonts w:ascii="Amiri" w:hAnsi="Amiri" w:eastAsia="Amiri" w:cs="Amiri"/>
          <w:color w:val="111111"/>
          <w:sz w:val="28"/>
          <w:sz w:val="28"/>
          <w:szCs w:val="28"/>
          <w:rtl w:val="true"/>
          <w:lang w:bidi="ar-SA"/>
        </w:rPr>
        <w:t>وهل هناك مجال للمعاوضة على المنفعة بتعجيل ثمنها وتأجيل استيفائها؟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ويقوم الشرط في الإجارة بتكفل الإلزام بأخذ الأجرة مقدمة على استيفاء المنفعة، فيكون شراء الرصيد في الحقيقة دفعاً مسبقاً لأجور وقت محدد من خدمة الاتصال تلتزم الشركة بالوفاء بها بترقيم الرقم السري على شبكتها، والدفع </w:t>
      </w:r>
      <w:bookmarkStart w:id="55" w:name="pg9058_87418"/>
    </w:p>
    <w:p>
      <w:pPr>
        <w:pStyle w:val="BookText"/>
        <w:rPr/>
      </w:pPr>
      <w:bookmarkEnd w:id="55"/>
      <w:r>
        <w:rPr>
          <w:rFonts w:ascii="Amiri" w:hAnsi="Amiri" w:eastAsia="Amiri" w:cs="Amiri"/>
          <w:color w:val="111111"/>
          <w:sz w:val="28"/>
          <w:sz w:val="28"/>
          <w:szCs w:val="28"/>
          <w:rtl w:val="true"/>
          <w:lang w:bidi="ar-SA"/>
        </w:rPr>
        <w:t>المسبق مشروط على المشترك بمقتضى علمه بطريقة عمل الشركة عندما تعاقد معها على شراء خط من خطوطها ووافق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التصوير يواجه مشكلة تتعلق بمجهولية نوع وكم المنفعة التي يُراد استيفاؤها من الشركة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التعامل قائم على أن يكون هذا الرصيد غطاءً لكل ما يمكن أن يستفيده المشترك من خدمات شركة الاتصال التي قد يستجد بعضها حتى بعد شراء رصيده الذي لم تكن تلك الخدمة الخاصّة منظورة 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ويعارض هذا التصوير ظاهر بناء الشركة المعاملي والتزامها، وسيأتي الكلام عن ذلك</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2364754_2870459653"/>
      <w:bookmarkStart w:id="57" w:name="_Toc20"/>
      <w:bookmarkEnd w:id="56"/>
      <w:r>
        <w:rPr>
          <w:rtl w:val="true"/>
        </w:rPr>
        <w:t>طريقة الجُعالة والإباحة بالعوض</w:t>
      </w:r>
      <w:bookmarkEnd w:id="57"/>
    </w:p>
    <w:p>
      <w:pPr>
        <w:pStyle w:val="BookText"/>
        <w:rPr/>
      </w:pPr>
      <w:r>
        <w:rPr>
          <w:rFonts w:ascii="Amiri" w:hAnsi="Amiri" w:eastAsia="Amiri" w:cs="Amiri"/>
          <w:color w:val="111111"/>
          <w:sz w:val="28"/>
          <w:sz w:val="28"/>
          <w:szCs w:val="28"/>
          <w:rtl w:val="true"/>
          <w:lang w:bidi="ar-SA"/>
        </w:rPr>
        <w:t>وتفادياً لمجهولية المنفعة التي يفترض أن تكون معلومة في الإجارة قد يُصار الى بناء المعاملة على الرصيد على إيقاع الجُعالة، من حيث سعته واحتماله للجهالة في العمل المعاوض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يخطر في البال عَدُّ ما تبذله الشركة من منفعة الاتصال مقابل قيمة الرصيد نوعاً من جعل المنفعة في الذمة لمن يبذل مالاً معيناً معلوماً من طريق فئة البطاقة التي يصدرها الجاعل، فيكون نظير ما ذكره بعض الفقهاء في جعل منفعة الدار جُعلاً لمن يبذل الدراهم</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قد يقال بتنزيل المعاملة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بالعوض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فتبيح الشركة منفعة الاستفادة من شبكتها مشروطة بالمال المبذول إزاء البطاقة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مبتلى أيضاً ببعض المحاذير المشار إليها بطريق الإجارة كما يظهر بالتأمل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الطرق الشرعية المتصورة في المعاوضة على منفعة الاتصال عن طريق ما </w:t>
      </w:r>
      <w:bookmarkStart w:id="58" w:name="pg9058_87419"/>
    </w:p>
    <w:p>
      <w:pPr>
        <w:pStyle w:val="BookText"/>
        <w:rPr/>
      </w:pPr>
      <w:bookmarkEnd w:id="58"/>
      <w:r>
        <w:rPr>
          <w:rFonts w:ascii="Amiri" w:hAnsi="Amiri" w:eastAsia="Amiri" w:cs="Amiri"/>
          <w:color w:val="111111"/>
          <w:sz w:val="28"/>
          <w:sz w:val="28"/>
          <w:szCs w:val="28"/>
          <w:rtl w:val="true"/>
          <w:lang w:bidi="ar-SA"/>
        </w:rPr>
        <w:t>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 المسبق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شراء الرصيد في بطاقة الشحن، بإجراء المعاملة على المنفعة مباشرة من دون توسيط معاملة ماليّة أخرى</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2364756_2870459653"/>
      <w:bookmarkStart w:id="60" w:name="_Toc21"/>
      <w:bookmarkEnd w:id="59"/>
      <w:r>
        <w:rPr>
          <w:rtl w:val="true"/>
        </w:rPr>
        <w:t>المناقشة في وفاء المعاملات المذكورة بمقصود صاحب المنفعة</w:t>
      </w:r>
      <w:bookmarkEnd w:id="60"/>
    </w:p>
    <w:p>
      <w:pPr>
        <w:pStyle w:val="BookText"/>
        <w:rPr/>
      </w:pPr>
      <w:r>
        <w:rPr>
          <w:rFonts w:ascii="Amiri" w:hAnsi="Amiri" w:eastAsia="Amiri" w:cs="Amiri"/>
          <w:color w:val="111111"/>
          <w:sz w:val="28"/>
          <w:sz w:val="28"/>
          <w:szCs w:val="28"/>
          <w:rtl w:val="true"/>
          <w:lang w:bidi="ar-SA"/>
        </w:rPr>
        <w:t>ومع التأمل في طريقة تعامل شركات الاتصال مع المستفيدين منها، والغاية التي من أجلها أصدرت بطاقات الشحن هذه، تضعف الحلول المذكورة من الإجارة والجُعالة وغيرها عن القيام بطريقة عمل الشركات وتحقيق غاياتها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ونركز ذلك في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داع لشركة الاتصال لأن تبني منفعتها على طريقة الرصيد والدفع المسبق هو تعدّد خدماتها، وتباين قيمها وتفاوتها، فإنها تريد أن تأخذ قيماً ماليّة على دقائق الاتصال الخارجي ضعفي أو ثلاثة أضعاف قيمة الدقيقة من الاتصال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خدمة الاتصال بالمكالمات الصوتية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بيانات الإنترنت المحسوبة بالكيلو بايت أو الميكا بايت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بتأدية خدمات أخرى من قبيل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تتقدم إبتداءً واقتراحاً على المشترك بخدمات جديدة كمّاً أو نوعاً، كتحميل النغمات أو تحميل الصور وما شابه ذلك من خدماتهم التي تتسع يومياً، لتخصم أجورها ممّا فرضته من الرصيد مسبقاً إزاء ما دفعه المشترك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وحال الخدمة هذه، أن يكون المال الذي استوفته الشركة لقاء البطاقة هو ما اُدعي من كونه يمثّل ساعتين من وقت الاتصال بمنفعة معلومة، ليصُحَّ تنزيل المعاملة على الإجارة كما هو واضح، فإنَّ من أركان عقد الإجارة فقهياً أن تكون المنفعة معلومة ومضبوطة ومع هذا التفاوت والتعدد، والابتكار والاقتراح للخدمة أحياناً من </w:t>
      </w:r>
    </w:p>
    <w:p>
      <w:pPr>
        <w:pStyle w:val="BookText"/>
        <w:rPr/>
      </w:pPr>
      <w:r>
        <w:rPr>
          <w:rFonts w:ascii="Amiri" w:hAnsi="Amiri" w:eastAsia="Amiri" w:cs="Amiri"/>
          <w:color w:val="111111"/>
          <w:sz w:val="28"/>
          <w:sz w:val="28"/>
          <w:szCs w:val="28"/>
          <w:rtl w:val="true"/>
          <w:lang w:bidi="ar-SA"/>
        </w:rPr>
        <w:t>دون التباني عليها قبل العقد أو البذل للمال، كيف يصح عد ذلك من الإجارة مع مجهولية ما يستوفيه المشترك من طبيعة الخدمة ونوعها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يمكن جعل قيمة البطاقة أُجرة منجّزة لمنفعة مجهولة، بخلاف ما لو كان الاستيفاء الفعلي للخدمات من جهة المشترك مُبرزاً في كل مرة لمعاملة معاطاتيّة تتقاضى الشركة عوضها من مالٍ مُسبق الدفع في ذمة الشركة، فتكون المنفعة وعوضها معلومين مقصودين حين إنشاء التبادل بينهما ولو 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سؤالاً يبرز هنا عن وجه اشتغال ذمة الشركة بالمال الذي تخصم منه أُجور خدماتها في كل مرة طلبت منها الخدمة بأنواعها والمسمى بتداولها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ما دام لم يقع أجرة مقدّمة عن منفعة معلومة في الذمة، أو عملاً ببذل المال، أو إباحة لمال مُعوَّض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التوجيه المناسب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الجُعالة ببذل المنفعة لمن يبذل ويعطي قيمة البطاقة، على أن يكون الجُعْل هو منفعة الاتصال، والعامل هو مَن بذل قيمة البطاقة؛ لتقوّم الجُعالة بتقدّم العمل، والخدمة متأخرة في مقامنا عن البذل المسبق، فالبذل هو الواقع موقع العمل، فذلك وإن كان يُتخلَّص به عن إشكال مجهولية المنفعة في الإجارة لكونها مغتفرة في الجُعالة، خصوصاً من جهة الجُعل لا العمل لكونه معلوماً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بذل مال 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تواجه عدة صعوبات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من عدم انضباط خدمة الشركة كمّاً ونوعاً، واختلاف قيمها بنظرها، ومثل هذه الخدمة لا يمكن بناء الشركة على بذلها بعوض واحد، أو جعلها في الجُعالة ببذل عوض ثابت وهي تريد تعرفتها وتجزئتها بحسب قيمها، وإنّما يصحّ في المنافع التي لا يقصد باذلها كونها مقابل العوض جملة واحدة وإن تفاوتت في القيمة بحسب عمود </w:t>
      </w:r>
    </w:p>
    <w:p>
      <w:pPr>
        <w:pStyle w:val="BookText"/>
        <w:rPr/>
      </w:pPr>
      <w:r>
        <w:rPr>
          <w:rFonts w:ascii="Amiri" w:hAnsi="Amiri" w:eastAsia="Amiri" w:cs="Amiri"/>
          <w:color w:val="111111"/>
          <w:sz w:val="28"/>
          <w:sz w:val="28"/>
          <w:szCs w:val="28"/>
          <w:rtl w:val="true"/>
          <w:lang w:bidi="ar-SA"/>
        </w:rPr>
        <w:t>الزمان أو لم تكن متفاوتة بنوعها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البائع للبطاقة المأخوذة من الجاعل من دون الاستفادة منها – لقيام هذه الخدمة على تداول البطاقات ابتداءً من وكلاء الشركة وصولاً إلى المستفيد النهائي – إنّما يقوم ببيع حقه على الشركة بالانتفاع مقابل عمله ببذل المال إزاء البطاقة التي جعلت الشركة له منفعة الاتصال جعلاً قبال عمله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كما تقدّم عدم جواز بيع المنفعة كما لا يصحّ إيجار المنافع المملوكة المجهولة كمَّاً ونوعاً، إلاّ أن يكون نقل البطاقة من الحائز لها إلى الآخر، هو جعالة أخرى بجعل المنفعة على ذمة الشركة عوضاً وجعلاً لعمل الآخذ لها ببذل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فلا تُمثِّل القيمة المكتوبة على البطاقة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فعلياً في ذمة الشركة، بل منفعة مبذولة تتوصل الشركة لتحديد قيمتها وحدودها بهذه الطريقة، ولتمكّن المستفيد بالتالي من معرفة حدود وطريقة استهلاكه لمنفعته، فإذا أجابه المجيب الآلي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رصيدك أصبح ثمانية آلاف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بالحقيقة يُعلمه بنقصان المنفعة التي له على الشركة بموجب الجعالة بوحدة قياسية معلومة مقدارها الدينار من دون أن يكون له على الشركة ثمانية آلاف دينار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التوجيهات مخالفة لظاهر مقصود المتعاملين بإيقاع المعاملة على نحو البيعيّة، لو ثبت أنّ الشركة تبذل المنفعة مقابل المال فعلاً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الرصيد الافتراضي المذكور في النقطة السابقة لا يناسب ظاهر التزام الشركة المسجَّل في المجيب الآلي عند تعبئة الرصيد في جهاز النقال، أو عند معرفة الرصيد، أو عند الاشتراك في خدمة معينة، فإنَّ ظاهر معنى أنّ رصيدك كذا، أو حسابك كذا هو وجود مال مملوك للمشترك عند الشركة، تُستقطع منه أجور خدماتها، ولا </w:t>
      </w:r>
    </w:p>
    <w:p>
      <w:pPr>
        <w:pStyle w:val="BookText"/>
        <w:rPr/>
      </w:pPr>
      <w:r>
        <w:rPr>
          <w:rFonts w:ascii="Amiri" w:hAnsi="Amiri" w:eastAsia="Amiri" w:cs="Amiri"/>
          <w:color w:val="111111"/>
          <w:sz w:val="28"/>
          <w:sz w:val="28"/>
          <w:szCs w:val="28"/>
          <w:rtl w:val="true"/>
          <w:lang w:bidi="ar-SA"/>
        </w:rPr>
        <w:t>يمكن فهم هذا الحساب على جُعالة المنفعة، أو إباحتها بالعوض، لأنّ المنفعة غير الحساب، فلابُد من وجود نوع آخر من المعاملة أوجبت هذا الرصيد في ذمة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تأملنا في طريقة عمل الشركة لشككنا كثيراً في صدق كون أدائها للمنفعة عوضاً كما صورناها في الجعالة؛ ذلك أنّ الشركة لا ترى نفسها تؤدي خدمة أو منفعة مدينة بها مسبقاً، بل هي تقوم ابتداءً بتلبية الخدمة بحسب طلب المُشترِك، كما تعرض وتتعاطى مع المشترك على خدمات جديدة، من دون سبق التعاقد عليها في معاملة سابقة ولا كانت ملتزمة ببذلها ضمن خدماتها، فإذا وافق المشترك في الثانية، أو بذلت ما طلب المشترك قامت باستيفاء أجورها من المال الذي له في ذمتها بموجب شرائه للرصيد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يُستأنس له من النمط العام العالمي في التعامل ببطاقات الدفع المسبق ومنها بطاقات الائتمان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Credit Cards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إذ إنّ المصدِّر لهذه البطاقة يستخدم الغطاء المالي لصاحبها الموجود في البنك داعماً لها ليغطي مشترياته من المتاجر التي يشتري منها، فإذاً هي قائمة على أن يكون غطاؤها المالي باقياً على ملك المستفيد من البطاقة، ومنه تستقطع أجور المشتريات، وهذا يدعم فكرة قيام بطاقات الشحن على رصيد فعلي حقيقي مملوك للمشترك، لا مجرد رصيد افتراضي اعتبر لأجل حساب حدود المنفعة مقابل قيمة نقديّة معيّنة يدفعها المشترك لشراء البطاقة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مرّ ضعف احتمال قيام الدفع المسبق في بطاقات الشحن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إباحة المنفعة مقابل العوض ولو بعنوان الجُعالة، وبُعد افتراضيّة واعتباريّة الرصيد، وكونه آلة لحساب منفعة الخدمة المقدّمة من الشركة</w:t>
      </w:r>
      <w:r>
        <w:rPr>
          <w:rFonts w:eastAsia="Amiri" w:cs="Amiri" w:ascii="Amiri" w:hAnsi="Amiri"/>
          <w:color w:val="111111"/>
          <w:sz w:val="28"/>
          <w:szCs w:val="28"/>
          <w:rtl w:val="true"/>
          <w:lang w:bidi="ar-SA"/>
        </w:rPr>
        <w:t xml:space="preserve">. </w:t>
      </w:r>
      <w:bookmarkStart w:id="61" w:name="pg9058_87423"/>
    </w:p>
    <w:p>
      <w:pPr>
        <w:pStyle w:val="Heading6"/>
        <w:numPr>
          <w:ilvl w:val="5"/>
          <w:numId w:val="1"/>
        </w:numPr>
        <w:rPr/>
      </w:pPr>
      <w:bookmarkStart w:id="62" w:name="__RefHeading___Toc2364758_2870459653"/>
      <w:bookmarkStart w:id="63" w:name="_Toc22"/>
      <w:bookmarkEnd w:id="61"/>
      <w:bookmarkEnd w:id="62"/>
      <w:r>
        <w:rPr>
          <w:rtl w:val="true"/>
        </w:rPr>
        <w:t>التوجيه الثاني لماليَّة بطاقة الشحن</w:t>
      </w:r>
      <w:bookmarkEnd w:id="63"/>
    </w:p>
    <w:p>
      <w:pPr>
        <w:pStyle w:val="BookText"/>
        <w:rPr/>
      </w:pPr>
      <w:r>
        <w:rPr>
          <w:rFonts w:ascii="Amiri" w:hAnsi="Amiri" w:eastAsia="Amiri" w:cs="Amiri"/>
          <w:color w:val="111111"/>
          <w:sz w:val="28"/>
          <w:sz w:val="28"/>
          <w:szCs w:val="28"/>
          <w:rtl w:val="true"/>
          <w:lang w:bidi="ar-SA"/>
        </w:rPr>
        <w:t xml:space="preserve">وهو قائم على أن يكون المال المدفوع من المشترك لشراء بطاقة الشحن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بالحقيقة ثمن شراء عملة نقديّة، وهي المرقومة على سطح البطاقة بنحو عشرة آلاف دينار أو عشرة دولارات، والغاية من شراء هذا المبلغ النقدي اتخاذ رصيد للمشترك عند الشركة وتأمين غطاء وحساب له عندها ترجع عليه لتخصم منه أجور خدماتها بمختلف تعريفاتها وأنواعها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التوجيه المناسب لواقع إخبار المجيب الآلي الذي تضعه الشركة دالاً على الحساب الفعلي، وهو المُشترى بقيمة البطاقة المشتراة ، والمعوَّض بالعوض المدفوع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نخرج عن الإشكالات المارّة الذكر، ويقع التطابق مع ظاهر التزام الشركة، ومعنى الدفع المسبق المستعمل في مثل هذه التعاملات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تحتاج هذه المعاملة المالية التي آلت إلى شراء مبلغ معين من عملة رائجة إلى 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أنها آلة يتوصل بها إلى دفع أجور خدمات شركة الاتصال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مع هذا القصد من الطرفين، المشترك والشركة لابد أن تقيد المعاملة بشرط يوجّه عدم مطالبة المشتري بنفس المال المشترى، وعدم إلزام الشركة بتوفية المبيع بعنوانه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يعالج ذلك بالشرط المبنيّة عليه المعاملة،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المال المبيع باقياً عند البائع، تُحوَّل عليه كُلَفُ المكالمات وباقي الخدمات مسبوقة الدفع، لا بعنوان توفية المنفعة المملوكة مسبقاً – بمقتضى التصوير الأول – كما توحيه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مسبق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تستقطع بعد تعاطي كل جزء من أجزاء الخدمة من هذا المال المسمى بسبب هذا الشرط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مال مُشترى ليكون رصيداً، نظير المال المودع في </w:t>
      </w:r>
    </w:p>
    <w:p>
      <w:pPr>
        <w:pStyle w:val="BookText"/>
        <w:rPr/>
      </w:pPr>
      <w:r>
        <w:rPr>
          <w:rFonts w:ascii="Amiri" w:hAnsi="Amiri" w:eastAsia="Amiri" w:cs="Amiri"/>
          <w:color w:val="111111"/>
          <w:sz w:val="28"/>
          <w:sz w:val="28"/>
          <w:szCs w:val="28"/>
          <w:rtl w:val="true"/>
          <w:lang w:bidi="ar-SA"/>
        </w:rPr>
        <w:t>البنك ليكون رصيداً لبطاقة الائتمان تستقطع منه قيم المشتريات بتلك البطاقة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هذا الشرط إلزام المشتري بعدم المطالبة بالمال المشترى وإن كان تسليم المبيع ممّا يقتضيه إطلاق العقد في كل معاملة بيع، إلاّ أنّ هذا الشرط مقيد لذلك الإطلاق ، فلا يحق للمشترك المطالبة بالرصيد إذا قرر مثلاً التوقف عن الاتصال واستخدام خدمة الشبكة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استيفاء أجور خدمة الاتصال من ذلك المال فيمكن أن يكون شرطاً في معاملة شراء الخط من تلك الشركة، ويكون ذلك الشرط مقصوداً من الطرفين، إذ كان عمل الشركة مبنياً على تلك الطريقة في استيفاء الأجر، فمشتري الخط ملزم بدفع أجور المكالمات من رصيد يشتريه بعد ذلك، وبنظام الاستقطاع الذي تتكفل به أجهزة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تنزيل امتلاك المشترك في شبكات الاتصال للرصيد المالي على شراء مبلغ من المال في ذمة الشركة بتلك الشروط، هو الأقرب لمقصود الطرفين، ولأهداف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يقع البحث في شرعية المعاملات الواقعة على هذا الرصيد في أربع مسائل والمعاملات الشائعة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الرصيد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الرصيد بثمن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الرصيد مؤجلاً بثمن معجّل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الرصيد بين المشتركين</w:t>
      </w:r>
      <w:r>
        <w:rPr>
          <w:rFonts w:eastAsia="Amiri" w:cs="Amiri" w:ascii="Amiri" w:hAnsi="Amiri"/>
          <w:color w:val="111111"/>
          <w:sz w:val="28"/>
          <w:szCs w:val="28"/>
          <w:rtl w:val="true"/>
          <w:lang w:bidi="ar-SA"/>
        </w:rPr>
        <w:t xml:space="preserve">. </w:t>
      </w:r>
      <w:bookmarkStart w:id="64" w:name="pg9058_87425"/>
    </w:p>
    <w:p>
      <w:pPr>
        <w:pStyle w:val="Heading4"/>
        <w:numPr>
          <w:ilvl w:val="3"/>
          <w:numId w:val="1"/>
        </w:numPr>
        <w:rPr/>
      </w:pPr>
      <w:bookmarkStart w:id="65" w:name="__RefHeading___Toc2364760_2870459653"/>
      <w:bookmarkStart w:id="66" w:name="_Toc23"/>
      <w:bookmarkEnd w:id="64"/>
      <w:bookmarkEnd w:id="65"/>
      <w:r>
        <w:rPr>
          <w:rtl w:val="true"/>
        </w:rPr>
        <w:t xml:space="preserve">المسالة الأولى </w:t>
      </w:r>
      <w:r>
        <w:rPr>
          <w:rtl w:val="true"/>
        </w:rPr>
        <w:t xml:space="preserve">: </w:t>
      </w:r>
      <w:r>
        <w:rPr>
          <w:rtl w:val="true"/>
        </w:rPr>
        <w:t xml:space="preserve">بيع الرصيد نقداً </w:t>
      </w:r>
      <w:r>
        <w:rPr>
          <w:rtl w:val="true"/>
        </w:rPr>
        <w:t>(</w:t>
      </w:r>
      <w:r>
        <w:rPr>
          <w:rtl w:val="true"/>
        </w:rPr>
        <w:t>يداً بيد</w:t>
      </w:r>
      <w:r>
        <w:rPr>
          <w:rtl w:val="true"/>
        </w:rPr>
        <w:t>)</w:t>
      </w:r>
      <w:bookmarkEnd w:id="66"/>
    </w:p>
    <w:p>
      <w:pPr>
        <w:pStyle w:val="BookText"/>
        <w:rPr/>
      </w:pPr>
      <w:r>
        <w:rPr>
          <w:rFonts w:ascii="IRNazanin" w:hAnsi="IRNazanin" w:eastAsia="IRNazanin"/>
          <w:color w:val="111111"/>
          <w:sz w:val="28"/>
          <w:sz w:val="28"/>
          <w:szCs w:val="28"/>
          <w:rtl w:val="true"/>
          <w:lang w:bidi="fa-IR"/>
        </w:rPr>
        <w:t xml:space="preserve">لمّا تبين أنّ الرصيد هو مال نقدي بالعملة الورقية، فمعاملات البيع والشراء على بطاقات الشحن الدارجة تكون من نوع بيع الأوراق النقدية بجنسها متفاضلاً لو كان الرصيد فيها والثمن المشتراة به متحداً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كالدينار العراقي أو الدولار الأمريكي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أي عملة أخرى، ولا إشكال في هذه المعاملة مع فرض وقوعها نقداً من دون تأجيل الثمن ولا المثمن، فإنّ الجنس هنا وإن كان واحداً مع الزيادة عادة في طرف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فتشترى البطاقة من فئة عشرة آلاف دينار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عشر ألف أو 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المعاملة ليست مورداً للربا، بعد أن لم يكن المبيع مكيلاً ولا موزوناً، ولا ربا إلاّ في مكيل أو موزون كما جاء في النص، ففي صحيح 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يكون الربا إلاّ فيما يكال أو يوزن</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وبنفس النص صحيح زرارة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اُستشكل في المعاملة على غير المكيل والموزون نسيئة، بأن يؤجل الثمن من نفس جنس المعدود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لا يكال ولا 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اُستشكل من جهة الربا في النسيئة؛ لورود بعض النصوص بالنهي عنه، وسيأتي الحديث فيه، إلّا إنّه لم يستشكل أحد في جواز بيع المعدود بالمعدود نقداً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صحيح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البعير بالبعيرين، والدابة بالدابتين يداً بيد 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موثّق سُماعة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بيع الحيوان اثنين بواحد؟ فقال</w:t>
      </w:r>
      <w:r>
        <w:rPr>
          <w:rFonts w:eastAsia="IRNazanin" w:cs="IRNazanin"/>
          <w:color w:val="111111"/>
          <w:sz w:val="28"/>
          <w:szCs w:val="28"/>
          <w:rtl w:val="true"/>
          <w:lang w:bidi="fa-IR"/>
        </w:rPr>
        <w:t xml:space="preserve">: </w:t>
      </w:r>
      <w:bookmarkStart w:id="67" w:name="pg9058_87426"/>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سُميت الثمن فلا بأس</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تنقل المخالفة عن العلماء إلّا عن المفيد في المقنعة، وأبي علي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وسلّار، فقد حكي عنهم أن حكم المعدود حكم المكيل والموزون، فلا يجوز التفاضل في المتجانسين مطلقاً نقداً ونسيئة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بعد دلالة النصوص وصراحتها، ومخالفة من عداهم، ومنهم الشيخ، والعلاّمة، والمحقّق، وغيرهم، وإمكان حمل كلامهم على النسيئة لتصريح المفيد في المقنعة بالجواز، كل ذلك لا يبقي مجالاً للشك في الجواز</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2364762_2870459653"/>
      <w:bookmarkStart w:id="69" w:name="_Toc24"/>
      <w:bookmarkEnd w:id="68"/>
      <w:r>
        <w:rPr>
          <w:rtl w:val="true"/>
        </w:rPr>
        <w:t>المسألة الثانية</w:t>
      </w:r>
      <w:r>
        <w:rPr>
          <w:rtl w:val="true"/>
        </w:rPr>
        <w:t xml:space="preserve">: </w:t>
      </w:r>
      <w:r>
        <w:rPr>
          <w:rtl w:val="true"/>
        </w:rPr>
        <w:t xml:space="preserve">بيع الرصيد بثمن مؤجل </w:t>
      </w:r>
      <w:r>
        <w:rPr>
          <w:rtl w:val="true"/>
        </w:rPr>
        <w:t>(</w:t>
      </w:r>
      <w:r>
        <w:rPr>
          <w:rtl w:val="true"/>
        </w:rPr>
        <w:t>نسيئةً</w:t>
      </w:r>
      <w:r>
        <w:rPr>
          <w:rtl w:val="true"/>
        </w:rPr>
        <w:t>)</w:t>
      </w:r>
      <w:bookmarkEnd w:id="69"/>
    </w:p>
    <w:p>
      <w:pPr>
        <w:pStyle w:val="Heading5"/>
        <w:numPr>
          <w:ilvl w:val="4"/>
          <w:numId w:val="1"/>
        </w:numPr>
        <w:rPr/>
      </w:pPr>
      <w:bookmarkStart w:id="70" w:name="__RefHeading___Toc2364764_2870459653"/>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بأن يقبض المشتري الكارت أو بطاقة الرصيد، ويكون ثمنه مؤجلاً إلى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وهي الصورة المشكلة، والتي وقع الكلام في جوازها وعدمه، والإشكال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الرصيد بثمن مؤجّل هو بيع لمال من فئة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الرصيد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 آخر، إن كان من جنسه فهو داخل تحت مسألة بيع المعدود بجنسه نسيئة مع التفاضل بينهما؛ لأنّ المال هنا هو العملة المتداولة الورقيّة وهي من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وإنْ كان على جواز بيع المعدود نسيئة، إلّا أنّه خالف جماعة في ذلك؛ لظهور بعض الأخبار في المنع لعلة الربا في المعدود الذي هو ظاهر جماعة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لم يكن الثمن المشترى به الرصيد من جنس العملة التي ضرب بها الرصيد، كما لو كان الرصيد بالدولار والثمن بالدينار العراقي، فهنا لا يوجد محذور أو إشكال بيع المعدود بجنسه، لاختلاف جنس العُملتين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إشكال الربا في النسيئة </w:t>
      </w:r>
      <w:bookmarkStart w:id="72" w:name="pg9058_87427"/>
    </w:p>
    <w:p>
      <w:pPr>
        <w:pStyle w:val="BookText"/>
        <w:rPr/>
      </w:pPr>
      <w:bookmarkEnd w:id="72"/>
      <w:r>
        <w:rPr>
          <w:rFonts w:ascii="Amiri" w:hAnsi="Amiri" w:eastAsia="Amiri" w:cs="Amiri"/>
          <w:color w:val="111111"/>
          <w:sz w:val="28"/>
          <w:sz w:val="28"/>
          <w:szCs w:val="28"/>
          <w:rtl w:val="true"/>
          <w:lang w:bidi="ar-SA"/>
        </w:rPr>
        <w:t>مع اختلاف الجنس في المعدود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يبرز إشكال آخر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الرصيد الذي تبيعه الشركة في ذمتها يمثِّل ديناً عليها لمن يملك بطاقة الرصيد، فإذا أراد بيع هذه البطاقة بالثمن الآجل كان داخلاً في مسألة بيع الدين بالدين المجمع على عدم جوازه، وسيأتي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الثمن ديناً فواضح؛ لأنّه يبيع بثمن مؤجل، وأمّا كون المبيع ديناً، فلأنَّ البائع للرصيد يبيع مالاً ديناً على ذمَّة الشركة بمقتضى إصدارها لهذه البطاقات كوثائق على بيعها للمال الكلي في ذمتها كغطاء لها حين إصدارها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من يريد بيع مائة ألف دينار عراقي له – مثلاً – في ذمة زيد حالّة بمائتي الف دينار عراقي، أو من فئة أخرى مؤجلة، فإنّه من بيع الدين بالدين الذي جاء النص بتحريمه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مشترك الورود في حالتي بيع الرصيد بالآجل من جنسه ومن غيره</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2364766_2870459653"/>
      <w:bookmarkStart w:id="74" w:name="_Toc26"/>
      <w:bookmarkEnd w:id="73"/>
      <w:r>
        <w:rPr>
          <w:rtl w:val="true"/>
        </w:rPr>
        <w:t>بحث الجهة الأولى في المسألة الثانية</w:t>
      </w:r>
      <w:bookmarkEnd w:id="74"/>
    </w:p>
    <w:p>
      <w:pPr>
        <w:pStyle w:val="Heading6"/>
        <w:numPr>
          <w:ilvl w:val="5"/>
          <w:numId w:val="1"/>
        </w:numPr>
        <w:rPr/>
      </w:pPr>
      <w:bookmarkStart w:id="75" w:name="__RefHeading___Toc2364768_2870459653"/>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وتفصيل القول في هذه الجهة من المسألة، أنّ في بيع المعدود بجنسه متفاضلاً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جواز بيع المعدود بجنسه متفاضلاً نسيئةً كبيع ثوب بثوبين وبيضة ببيضتين وبعير ببعيرين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جماعة من حرمة ذلك اعتماداً على بعض الأخبار، وهو ما ذهب إليه الشيخ المفيد، وابن الجنيد، وسلّار، والشيخ الطوسي في بعض كتبه، وابنا حمزة وزُهرة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ما لا يكال، ولا يوزن فلا بأس بالتفاضل فيه يداً بيد والجنس واحد، ولا يجوز ذلك نسيئة مثل ثوب بثوبين، ودابة بدابتين، ودار بدارين، وعبد بعبدين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الوسيلة لابن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التبايع فيه – يعني المعدود– متماثلاً ومتفاضلاً نقداً لا نسيئة، إذا كان من جنس واحد مثل بيضة ببيضتين، وجوزة بجوزتين وحُلّة بحُلّتين، فإنْ اختلف الجنس، جاز التفاضل فيه نقداً ونسيئة</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زُهرة فقال في كتابه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الحيوان بالحيوان متماثلاً أو متفاضلاً سواء كان صحيحاً أو كسيراً نقداً، ولا يجوز ذلك نسيئةً في الظاهر من روايات أصحابنا، وطريقة الاحتياط تقتضي المنع منه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عدُّ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المائلين الى الحرمة، إذ نقل كلاماً لعلي بن إبراهيم – شيخه الذي يروي عنه كثيراً في كتابه – نصَّ فيه على الكراهة، ولم يعلِّق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بلسان القدماء كلسان الروايات ظاهر في عدم الجواز، إلّا أن يخرج عنه بقرينة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هؤلاء ذهب الأكثر إلى جواز بيع المعدود بمثله نسيئة مع التفاضل، وللشيخ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كتابه الخلاف يمنع فيه بيع الثياب والحيوان ببعضه نسيئة ولو مع عدم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كلاماً بعده يصرّح فيه بجواز بيع المعدود متفاضلاً نسيئة نافياً كونه من الربا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 بالثياب والحيوان بالحيوان لا يجوز بيع بعضه ببعض نسيئة متماثلاً ولا متفاضلاً، ويجوز ذلك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نقداً ونسيئة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أنّا اجمعنا على جواز ذلك نقداً، ولا دليل على جوازه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وطريقة الاحتياط تقتضي المنع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بيّنا أنّه لا ربا إلاّ فيما يكال أو يوزن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في المعدودات، ويجوز بيع بعضها ببعض متماثلاً ومتفاضلاً، نقداً ونسيئة، وللشافعي فيه قولاًن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الآية، وأيضاً الأصل الإباحة، والمنع يحتاج إلى دليل، وأيضاً عليه إجماع الفرقة، وأخبارهم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يوافق ابن إدريس ولا الشهيد الأول في الدروس الشيخَ في كلامه الأول، فاعتبر ابن إدريس اختيار الشيخ الجواز في بيع نسيئة المعدود بمثله متفاضلاً، رجوعاً عن فتواه في النهاية بعدم الجواز،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بالكراهة هو الحق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اعتبر الشهيد حكم الشيخ في الخلاف بعدم الجواز في الثياب والحيوان بأنّه مبالغة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 الرباء في المعدودات قولان أشهرهما الكراهية لصحيحة محمد بن مسلم، وزرارة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خيرة المفيد، وسلّار،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 على قاطع – أي دليل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تفاضل المعدودان نسيئة ففيه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والأقرب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 الخلاف حيث منع من بيع الثياب والحيوان بالحيوان نسيئة متماثلاً ولا متفاضلاً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فهناك دعوى الإجماع على أنّ المعدود لا يدخل في الربويّات، وقد سمعت قول الشيخ في الخلاف بالنفي وكذلك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العلّامة في التذكرة وفي القواعد، وفي المختلف بذلك، وتبعه الكركي في جامع المقاصد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وهل يثبت الربا مع التقدير بالعدد؟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عملاً بالأصل، ولقول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يكون الربا إلاّ فيما يُكال أو يوزن</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إرشاد الأذهان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يدخله الكيل والوزن فلا ربا فيه كثوب بثوبين ودابة بدابتين، ودار بدارين، وبيضة ببيضتين، وقيل يثبت الربا في المعدود</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القول الآخر بتحقق الربا في المعدود هو ظاهر المنع عن بيع المعدود ببعضه متفاضلاً نسيئة، كما ورد في بعض الروايات، فلذا تجد كلمات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في كتبه، وحتى العلّامة الذي حكم بانحصار الربا في المكيل والموزون في التذكرة، والقواعد، احتمل تحقّقه في المعدود في بعض كتبه وجعله قولاً، كما رأيت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أنهم اعتمدوا على الحصر الوارد في كلام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السابقة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أن القدماء القائلين بتحقق الربا في المعدود من ظاهر منعهم لبيع المعدود ببعضه نسيئة مع التفاضل بينهما اعتمدوا على بعض الأخبار، والظاهر أن </w:t>
      </w:r>
      <w:bookmarkStart w:id="77" w:name="pg9058_87431"/>
    </w:p>
    <w:p>
      <w:pPr>
        <w:pStyle w:val="BookText"/>
        <w:rPr/>
      </w:pPr>
      <w:bookmarkEnd w:id="77"/>
      <w:r>
        <w:rPr>
          <w:rFonts w:ascii="Amiri" w:hAnsi="Amiri" w:eastAsia="Amiri" w:cs="Amiri"/>
          <w:color w:val="111111"/>
          <w:sz w:val="28"/>
          <w:sz w:val="28"/>
          <w:szCs w:val="28"/>
          <w:rtl w:val="true"/>
          <w:lang w:bidi="ar-SA"/>
        </w:rPr>
        <w:t>الحق معهم كما سيظهر من البحث القادم في الروايات</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364770_2870459653"/>
      <w:bookmarkStart w:id="79" w:name="_Toc28"/>
      <w:bookmarkEnd w:id="78"/>
      <w:r>
        <w:rPr>
          <w:rtl w:val="true"/>
        </w:rPr>
        <w:t>موقف الجمهور من بيع الأجناس بنفسها متفاضلة نسيئة</w:t>
      </w:r>
      <w:bookmarkEnd w:id="79"/>
    </w:p>
    <w:p>
      <w:pPr>
        <w:pStyle w:val="Heading6"/>
        <w:numPr>
          <w:ilvl w:val="5"/>
          <w:numId w:val="1"/>
        </w:numPr>
        <w:rPr/>
      </w:pPr>
      <w:bookmarkStart w:id="80" w:name="__RefHeading___Toc2364772_2870459653"/>
      <w:bookmarkStart w:id="81" w:name="_Toc29"/>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وننقل هنا ما حصلنا عليه من آرائهم كما جاء في كتاب المغني لابن قُدامة، لما في ذلك من مدخلية في الجمع بين رواياتنا في هذا الموضوع،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الرواية في تحريم النساء في غير المكيل والموزون على 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النساء في شيء من ذلك سواء بيع بجنسه أو بغيره، متساوياً أو متفاضلاً، إلّا على قولنا أنّ العلّة الطعم، فيحرم النساء في المطعوم، ولا يحرم في غيره وهذا مذهب الشافعي، واختار القاضي هذه الرواية لما روى أبو داود عن عبد الله بن عمرو أنّ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يجهز جيشاً فنفدت الإبل، فأمره أن يأخذه في قِلاص الصدقة، فكان يأخذ البعير بالبعيرين إلى إبل الصدقة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سعيد في سننه عن ابن معشر، عن صالح بن كيسان، عن الحسن بن محمّد أنّ علياً باع بعيراً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أبعرة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ولأنّهما مالان لا يجري فيهما ربا الفضل فجاز النساء فيهما كالعَرَض بالدينار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قدامة في شرح قول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جنسين فجائز التفاضل فيه يداً بيد ولا يجوز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جواز</w:t>
      </w:r>
    </w:p>
    <w:p>
      <w:pPr>
        <w:pStyle w:val="BookText"/>
        <w:rPr/>
      </w:pPr>
      <w:r>
        <w:rPr>
          <w:rFonts w:ascii="IRNazanin" w:hAnsi="IRNazanin" w:eastAsia="IRNazanin"/>
          <w:color w:val="111111"/>
          <w:sz w:val="28"/>
          <w:sz w:val="28"/>
          <w:szCs w:val="28"/>
          <w:rtl w:val="true"/>
          <w:lang w:bidi="fa-IR"/>
        </w:rPr>
        <w:t>التفاضل في الجنسين نعلمه، إلاّ عن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الحكم بروايتهم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خلاف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اختلفت هذه الأصناف فبيعوا كيف شئتم يداً بيد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القول بحرمة النسيئة في كلّ مال بيع بجنسه، كالحيوان بالحيوان والثياب بالثياب إلى أبي حنيفة، ونسبوا كراهية بيع الحيوان بالحيوان نساءً إلى عبد الله بن </w:t>
      </w:r>
    </w:p>
    <w:p>
      <w:pPr>
        <w:pStyle w:val="BookText"/>
        <w:rPr/>
      </w:pPr>
      <w:r>
        <w:rPr>
          <w:rFonts w:ascii="IRNazanin" w:hAnsi="IRNazanin" w:eastAsia="IRNazanin"/>
          <w:color w:val="111111"/>
          <w:sz w:val="28"/>
          <w:sz w:val="28"/>
          <w:szCs w:val="28"/>
          <w:rtl w:val="true"/>
          <w:lang w:bidi="fa-IR"/>
        </w:rPr>
        <w:t xml:space="preserve">عمرو وعطاء وعكرمة بن خالد وابن سيرين والثوري، ورووا عن سمرة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نهيه عن بيع الحيوان نسيئة وصحّحه الترمذي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يحرم النساء إلّا فيما بيع بجنسه متفاضلاً، ورووا عن جابر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الحيوان اثنين بواحد لا يصلح نساءً ولا بأس به 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النساء في كلّ مالٍ بيع بمالٍ آخر، تساوى الجنس أو 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ووصفت هذه الرواية بالضعف</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وصف ابن قدامة أنّ العلّة في تحريم الربا في خصوص المطعوم من المكيل أو الموزون دون مطلق المطعوم، وكونها قول أكثر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بدائع الصنائع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المعدودات المتقاربة من غير المطعومات بجنسها متفاضلاً عند أبي حنيفة، وأبي يوسف بعد أن يكون يداً بيد، كبيع الفلس بالفلسين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على هذه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 الروايات الأولى، ونقل عن أحمد بن حنبل أنّ الأحاديث المخالفة لها غير معتمدة، وهي ما بين الإرسال، والزيادة في بعضها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الذي وصف بالواهي الحديث وإن كان صَدوقاً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بالتحريم في النسيئة ببيع مطلق الأجناس بجنسها متفاضلاً لم يصدر إلّا من أبي حنيفة وأتباع مدرسته، مع أنّ الرواية الّتي رووها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النهي </w:t>
      </w:r>
      <w:bookmarkStart w:id="82" w:name="pg9058_87433"/>
    </w:p>
    <w:p>
      <w:pPr>
        <w:pStyle w:val="BookText"/>
        <w:rPr/>
      </w:pPr>
      <w:bookmarkEnd w:id="82"/>
      <w:r>
        <w:rPr>
          <w:rFonts w:ascii="IRNazanin" w:hAnsi="IRNazanin" w:eastAsia="IRNazanin"/>
          <w:color w:val="111111"/>
          <w:sz w:val="28"/>
          <w:sz w:val="28"/>
          <w:szCs w:val="28"/>
          <w:rtl w:val="true"/>
          <w:lang w:bidi="fa-IR"/>
        </w:rPr>
        <w:t xml:space="preserve">جاءت في خصوص بيع الحيوان بجنسه، وهي الّتي صحّحها الترمذي، وهي معارضة في موردها بما ذهب إليه الأكثر من الجواز اعتماداً على ما نقلوه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مرَّ في 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الأكثر وإنْ كان بعضهم قائلاً بالكراهة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الجمهور حكمهم بالجواز بما رووه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جاء في 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اختلفت هذه الأصناف فبيعوا كيف شئتم 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منهم أنّهم غير عاملين بمفهوم الوصف؛ لأنَّ الرواية فيها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يجوّزون بيع مطلق الأصناف متفاضلاً حتى نسيئة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فينبغي استعراض الأخبار في المسألة لمعرفة ما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تقسيمها إلى طوائف خمسة</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2364774_2870459653"/>
      <w:bookmarkStart w:id="84" w:name="_Toc30"/>
      <w:bookmarkEnd w:id="83"/>
      <w:r>
        <w:rPr>
          <w:rtl w:val="true"/>
        </w:rPr>
        <w:t>الطائفة الأولى</w:t>
      </w:r>
      <w:r>
        <w:rPr>
          <w:rtl w:val="true"/>
        </w:rPr>
        <w:t xml:space="preserve">: </w:t>
      </w:r>
      <w:r>
        <w:rPr>
          <w:rtl w:val="true"/>
        </w:rPr>
        <w:t>تدل على جواز بيع المعدود بجنسه متفاضلاً مطلقاً</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منصور بن حازم سأل الإمام الباقر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البيضة بالبيضتين؟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والثوب بالثوبين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والفرس بالفرسين؟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يُكال أو يوزن فلا يصلح مثلين بمثل إذا كان من جنس واحد، فإذا كان لا يكال ولا يوزن فليس به بأس اثنان بواحد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بالثوب بالثوبين</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 الله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 بالثوب بالثوبين إذا وصفت الطول فيه والعرض</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85" w:name="pg9058_87434"/>
    </w:p>
    <w:p>
      <w:pPr>
        <w:pStyle w:val="Heading6"/>
        <w:numPr>
          <w:ilvl w:val="5"/>
          <w:numId w:val="1"/>
        </w:numPr>
        <w:rPr/>
      </w:pPr>
      <w:bookmarkStart w:id="86" w:name="__RefHeading___Toc2364776_2870459653"/>
      <w:bookmarkStart w:id="87" w:name="_Toc31"/>
      <w:bookmarkEnd w:id="85"/>
      <w:bookmarkEnd w:id="86"/>
      <w:r>
        <w:rPr>
          <w:rtl w:val="true"/>
        </w:rPr>
        <w:t>الطائفة الثانية</w:t>
      </w:r>
      <w:r>
        <w:rPr>
          <w:rtl w:val="true"/>
        </w:rPr>
        <w:t xml:space="preserve">: </w:t>
      </w:r>
      <w:r>
        <w:rPr>
          <w:rtl w:val="true"/>
        </w:rPr>
        <w:t>تدل على جواز بيع المعدود بجنسه متفاضلاً نقداً</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المشايخ الثلاثة في الصحيح عن جميل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البعير بالبعيرين، والدابة بالدابتين يداً بيد ليس به بأس</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الجميع ينتهي إلى صفوان، وابن أبي عمير عن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لكن الفقيه زاد بعد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باس بالثوب بالثوبين يداً بيد ونسيئة إذا وصفتهما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عبد الرحمن بن أبي عبد الله المروي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بالعبدين، والعبد بالعبد والدراهم؟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بالحيوان كله يداً بيد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 w:name="__RefHeading___Toc2364778_2870459653"/>
      <w:bookmarkStart w:id="89" w:name="_Toc32"/>
      <w:bookmarkEnd w:id="88"/>
      <w:r>
        <w:rPr>
          <w:rtl w:val="true"/>
        </w:rPr>
        <w:t>الطائفة الثالثة</w:t>
      </w:r>
      <w:r>
        <w:rPr>
          <w:rtl w:val="true"/>
        </w:rPr>
        <w:t xml:space="preserve">: </w:t>
      </w:r>
      <w:r>
        <w:rPr>
          <w:rtl w:val="true"/>
        </w:rPr>
        <w:t>تدل على الجواز نسيئة</w:t>
      </w:r>
      <w:bookmarkEnd w:id="89"/>
    </w:p>
    <w:p>
      <w:pPr>
        <w:pStyle w:val="BookText"/>
        <w:rPr/>
      </w:pPr>
      <w:r>
        <w:rPr>
          <w:rFonts w:ascii="IRNazanin" w:hAnsi="IRNazanin" w:eastAsia="IRNazanin"/>
          <w:color w:val="111111"/>
          <w:sz w:val="28"/>
          <w:sz w:val="28"/>
          <w:szCs w:val="28"/>
          <w:rtl w:val="true"/>
          <w:lang w:bidi="fa-IR"/>
        </w:rPr>
        <w:t xml:space="preserve">وتنحصر في رواية واحدة هي رواية الشيخ الصدوق لصحيح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الطائفة السابقة على تقدير كون ما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بالثوب بالثوبين يداً بيد ونسيئة إذا وصفتهما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على الرواية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تقدير كون هذه الزيادة رواية أخرى عطفها على الرواية الأولى، فهي مرسلة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 في الفقيه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سنده إلى جميل بن دراج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البعير بالبعيرين والدابة بالدابتين يداً بيد 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بالثوب بالثوبين يداً بيد ونسيئة إذا وصفتهما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90" w:name="pg9058_87435"/>
    </w:p>
    <w:p>
      <w:pPr>
        <w:pStyle w:val="Heading6"/>
        <w:numPr>
          <w:ilvl w:val="5"/>
          <w:numId w:val="1"/>
        </w:numPr>
        <w:rPr/>
      </w:pPr>
      <w:bookmarkStart w:id="91" w:name="__RefHeading___Toc2364780_2870459653"/>
      <w:bookmarkStart w:id="92" w:name="_Toc33"/>
      <w:bookmarkEnd w:id="90"/>
      <w:bookmarkEnd w:id="91"/>
      <w:r>
        <w:rPr>
          <w:rtl w:val="true"/>
        </w:rPr>
        <w:t>الطائفة الرابعة</w:t>
      </w:r>
      <w:r>
        <w:rPr>
          <w:rtl w:val="true"/>
        </w:rPr>
        <w:t xml:space="preserve">: </w:t>
      </w:r>
      <w:r>
        <w:rPr>
          <w:rtl w:val="true"/>
        </w:rPr>
        <w:t>تدل على عدم جواز بيع المعدود متفاضلاً بجنسه نسيئة</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سعيد بن يسار الذي رواه المشايخ الثلاثة، فبطريقٍ صحيحٍ في التهذيب عن سعيد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البعير بالبعيرين يداً بيد ونسيئة،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سميت الأسنان جذعين وثنيين، ثم أمرني فخططت على النسيئة</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الفقيه زاد بعد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الناس يقولون لا، وإنّما 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بسند الشيخ عن الحسين بن سعيد، عن صفوان عن ابن مُسكان،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من طعام مختلف أو متاع أو شيء من الأشياء يتفاضل فلا بأس ببيعه مثلين بمثل يداً بيد، فأمّا نظرة فلا يصلح</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الرواية قد تُذكر في عداد الروايات الدالّة على النهي عن التفاضل في بيع الأجناس ببعضها نسيئة في حال اختلاف الجنسين،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كان من طعام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فحملت المعطوفات على تلك العبارة على صورة الاختلاف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القول بأنّه لا دليل على كون المقصود بالمعطوف حالة الاختلاف أيضاً، بل هي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والقرينة على ذلك أنّ ذكر الاختلاف بالنسبة للطعام من جهة خصوصية في الطعام، وهي معروفية اشتراط اتّحاد الجنس في تحقّق الربا في ما يكال منه، كالحبوب مثل الحنطة والشعير، فسيق البيان للتنبيه على استثناء صورة النسيئة من الحكم بعدم الربا عند اختلاف الجنسين</w:t>
      </w:r>
      <w:r>
        <w:rPr>
          <w:rFonts w:eastAsia="IRNazanin" w:cs="IRNazanin"/>
          <w:color w:val="111111"/>
          <w:sz w:val="28"/>
          <w:szCs w:val="28"/>
          <w:rtl w:val="true"/>
          <w:lang w:bidi="fa-IR"/>
        </w:rPr>
        <w:t xml:space="preserve">. </w:t>
      </w:r>
      <w:bookmarkStart w:id="93" w:name="pg9058_87436"/>
    </w:p>
    <w:p>
      <w:pPr>
        <w:pStyle w:val="BookText"/>
        <w:rPr/>
      </w:pPr>
      <w:bookmarkEnd w:id="93"/>
      <w:r>
        <w:rPr>
          <w:rFonts w:ascii="Amiri" w:hAnsi="Amiri" w:eastAsia="Amiri" w:cs="Amiri"/>
          <w:color w:val="111111"/>
          <w:sz w:val="28"/>
          <w:sz w:val="28"/>
          <w:szCs w:val="28"/>
          <w:rtl w:val="true"/>
          <w:lang w:bidi="ar-SA"/>
        </w:rPr>
        <w:t>أما باقي المذكورات فلم يعلم كونها من المكيل أو الموزون، ولا يحتمل ذلك أيضاً ليقيّد عدم الجواز فيها بالاختلاف في الجنس، فلا خصوصيّة للاختلاف فيها ليحمل الحكم عليه، كما أنّه من البعيد التفصيل بين صورة التفاضل في المعدود مع الاختلاف فينهى عنه، وبين صورة الاتّحاد لكي يحتمل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يذهب أحد إلى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يمكن عدّها من الروايات الدالّة على النهي عن بيع المعدود بالمعدود نسيئة مع التفاضل مطلقاً، اختلف الجنس أو اتفق، وفساد ذلك البيع</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2364782_2870459653"/>
      <w:bookmarkStart w:id="95" w:name="_Toc34"/>
      <w:bookmarkEnd w:id="94"/>
      <w:r>
        <w:rPr>
          <w:rtl w:val="true"/>
        </w:rPr>
        <w:t xml:space="preserve">الطائفة الخامسة </w:t>
      </w:r>
      <w:r>
        <w:rPr>
          <w:rtl w:val="true"/>
        </w:rPr>
        <w:t xml:space="preserve">: </w:t>
      </w:r>
      <w:r>
        <w:rPr>
          <w:rtl w:val="true"/>
        </w:rPr>
        <w:t>تدل على عدم جواز بيع المعدود متفاضلاً بجنسه مطلقاً</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الطوسي في التهذيب عن الحسين بن سعيد، عن حماد بن عيسى، عن حريز،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الثوبين الرديئين بالثوب المرتفع، والبعير بالبعيرين، والدابّة بالدابّتين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كره ذلك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نكرهه إلّا أن يختلف الصنفان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الإبل والبقر والغنم أو أحدهن في هذا الباب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نكرهه</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عن الرجل يقول عاوضني بفرسي فرسك وأزيدك؟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يصلح، ولكن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فرسك بكذا وكذا وأعطيك فرسي بكذا وكذا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96" w:name="pg9058_87437"/>
    </w:p>
    <w:p>
      <w:pPr>
        <w:pStyle w:val="Heading6"/>
        <w:numPr>
          <w:ilvl w:val="5"/>
          <w:numId w:val="1"/>
        </w:numPr>
        <w:rPr/>
      </w:pPr>
      <w:bookmarkStart w:id="97" w:name="__RefHeading___Toc2364784_2870459653"/>
      <w:bookmarkStart w:id="98" w:name="_Toc35"/>
      <w:bookmarkEnd w:id="96"/>
      <w:bookmarkEnd w:id="97"/>
      <w:r>
        <w:rPr>
          <w:rtl w:val="true"/>
        </w:rPr>
        <w:t>مناقشة الروايات في المسألة</w:t>
      </w:r>
      <w:bookmarkEnd w:id="98"/>
    </w:p>
    <w:p>
      <w:pPr>
        <w:pStyle w:val="BookText"/>
        <w:rPr/>
      </w:pPr>
      <w:r>
        <w:rPr>
          <w:rFonts w:ascii="Amiri" w:hAnsi="Amiri" w:eastAsia="Amiri" w:cs="Amiri"/>
          <w:color w:val="111111"/>
          <w:sz w:val="28"/>
          <w:sz w:val="28"/>
          <w:szCs w:val="28"/>
          <w:rtl w:val="true"/>
          <w:lang w:bidi="ar-SA"/>
        </w:rPr>
        <w:t>أما روايات الطائفة الخامسة وهي من أدلّة القائلين بجريان الربا في المعدود، كالمفيد وسلّار وغيرهم، والتعبير فيها تارة بالكراهة وأخرى بعدم الصلاحية ظاهر في الحرمة والفساد في المعاملة، فلا تنهض حجّة على عدم جواز التفاضل في المعدود مطلقاً حتى نقداً، وإنْ كانت ظاهرة في ذلك، وذلك لنصّ الطائفة الثانية على جواز التفاضل في الجنس الواحد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فتصلح لتقييد إطلاق الطائفة الخامسة وحملها على صورة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الطائفة الرابعة صالحة لتقييد إطلاق الطائفة الأولى الظاهرة في جواز المعاوضة على الجنس الواحد متفاضلاً مطلقاً، وحمله على صورة النقد، لنصها على ذلك، وظهورها في عدم الجواز في خصوص النسيئة المفهوم من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ورد في بعض الموارد وأريد به مطلق المرجوحيّة الأعم من الحرمة، إلّا إنّه في غالب استعمالات الروايات جاء وأريد به المعنى المساوق لعدم الجواز خصوصاً في المعاملات لظهوره في الإرشاد إلى فساد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 يأبى الحمل على الكراهة الاصطلاحيّة بالقرينة، ومن هنا أمكن القول بكون روايات الطائفة الأولى الناصَّة على جواز بيع المعدودات بجنسها مع التفاضل قرينة على حمل الكراهة وعدم الصلاح الواردة في الطائفة الخامسة على الكراهة الاصطلاحية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المرجوحيّة المجتمعة مع الجواز، بقرينة نصوصيّة الطائفة الأولى على الجواز</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ذكرنا من الجمع بين الطائفة الأولى والرابعة أولى بعد إمكان تقييد الحكم في الطائفة الأولى، وتقييده في الطائفة الخامسة مع المحافظة على ظهوره، فإنّ الجمع </w:t>
      </w:r>
    </w:p>
    <w:p>
      <w:pPr>
        <w:pStyle w:val="BookText"/>
        <w:rPr/>
      </w:pPr>
      <w:r>
        <w:rPr>
          <w:rFonts w:ascii="Amiri" w:hAnsi="Amiri" w:eastAsia="Amiri" w:cs="Amiri"/>
          <w:color w:val="111111"/>
          <w:sz w:val="28"/>
          <w:sz w:val="28"/>
          <w:szCs w:val="28"/>
          <w:rtl w:val="true"/>
          <w:lang w:bidi="ar-SA"/>
        </w:rPr>
        <w:t>العرفي يقدّم الخاص على العام، والمقيّد على المطلق قبل الجمع في ظهور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تصلح الطائفة الرابعة لتقييد إطلاق الطائفة الأولى في حدود بيع المعدود بجنسه متفاضلاً نقداً فقط، وأما النسيئة فخارجة عن الحكم بالجواز بالتخصيص المستفاد من الطائفة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معارض للطائفة الرابعة، وإنْ نصَّت الطائفة الثالثة على الجواز بنقل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لذيل 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لا بأس بالثوب بالثوبين يداً بيد، ونسيئة اذا وصفتهما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هذه الزيادة لم تثبت لعدم وجودها في نقل الكافي، ولا في نقل الشيخ، مع أنّهما روياها بنفس الإسناد بطرقهما عن صفوان وابن أبي عمير، عن جميل،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يحتمل تعدّد الرواية مع وحدة السند والراوي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الشيخ الصدوق أشار بهذا إلى صحيحة محمّد بن مسلم التي نقلناها ضمن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فيها بأنه لا بأس ببيع الثوب بالثوبين إذا وصفت الطول والعرض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تعليق الإمام للجواز على الوصف كناية عن وقوع البيع نسيئة، فهو المحتاج الى الوصف لوضوح أنّ التقابض يداً بيد لا يحتاج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ذلك ليس واضحاً، فيمكن أن يجتمع فرض الوصف مع النقد أيضاً، لدخالة الوصف في البيع وعدم تحقّق الغرر في المعاملة، ولذا جُعل حق الخيار لمن تخلّف وصف مبيعه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ذلك أنّ الطائفة الثالثة لا وجود لها حقيقة، أو لم تثبت بحجّة معتبرة، وإنّما ذكرناها في طوائف الروايات لنستوفي النقل في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ما أورده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صحيحة عبد الرحمن بن أبي عبد الله التي ذكرناها في الطائفة الثانية، فقد نقلها وفيها النص على جواز التفاضل في </w:t>
      </w:r>
      <w:bookmarkStart w:id="99" w:name="pg9058_87439"/>
    </w:p>
    <w:p>
      <w:pPr>
        <w:pStyle w:val="BookText"/>
        <w:rPr/>
      </w:pPr>
      <w:bookmarkEnd w:id="99"/>
      <w:r>
        <w:rPr>
          <w:rFonts w:ascii="Amiri" w:hAnsi="Amiri" w:eastAsia="Amiri" w:cs="Amiri"/>
          <w:color w:val="111111"/>
          <w:sz w:val="28"/>
          <w:sz w:val="28"/>
          <w:szCs w:val="28"/>
          <w:rtl w:val="true"/>
          <w:lang w:bidi="ar-SA"/>
        </w:rPr>
        <w:t xml:space="preserve">بيع الحيوان بالحيوان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الحديث، ولا في نقل صاحب الحدائق، فإنّ الوارد في كتب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بالحيوان كلّه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الزيادة من سهو قلمه، أو كانت النسخة من المصدر الذي اعتمده في نقل الرواية فيه 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بالي أنَّه حدث مثل هذا للشيخ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كتاب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بالزيادة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حمل الروايات الناهية عن النسيئة في الطائفة الرابعة على الكراهة، جمعاً بين ظاهر النهي ونصوصيّة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ثبوت الزيادة في الرواية وبالتالي بطلان الحمل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الجمع استفادة الحكم بعدم جواز بيع المعدود بجنسه متفاضلاً نسيئة من الطائفة الخامسة بعد تقييدها وحملها على خصوص هذه الصورة</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2364786_2870459653"/>
      <w:bookmarkStart w:id="101" w:name="_Toc36"/>
      <w:bookmarkEnd w:id="100"/>
      <w:r>
        <w:rPr>
          <w:rtl w:val="true"/>
        </w:rPr>
        <w:t>النص على عدم جواز بيع المعدود بجنسه نسيئة</w:t>
      </w:r>
      <w:bookmarkEnd w:id="101"/>
    </w:p>
    <w:p>
      <w:pPr>
        <w:pStyle w:val="BookText"/>
        <w:rPr/>
      </w:pPr>
      <w:r>
        <w:rPr>
          <w:rFonts w:ascii="Amiri" w:hAnsi="Amiri" w:eastAsia="Amiri" w:cs="Amiri"/>
          <w:color w:val="111111"/>
          <w:sz w:val="28"/>
          <w:sz w:val="28"/>
          <w:szCs w:val="28"/>
          <w:rtl w:val="true"/>
          <w:lang w:bidi="ar-SA"/>
        </w:rPr>
        <w:t>استفدنا من الجمع بين الروايات استبعاد احتمال عدم جواز التفاضل في المعدود نقداً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 النسيئة فيمكن استفادة عدم جواز التفاضل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سعيد بن يسار، وصحيحة الحلبي في الطائفة الرابعة، كما يمكن استفادته من تقييد الحكم في الطائفة الثانية بالنقد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يداً بيد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الأولى، فيستفاد الحكم منها بعدم الجواز في النسيئة من 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بالخط على النسيئة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الشطب على النسيئة الواردة في كلام السائل، لئلا يتوهّم شمول الجواز في الجواب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الفعل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تقييد الحكم بالنقد الحال، وعدم الجواز في النسيئة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ورد في ذيل الرواية من تعليل الخط بأنَّه من أجل التقيّة من المخالفين في رواية الصدوق، فالظاهر أنَّه من الشيخ الصدوق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بتفسير منه، كما هو دأبه في بعض مواضع كتابه الفقيه، والذي حمله على ذلك، ذهاب العامَّة إلى عدم الجواز، وإلّا فالرواية بنقل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هذا الذيل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تقدير كون الزيادة من الراوي بنقل الصدوق فلا يمكن البناء عليه، إذ لا أصل عقلائي في موارد تعارض الزيادة في النقل مع النقيصة يساعد على إثبات هذه الزيادة، فإنّ أصالة عدم الزيادة لا تتقدّم على أصالة عدم النقيصة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العامَّة – كما مرَّ عند نقل أقوالهم – قائلون بالجواز في بيع المعدود بجنسه متفاضلاً نسيئة، إلّا أبا حنيفة، ومن تبعه من مدرسته، وقد مرَّت روايتهم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 بالقول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نسب الشيخ الطوسي إلى العامَّة القول بالجواز</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لا وجه لحمل أمر الإمام بالخط على النسيئة على التقيّة، كما صنع الشيخ الصدوق، وتبعه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حال الصحيحة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الصحيحة الثانية في الطائفة الرابعة، صحيحة الحلبي بسند الشيخ عن الحسين بن سعيد، فقد تقدَّم استفادة الحكم منها بعدم جواز بيع المعدود بجنسه نسيئة من التعبير الوارد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نظرة 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عدم الجواز، بل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يُصغى إلى القول بظهورها في الكراهة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الصحيحة توسّع دائرة عدم الجواز في النسيئة إلى المختلف من الأجناس في المعدود، ولا معارض لها من الطوائف الأخرى، أو مِنْ صحيح سعيد بن يسار في نفس </w:t>
      </w:r>
    </w:p>
    <w:p>
      <w:pPr>
        <w:pStyle w:val="BookText"/>
        <w:rPr/>
      </w:pPr>
      <w:r>
        <w:rPr>
          <w:rFonts w:ascii="Amiri" w:hAnsi="Amiri" w:eastAsia="Amiri" w:cs="Amiri"/>
          <w:color w:val="111111"/>
          <w:sz w:val="28"/>
          <w:sz w:val="28"/>
          <w:szCs w:val="28"/>
          <w:rtl w:val="true"/>
          <w:lang w:bidi="ar-SA"/>
        </w:rPr>
        <w:t>الطائفة، وإنْ نصَّ على قصر الحكم بعدم الجواز في النسيئة على تساوي الجنس، لأنَّ الحكمين مثبتان، ولا معارضة بينهما إلّا مع اتحاد موضوع الحكم، والحكم هنا انحلالي على المختلف بالجنس والمتّحد فلا معارضة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يبقى الكلام عن الطائفة الثانية في دلالتها على عدم الجواز في النسيئة، فإنْ قلنا بظهور القيد في الاحتراز بقاعدة الاحترازية في القيود، أو ما يعبّر عنه بالمفهوم من المرتبة الثانية، إشارة إلى مفهوم الوصف كمرتبة أولى من المفهوم، والذي لم يثبت ظهوره من الوصف، فالظاهر أنَّ الحكم بالجواز لا يشمل النسيئة، لأنّ القيد ظاهر في الاحتراز عن ثبوت الحكم لطبيعي الموضوع على إطلاقه وسريانه، وإلّا كان ذكر القيد لغواً، وبلا مبّرر، فيكون نتيجة تقييد الحكم بجواز المعاوضة على المعدود بجنسه متفاضلاً بكونه نقداً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جواز المفاضلة في البيع في حال تأجيل الثمن في النسيئة، بل الحكم مقيّد بحال النقد المعبّر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 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احتمال كون القيد جيء به للإشارة إلى الحالة الغالبة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وربائبكم اللاتي في حجوركم فيحتاج إلى قرينة، وهي مفقودة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هذا التقييد الطائفة الرابعة بعد عطف الحكم بعدم الصلاح في التفاضل نسيئة على الجواز يداً بيد، كما في 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في الروايات المتعرّضة لبيع المعدود بجنسه متفاضلاً ما يظهر منه الجواز في صورة النسيئة، بل ظاهر بعضها عدم الجواز بظاهر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أو بقاعدة احترازية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سياقها تحقّق الربا في بيع المعدود بجنسه أو بغيره متفاضلاً، نسيئة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ثبتت الزيادة التي يرويها الصدوق في بيع الثياب بجنسها نسيئة لدلَّ على الجواز، وكان قرينة على حمل الروايات المانعة على الكراهة، ولكن حتى لو ثبت ذلك فهو في خصوص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مبالغة من الشيخ في كتابه الخلاف – على ما وصف الشهيد في الدروس ونقلناه سابقاً – عندما حكم بالمنع من بيع الثياب بالثياب، والحيوان بالحيوان نسيئة مع التفاضل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المنع منه في حال عدم التفاضل لا 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اعتماد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التذكرة في الحكم بالكراهة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إطلاق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يكون الربا إلّا فيما يكال أو يوزن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الأصل في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به الأصل اللفظي كإطلاق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الله البيع</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تجارة عن تراض، لا يمكن الاعتماد عليه بعد ورود الروايات المخصّصة في المنع من النسيئة، وظاهرها تحقّق الربا فيه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من هنا ذكر ابن زهرة – على ما مرَّ النقل عنه في الغنية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الحيوان بالحيوان متماثلاً ومتفاضلاً نسيئة في الظاهر من روايات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استفاد عدم الجواز في النسيئة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فإذا لم يكن القول بعدم جواز بيع المعدود بجنسه متفاضلاً نسيئة هو مقتضى النص في المسألة، فلا ريب أنَّه موافق لمقتضى الاحتياط، بعد ورود الأخبار به، وإن استشكلنا في دلالتها، وعمل الأصحاب المتقدمين عليه، كما احتاط صاحب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النسيئة تردد والمنع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الفقيه ابن زهرة</w:t>
      </w:r>
      <w:r>
        <w:rPr>
          <w:rFonts w:eastAsia="Amiri" w:cs="Amiri" w:ascii="Amiri" w:hAnsi="Amiri"/>
          <w:color w:val="111111"/>
          <w:sz w:val="28"/>
          <w:szCs w:val="28"/>
          <w:rtl w:val="true"/>
          <w:lang w:bidi="ar-SA"/>
        </w:rPr>
        <w:t xml:space="preserve">. </w:t>
      </w:r>
      <w:bookmarkStart w:id="102" w:name="pg9058_87443"/>
    </w:p>
    <w:p>
      <w:pPr>
        <w:pStyle w:val="Heading6"/>
        <w:numPr>
          <w:ilvl w:val="5"/>
          <w:numId w:val="1"/>
        </w:numPr>
        <w:rPr/>
      </w:pPr>
      <w:bookmarkStart w:id="103" w:name="__RefHeading___Toc2364788_2870459653"/>
      <w:bookmarkStart w:id="104" w:name="_Toc37"/>
      <w:bookmarkEnd w:id="102"/>
      <w:bookmarkEnd w:id="103"/>
      <w:r>
        <w:rPr>
          <w:rtl w:val="true"/>
        </w:rPr>
        <w:t>ثمرة البحث في ربا المعدود</w:t>
      </w:r>
      <w:bookmarkEnd w:id="104"/>
    </w:p>
    <w:p>
      <w:pPr>
        <w:pStyle w:val="BookText"/>
        <w:rPr/>
      </w:pPr>
      <w:r>
        <w:rPr>
          <w:rFonts w:ascii="Amiri" w:hAnsi="Amiri" w:eastAsia="Amiri" w:cs="Amiri"/>
          <w:color w:val="111111"/>
          <w:sz w:val="28"/>
          <w:sz w:val="28"/>
          <w:szCs w:val="28"/>
          <w:rtl w:val="true"/>
          <w:lang w:bidi="ar-SA"/>
        </w:rPr>
        <w:t>تقدَّم في صدر البحث عن حكم بيع الرصيد بالآجل إنَّه داخل في كبرى حكم بيع المعدود متفاضلاً نسيئة مع اتّحاد الجنس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كان الرصيد متّحد الجنس مع عوضه المشترى به كالدينار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باع كلّيّاً معدوداً في الذمة بأكثر منه مؤجلاً – 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بنينا على فتوى المشهور بالكراهة جازت هذه المعاملة وصحّت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بالفساد، للنهي عنها في بعض الأخبار، أو احتطنا في المسألة تبعاً لمن احتاط كالمحقّق وابن زهرة رعاية لبعض الوجوه فيكون المنع من هذه المعاملة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اختلاف جنس الرصيد عن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دلالة صحيحة الحلبي، وكذلك إطلاق صحيحة محمّد بن مسلم في الطائفة الخامسة على عدم الجواز، ويبقى الإشكال من جهة أخرى كما سيأتي بحثها في الجهة الثانية من هذه المسألة</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2364790_2870459653"/>
      <w:bookmarkStart w:id="106" w:name="_Toc38"/>
      <w:bookmarkEnd w:id="105"/>
      <w:r>
        <w:rPr>
          <w:rtl w:val="true"/>
        </w:rPr>
        <w:t>شبهة القرض الربوي</w:t>
      </w:r>
      <w:bookmarkEnd w:id="106"/>
    </w:p>
    <w:p>
      <w:pPr>
        <w:pStyle w:val="BookText"/>
        <w:rPr/>
      </w:pPr>
      <w:r>
        <w:rPr>
          <w:rFonts w:ascii="Amiri" w:hAnsi="Amiri" w:eastAsia="Amiri" w:cs="Amiri"/>
          <w:color w:val="111111"/>
          <w:sz w:val="28"/>
          <w:sz w:val="28"/>
          <w:szCs w:val="28"/>
          <w:rtl w:val="true"/>
          <w:lang w:bidi="ar-SA"/>
        </w:rPr>
        <w:t>يُذكر في مسألة بيع الأوراق النقدية إشكال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المعاملة بها نسيئة تكون قرضاً بصورة البيع، فمن باع مائة ألف دينار مقبوضة نقداً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وخمسين ألف 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الحقيقة يقرض المائة ألف بزيادة خمسين ألف، ومن هنا يمنع الفقهاء هذه المعاملة مع اتحاد الجنس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غير واحد من الفقهاء من أنَّ هناك فارقاً بين البيع والقرض في معناهما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تمليك مال بعوض، والقرضُ تمليكُ مالٍ مع ضمان مثله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والضمان غير المبادلة بالعوض، فهما مختلفان عرفاً وحقيقةً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اعتبرت المغايرة </w:t>
      </w:r>
      <w:bookmarkStart w:id="107" w:name="pg9058_87444"/>
    </w:p>
    <w:p>
      <w:pPr>
        <w:pStyle w:val="BookText"/>
        <w:rPr/>
      </w:pPr>
      <w:bookmarkEnd w:id="107"/>
      <w:r>
        <w:rPr>
          <w:rFonts w:ascii="Amiri" w:hAnsi="Amiri" w:eastAsia="Amiri" w:cs="Amiri"/>
          <w:color w:val="111111"/>
          <w:sz w:val="28"/>
          <w:sz w:val="28"/>
          <w:szCs w:val="28"/>
          <w:rtl w:val="true"/>
          <w:lang w:bidi="ar-SA"/>
        </w:rPr>
        <w:t>بين الثمن والمثمن في البيع دون القرض كفى في كون أحد العوضين كلياً في الذمّة والآخر عيناً 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وعاء الاعتبار غير الخارجيّ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بيع الأوراق النقدية كون المعوض كلياً في الذمّة في مغايرته للثمن من ناحية كون الثاني مشخّصاً خارجيّاً والأوّل اعتبارياً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اعتبروا بيع عشرين كيلو من الحنطة شخصيّة أو كليّة بعشرين كيلو مؤجلة من الربا المحرّم مع أنَّه لو كان قرضاً لم يكن ربوياً، لتقوّم القرض بالمثليَّة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الزيادة في الكلّيّ المؤجّل بالبيع</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364792_2870459653"/>
      <w:bookmarkStart w:id="109" w:name="_Toc39"/>
      <w:bookmarkEnd w:id="108"/>
      <w:r>
        <w:rPr>
          <w:rtl w:val="true"/>
        </w:rPr>
        <w:t>بحث الجهة الثانية في المسألة الثانية</w:t>
      </w:r>
      <w:bookmarkEnd w:id="109"/>
    </w:p>
    <w:p>
      <w:pPr>
        <w:pStyle w:val="BookText"/>
        <w:rPr/>
      </w:pPr>
      <w:r>
        <w:rPr>
          <w:rFonts w:ascii="Amiri" w:hAnsi="Amiri" w:eastAsia="Amiri" w:cs="Amiri"/>
          <w:color w:val="111111"/>
          <w:sz w:val="28"/>
          <w:sz w:val="28"/>
          <w:szCs w:val="28"/>
          <w:rtl w:val="true"/>
          <w:lang w:bidi="ar-SA"/>
        </w:rPr>
        <w:t xml:space="preserve">تقدَّم في عنوان المسألة الثانية وهي بيع الرصيد بثمن مؤجّل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جهتين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 تقدَّم الكلام فيها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الجهة الثانية فهي دخول بيع الرصيد بعملة من غير جنسه نسيئة تحت مسألة بيع الدين بالدين والمشهور عند الفريقين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شمول كبرى الحكم للدين الذي تحقّق بنفس العقد ولم يكن سابقاً عليه، كما هو فرض مسألتنا، باعتبار أنّ ثمن بطاقة الرصيد المبيعة بالآجل صار ديناً بعقد البيع، ولم يكن سابقاً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باعه ثمانمائة دولار ديناً في ذمة شخص آخر بمليون دينار كلّيّة ومؤجّلة إلى شهر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المليون دين بعقد البيع ولم يكن سابقاً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تحقّق عقد البيع أصبحت المليون مضمونه على المشتري في ذمّته مؤجّلة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فدخول هذه الصورة في كبرى الحكم بالبطلان وإطلاقه محلّ كلام بين الأعلام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المتيّقنة للحكم المذكور، هي ما إذا كان لكلِ واحدٍ من المتبايعين دين بذمّة شخص ثالث، أو كان دين أحدهما في ذمّة شخص رابع، فباع أحدهما دينه الذي في </w:t>
      </w:r>
    </w:p>
    <w:p>
      <w:pPr>
        <w:pStyle w:val="BookText"/>
        <w:rPr/>
      </w:pPr>
      <w:r>
        <w:rPr>
          <w:rFonts w:ascii="Amiri" w:hAnsi="Amiri" w:eastAsia="Amiri" w:cs="Amiri"/>
          <w:color w:val="111111"/>
          <w:sz w:val="28"/>
          <w:sz w:val="28"/>
          <w:szCs w:val="28"/>
          <w:rtl w:val="true"/>
          <w:lang w:bidi="ar-SA"/>
        </w:rPr>
        <w:t>ذمّة المدين للآخر، فكلا الدينين قبل عقد البيع، وهذه هي الصورة المتيّقنة من بطلان بيع الدين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وأصلُ الحكم بفساد بيع الدين بالدين وبطلانه ثابت من طرقنا بما رواه طلحة بن زيد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يُباع الدين بالدين</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تلقّى الأصحاب الرواية بالقبول ولا يوجد في السند من يقدح فيه سوى طلحة بن زيد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بتري فاسد المذهب، إلّا أنّ الشيخ الطوسي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كتابه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الاعتماد عليه جاء من وثاقة صاحبه، فيعدّ ذلك توثيقاً للراوي، فضلاً عن أنَّه من مشايخ صفوان بن يحيى المعروف بأنَّه لا يروي إلّا عن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إشكال من جهة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وأنَّ الحكم مجمع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العامَّة فقد رووا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بيع الكالي بالكالي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والكالي فُسِّر بالنسيئة وبالدين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الكلام في شمول الحكم لصورة ما إذا كان أحد الدينين ثابتاً بالعقد، ولم يكن سابقاً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مثل هذه المعاملة مشمولة بحرمة بيع الدين بالدين؟</w:t>
      </w:r>
    </w:p>
    <w:p>
      <w:pPr>
        <w:pStyle w:val="BookText"/>
        <w:rPr/>
      </w:pPr>
      <w:r>
        <w:rPr>
          <w:rFonts w:ascii="Amiri" w:hAnsi="Amiri" w:eastAsia="Amiri" w:cs="Amiri"/>
          <w:color w:val="111111"/>
          <w:sz w:val="28"/>
          <w:sz w:val="28"/>
          <w:szCs w:val="28"/>
          <w:rtl w:val="true"/>
          <w:lang w:bidi="ar-SA"/>
        </w:rPr>
        <w:t xml:space="preserve">ذهب المشهور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تعبير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الحرمة، وأنَّها مشمولة</w:t>
      </w:r>
    </w:p>
    <w:p>
      <w:pPr>
        <w:pStyle w:val="BookText"/>
        <w:rPr/>
      </w:pPr>
      <w:r>
        <w:rPr>
          <w:rFonts w:ascii="Amiri" w:hAnsi="Amiri" w:eastAsia="Amiri" w:cs="Amiri"/>
          <w:color w:val="111111"/>
          <w:sz w:val="28"/>
          <w:sz w:val="28"/>
          <w:szCs w:val="28"/>
          <w:rtl w:val="true"/>
          <w:lang w:bidi="ar-SA"/>
        </w:rPr>
        <w:t>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جماعة من ذلك كالمحقّق في الشرائع، والشهيد الثاني في المسالك في كتاب الدين</w:t>
      </w:r>
      <w:r>
        <w:rPr>
          <w:rStyle w:val="FootnoteAnchor"/>
          <w:rtl w:val="true"/>
        </w:rPr>
        <w:footnoteReference w:id="31"/>
      </w:r>
      <w:r>
        <w:rPr>
          <w:rFonts w:ascii="Amiri" w:hAnsi="Amiri" w:eastAsia="Amiri" w:cs="Amiri"/>
          <w:color w:val="111111"/>
          <w:sz w:val="28"/>
          <w:sz w:val="28"/>
          <w:szCs w:val="28"/>
          <w:rtl w:val="true"/>
          <w:lang w:bidi="ar-SA"/>
        </w:rPr>
        <w:t>، وفي الروضة، وهكذا بعض المتأخّرين كالأردبيلي</w:t>
      </w:r>
      <w:r>
        <w:rPr>
          <w:rStyle w:val="FootnoteAnchor"/>
          <w:rtl w:val="true"/>
        </w:rPr>
        <w:footnoteReference w:id="3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والسبزواري</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يستفاد من بعض كلمات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يظهر منه القول بالحرمة في التذكرة</w:t>
      </w:r>
      <w:r>
        <w:rPr>
          <w:rStyle w:val="FootnoteAnchor"/>
          <w:rtl w:val="true"/>
        </w:rPr>
        <w:footnoteReference w:id="34"/>
      </w:r>
      <w:r>
        <w:rPr>
          <w:rFonts w:ascii="IRNazanin" w:hAnsi="IRNazanin" w:eastAsia="IRNazanin"/>
          <w:color w:val="111111"/>
          <w:sz w:val="28"/>
          <w:sz w:val="28"/>
          <w:szCs w:val="28"/>
          <w:rtl w:val="true"/>
          <w:lang w:bidi="fa-IR"/>
        </w:rPr>
        <w:t>، والمختلف</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المتأخرين على الحرمة لشمول النصّ لصورة تحقّق الدين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قيل في عدم الشمول ما ذكره الشهيد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وفي الروضة،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الممنوع منه ما كان عوضاً حال كونه ديناً بمقتضى تعلّق الباء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والمضمون عند العقد ليس بدين وإنّما يصير ديناً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يتحقّق بيع الدين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استجود هذا الكلام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w:t>
      </w:r>
      <w:r>
        <w:rPr>
          <w:rStyle w:val="FootnoteAnchor"/>
          <w:rtl w:val="true"/>
        </w:rPr>
        <w:footnoteReference w:id="36"/>
      </w:r>
      <w:r>
        <w:rPr>
          <w:rFonts w:ascii="Amiri" w:hAnsi="Amiri" w:eastAsia="Amiri" w:cs="Amiri"/>
          <w:color w:val="111111"/>
          <w:sz w:val="28"/>
          <w:sz w:val="28"/>
          <w:szCs w:val="28"/>
          <w:rtl w:val="true"/>
          <w:lang w:bidi="ar-SA"/>
        </w:rPr>
        <w:t>، وكذلك صاحب الحدائق وإنْ لم يجزم بالمسألة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الشيخ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على ذلك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النصّ بأنْ يكون الدينان قبل العقد، لأنَّ تعلّق الباء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تقتضي أزيد من كون العوض حين جعله عوضاً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في هذا الإطلاق كونه ديناً سابقاً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يُراد بالدين مقابل العين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الكلّيّ الحال مقابل الكلّيّ المؤجّل الذي هو الدين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تبع الدين بهذا الصنف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 التعريف للإشارة إلى هذا القسم من البيع المعهود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البيع بالكلّيّ الحال الذي لا يسمّى ديناً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النقض به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10" w:name="pg9058_87447"/>
    </w:p>
    <w:p>
      <w:pPr>
        <w:pStyle w:val="BookText"/>
        <w:rPr/>
      </w:pPr>
      <w:bookmarkEnd w:id="110"/>
      <w:r>
        <w:rPr>
          <w:rFonts w:ascii="Amiri" w:hAnsi="Amiri" w:eastAsia="Amiri" w:cs="Amiri"/>
          <w:color w:val="111111"/>
          <w:sz w:val="28"/>
          <w:sz w:val="28"/>
          <w:szCs w:val="28"/>
          <w:rtl w:val="true"/>
          <w:lang w:bidi="ar-SA"/>
        </w:rPr>
        <w:t xml:space="preserve">قال الفقيه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الدين بالدين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الكلّيّ المؤجّل بالكلّيّ المؤجّل، وهو بيع الكالئ بالكالئ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يبيع ديناً سابقاً على العقد بعد حلوله أو قبله، بدين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يبيع ديناً سابقاً بكلّيّ مؤجّل أو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الأقسام باطلة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طلحة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يباع الدين بالدين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ثمن بطاقة الرصيد المبيع بالآجل هو دين تحقّق بنفس عقد بيع الرصيد، والمُثمن الذي بُذل بإزائه هذا الثمن دين كلّيّ في ذمّة الشركة لبائع البطاقة، فهو مشمول لإطلاق ما دلّ على النهي عن بيع الدين بالدين وفساده، على حسب رأي الأكثر، وهو الأحرى بالقبول</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364794_2870459653"/>
      <w:bookmarkStart w:id="112" w:name="_Toc40"/>
      <w:bookmarkEnd w:id="111"/>
      <w:r>
        <w:rPr>
          <w:rtl w:val="true"/>
        </w:rPr>
        <w:t>المسألة الثالثة</w:t>
      </w:r>
      <w:r>
        <w:rPr>
          <w:rtl w:val="true"/>
        </w:rPr>
        <w:t xml:space="preserve">: </w:t>
      </w:r>
      <w:r>
        <w:rPr>
          <w:rtl w:val="true"/>
        </w:rPr>
        <w:t xml:space="preserve">بيع الرصيد مؤجلاً بثمن معجّل </w:t>
      </w:r>
      <w:r>
        <w:rPr>
          <w:rtl w:val="true"/>
        </w:rPr>
        <w:t>(</w:t>
      </w:r>
      <w:r>
        <w:rPr>
          <w:rtl w:val="true"/>
        </w:rPr>
        <w:t>بيع السَلَف أو السَلَم</w:t>
      </w:r>
      <w:r>
        <w:rPr>
          <w:rtl w:val="true"/>
        </w:rPr>
        <w:t>)</w:t>
      </w:r>
      <w:bookmarkEnd w:id="112"/>
    </w:p>
    <w:p>
      <w:pPr>
        <w:pStyle w:val="BookText"/>
        <w:rPr/>
      </w:pPr>
      <w:r>
        <w:rPr>
          <w:rFonts w:ascii="Amiri" w:hAnsi="Amiri" w:eastAsia="Amiri" w:cs="Amiri"/>
          <w:color w:val="111111"/>
          <w:sz w:val="28"/>
          <w:sz w:val="28"/>
          <w:szCs w:val="28"/>
          <w:rtl w:val="true"/>
          <w:lang w:bidi="ar-SA"/>
        </w:rPr>
        <w:t>السَّلف أو السَّلم هو بيع كلّيّ مؤجل بثمن حال مقبوض، على عكس النَّسيئة، ويعتبر فيه أنْ يكون الأجل مضبوطاً والمبيع مقدَّراً بمقدار من دون جهالة توجب الغرر، وأن يُقبض الثَّمن قبل التفرُّق من مجلس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النهي عن بيع المعدود بجنسه متفاضلاً يشمل الزيادة في طرف المُثمن كما ورد في صحيحة الحلبي عن أبي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كان من طعام مختلف أو متاع أو شيء من الأشياء يتفاضل فلا بأس ببيعه مثلين بمثل يداً بيد، فأمَّا نظرة فلا يصلح</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والمؤيَّد برواية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زياد بن أبي غياث بإسناده عن الحسن بن محمَّد بن سماعة، عن صالح بن خالد وعبيس بن هشام، عن ثابت بن شريح عنه عن </w:t>
      </w:r>
      <w:bookmarkStart w:id="113" w:name="pg9058_87448"/>
    </w:p>
    <w:p>
      <w:pPr>
        <w:pStyle w:val="BookText"/>
        <w:rPr/>
      </w:pPr>
      <w:bookmarkEnd w:id="113"/>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كان من طعام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بنفس المتن السابق، ولكن في ذيله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نسيئة فلا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فأمّا نظرة فلا يصلح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إطلاق ما دلّ على كراهتهم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لبيع الأجناس ببعضها مع الزيادة في صحيح محمّد بن مسلم الوارد في الطائفة الخامسة من الروايات الآنفة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مرسلة علي بن إبراهيم الطويلة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عدّ عدّاً، أو لم يُكل ولم يوزن، فلا بأس به اثنان بواحد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والكراهة في لسان الروايات خصوصاً في المعاملات ظاهرة في الفساد، لا الكراهة التنزيهيّة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قد دلّت الروايات الصحيحة وغيرها على النهي عن بيع المعدود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يكال ولا 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متفاضلاً مع تأجيل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قانون واحد سواء في النسيئة بتأجيل الثمن، أو في السلف بتأجيل المُثمن مع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ظاهر هذا النهي هو التحريم المؤيَّد بفتوى القدماء كالمفيد، وسلّار، وابن الجنيد وابن البرّاج، والشيخ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فتوى المشهور في بيع المعدود نسيئة وسلفاً الحكم هو الكراهة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الرصيد سَلَماً مع تعجيل الثمن بزيادة لو لم يكن غير جائز فتوىً فمقتضى الاحتياط المنع منه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2364796_2870459653"/>
      <w:bookmarkStart w:id="115" w:name="_Toc41"/>
      <w:bookmarkEnd w:id="114"/>
      <w:r>
        <w:rPr>
          <w:rtl w:val="true"/>
        </w:rPr>
        <w:t xml:space="preserve">المسالة الرابعة </w:t>
      </w:r>
      <w:r>
        <w:rPr>
          <w:rtl w:val="true"/>
        </w:rPr>
        <w:t xml:space="preserve">: </w:t>
      </w:r>
      <w:r>
        <w:rPr>
          <w:rtl w:val="true"/>
        </w:rPr>
        <w:t>تحويل الرصيد بين المشتركين</w:t>
      </w:r>
      <w:bookmarkEnd w:id="11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شركات الاتصال بتوفير بعض الخدمات لمشتركيها، ومنها ما يُسمّى بتحويل الرصيد، وذلك بخصم مقدار مالي مِنْ رصيد مَن يطلب تلك الخدمة وإضافته إلى رصيد مشترك آخر ليتمكن من إتمام مكالماته، وتتمّ تلك العملية مجّاناً من الواهب، </w:t>
      </w:r>
    </w:p>
    <w:p>
      <w:pPr>
        <w:pStyle w:val="BookText"/>
        <w:rPr/>
      </w:pPr>
      <w:r>
        <w:rPr>
          <w:rFonts w:ascii="Amiri" w:hAnsi="Amiri" w:eastAsia="Amiri" w:cs="Amiri"/>
          <w:color w:val="111111"/>
          <w:sz w:val="28"/>
          <w:sz w:val="28"/>
          <w:szCs w:val="28"/>
          <w:rtl w:val="true"/>
          <w:lang w:bidi="ar-SA"/>
        </w:rPr>
        <w:t>وتأخذ الشركة من رصيد المعطي جزءاً لقاء قيامها بذلك التحويل، ويمكن أنْ يبيع مالك الرصيد ذلك المقدار المحوّل إلى غيره لقاء عوض مالي نقداً أو نسيئة، أو حتّى سلفاً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الحكم الشرعي لتقاضي الشركة مبلغاً من رصيد المحوّل لإتمام عملية التحويل، على أنَّه جُعالة من المحوِّل المعطي، أو أجرة على عمل الشركة بالتحويل، وأمَّا امتلاك المحوَّل إليه للرصيد في ذمة الشركة، فهو جائز بعملية بيع، أو هبة يقوم بها المحوِّل لجزءٍ من المبلغ الكلّيّ للرصيد الذي له في ذمة الشركة، فتنتقل ملكيته إلى المستفيد الآخر المحوَّل إليه، فهو بيع للمملوك في ذمَّة الغير، أو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صحَّة المعاملة حالة البيع مع كون الثمن نقديّاً من جنسه كالدينار العراقي بمثله، وفي حال كون الثمن مؤجلاً من نفس جنس الرصيد يأتي إشكال الربا في النسيئة السابق بمقتضى المنع عن المعاوضة بين الأجناس بالتفاضل آجلاً، أو الكراهة على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إتمام المعاملة بين الباذل للرصيد والمستفيد المحوَّل إليه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المشروطة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المستفيد، والأرجح عدم جريان حكم الربا فيها، وإنْ كان العوض من جنس الرصيد كالدينار أو غيره، إذ لا يكون العوض المشروط في الهبة المشروطة عوضاً عن نفس المال الموهوب، وإنَّما هي – على الرأي الصحيح – هبة مجّانية مقابل هبة أخرى، والعوض المشروط شرط في التمليك وليس في مقابل المال الموهوب</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الهبة المعوّضة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اشترط فيها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إنشاء تمليك بعوض على جهة المقابلة، وإلّا لم يعقل تملّك أحدهما </w:t>
      </w:r>
    </w:p>
    <w:p>
      <w:pPr>
        <w:pStyle w:val="BookText"/>
        <w:rPr/>
      </w:pPr>
      <w:r>
        <w:rPr>
          <w:rFonts w:ascii="Amiri" w:hAnsi="Amiri" w:eastAsia="Amiri" w:cs="Amiri"/>
          <w:color w:val="111111"/>
          <w:sz w:val="28"/>
          <w:sz w:val="28"/>
          <w:szCs w:val="28"/>
          <w:rtl w:val="true"/>
          <w:lang w:bidi="ar-SA"/>
        </w:rPr>
        <w:t>لأحد العوضين من دون تملّك الآخر للآخر، مع أنَّ ظاهرهم عدم تملّك العوض بمجرّد تملّك الموهوب الهبة، بل غاية الأمر أنَّ المُتهب لو لم يؤدّ العوض كان للواهب الرجوع في هبته، فالتمليك في الهبة المعوّضة مستقل كما في الهبة غير المعوّضة، فإنَّ حقيقة المعاوضة غير مقصودة</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الفقيه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الهبة تمليك مجاني صرف لم يلاحظ فيه خصوصيّة وعنوان آخر، ولا تخرج الهبة المعوّضة عن التعريف؛ لأنَّها أيضاً مجّانيّة إذ العوض فيها ليس في مقابل المال الموهوب، بل هو شرط في التمليك، ففي الحقيقة هبة مجّانيّة في مقابل هبة مجّانيّة أخرى، هذا إذا اشترط العوض، وإلّا فلو لم يشترط التمليك لكن المُتَّهب عوَّض عنها، فعدم خروجها عن التعريف أوضح</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حاشيته على المكاسب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جواز هبة المُصحف بالهبة المعوّضة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الجواز فيها من جهة أنّ العوض إنَّما هو في مقابل الهبة لا المُصحف</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العلمين المتقدِّم كما في منية الطالب</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أنَّ إتمام معاملة المعاوضة على الرصيد بطريقة الهبة المعوَّضة لا تتحقّق مع قصد البيع، فلا تفي هذه الطريقة إلّا في الحالات التي تناسب قصد الهبة وإنْ كان مع شرط التعويض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الفرار بها من إشكال الربا في البيع، كما مرّ المنع منه أو الاحتياط فيه</w:t>
      </w:r>
      <w:r>
        <w:rPr>
          <w:rFonts w:eastAsia="Amiri" w:cs="Amiri" w:ascii="Amiri" w:hAnsi="Amiri"/>
          <w:color w:val="111111"/>
          <w:sz w:val="28"/>
          <w:szCs w:val="28"/>
          <w:rtl w:val="true"/>
          <w:lang w:bidi="ar-SA"/>
        </w:rPr>
        <w:t xml:space="preserve">. </w:t>
      </w:r>
      <w:bookmarkStart w:id="116" w:name="pg9058_87451"/>
    </w:p>
    <w:p>
      <w:pPr>
        <w:pStyle w:val="Heading3"/>
        <w:numPr>
          <w:ilvl w:val="2"/>
          <w:numId w:val="1"/>
        </w:numPr>
        <w:rPr/>
      </w:pPr>
      <w:bookmarkStart w:id="117" w:name="__RefHeading___Toc2364798_2870459653"/>
      <w:bookmarkStart w:id="118" w:name="_Toc42"/>
      <w:bookmarkEnd w:id="116"/>
      <w:bookmarkEnd w:id="117"/>
      <w:r>
        <w:rPr>
          <w:rtl w:val="true"/>
        </w:rPr>
        <w:t>مصادر البحث</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قدس 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 محمّدي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بن سعيد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بدائع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الحبيبيّة 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قدامة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الطوسي،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الحر العاملي 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أديب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كاظم اليزدي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الخوانساري للنائيني في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bookmarkStart w:id="119" w:name="pg9058_87453"/>
    </w:p>
    <w:p>
      <w:pPr>
        <w:pStyle w:val="Heading2"/>
        <w:numPr>
          <w:ilvl w:val="1"/>
          <w:numId w:val="1"/>
        </w:numPr>
        <w:rPr/>
      </w:pPr>
      <w:bookmarkStart w:id="120" w:name="__RefHeading___Toc2364800_2870459653"/>
      <w:bookmarkStart w:id="121" w:name="_Toc43"/>
      <w:bookmarkEnd w:id="119"/>
      <w:bookmarkEnd w:id="120"/>
      <w:r>
        <w:rPr>
          <w:rtl w:val="true"/>
        </w:rPr>
        <w:t xml:space="preserve">استثناء الدین من الأرباح قبل تخمیسها </w:t>
      </w:r>
      <w:r>
        <w:rPr>
          <w:rtl w:val="true"/>
        </w:rPr>
        <w:t xml:space="preserve">- </w:t>
      </w:r>
      <w:r>
        <w:rPr>
          <w:rtl w:val="true"/>
        </w:rPr>
        <w:t xml:space="preserve">السَّيّد محمّد الحسينيّ </w:t>
      </w:r>
      <w:r>
        <w:rPr>
          <w:rtl w:val="true"/>
        </w:rPr>
        <w:t>(</w:t>
      </w:r>
      <w:r>
        <w:rPr>
          <w:rtl w:val="true"/>
        </w:rPr>
        <w:t>دام عزه</w:t>
      </w:r>
      <w:r>
        <w:rPr>
          <w:rtl w:val="true"/>
        </w:rPr>
        <w:t>)</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2364802_2870459653"/>
      <w:bookmarkStart w:id="123" w:name="_Toc44"/>
      <w:bookmarkEnd w:id="122"/>
      <w:r>
        <w:rPr>
          <w:rtl w:val="true"/>
        </w:rPr>
        <w:t>اشارة</w:t>
      </w:r>
      <w:bookmarkEnd w:id="12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9058_87455"/>
      <w:bookmarkStart w:id="125" w:name="pg9058_87455"/>
      <w:bookmarkEnd w:id="125"/>
    </w:p>
    <w:p>
      <w:pPr>
        <w:pStyle w:val="BookText"/>
        <w:rPr/>
      </w:pPr>
      <w:bookmarkStart w:id="126" w:name="pg9058_87455"/>
      <w:bookmarkEnd w:id="126"/>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والصّلاة على خير ِخلقه محمّد وآله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حلَّ رأس السنة الخمسية للمكلَّف فوجد نفسه مديناً بمبلغ كألف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لديه من أرباح سنته ما يوازي دينه، فهل يحسب ذلك في مقابل الدين ويعفى عن إخراج خمسه أو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لديه ما يوازي الدين من الربح ليُستثنى من الخمس أو قيل بعدم الاستثناء في مورد، فهل له أن يؤدي الدين من أرباح السنة اللاحقة قبل تخميسها أو لا؟</w:t>
      </w:r>
    </w:p>
    <w:p>
      <w:pPr>
        <w:pStyle w:val="BookText"/>
        <w:rPr/>
      </w:pPr>
      <w:r>
        <w:rPr>
          <w:rFonts w:ascii="Amiri" w:hAnsi="Amiri" w:eastAsia="Amiri" w:cs="Amiri"/>
          <w:color w:val="111111"/>
          <w:sz w:val="28"/>
          <w:sz w:val="28"/>
          <w:szCs w:val="28"/>
          <w:rtl w:val="true"/>
          <w:lang w:bidi="ar-SA"/>
        </w:rPr>
        <w:t>والكلام يقع في مقامين</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364804_2870459653"/>
      <w:bookmarkStart w:id="128" w:name="_Toc45"/>
      <w:bookmarkEnd w:id="127"/>
      <w:r>
        <w:rPr>
          <w:rtl w:val="true"/>
        </w:rPr>
        <w:t>المقام الأوَّل</w:t>
      </w:r>
      <w:r>
        <w:rPr>
          <w:rtl w:val="true"/>
        </w:rPr>
        <w:t xml:space="preserve">: </w:t>
      </w:r>
      <w:r>
        <w:rPr>
          <w:rtl w:val="true"/>
        </w:rPr>
        <w:t>في استثناء مقدار الدين من أرباح سنة حصوله</w:t>
      </w:r>
      <w:bookmarkEnd w:id="128"/>
    </w:p>
    <w:p>
      <w:pPr>
        <w:pStyle w:val="BookText"/>
        <w:rPr/>
      </w:pPr>
      <w:r>
        <w:rPr>
          <w:rFonts w:ascii="Amiri" w:hAnsi="Amiri" w:eastAsia="Amiri" w:cs="Amiri"/>
          <w:color w:val="111111"/>
          <w:sz w:val="28"/>
          <w:sz w:val="28"/>
          <w:szCs w:val="28"/>
          <w:rtl w:val="true"/>
          <w:lang w:bidi="ar-SA"/>
        </w:rPr>
        <w:t>والدين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إمّا أنْ يكون ما يقابله مصروفاً، أو مستخدماً في مؤنة السنة، أو يكون غير ذلك، وفي القسم الثاني إمّا أنْ يكون له ما يقابله أو لا، فهنا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يقابل الدين مصروفاً أو مستخدماً في المؤنة، كما لو اشترى نفقته من الطعام والشراب وغيرهما بالدين أو اقترض مالاً وصرفه في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المحقّقين استثناء مقدار الدين في هذه الصورة من أرباح تلك السنة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بيانين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الخمس إنّما يتعلّق بالربح ولا يصدق الربح عند العقلاء على ما كان واقعاً في قبال الدين، فإنّ العبرة عندهم في إطلاق الربح أو الخسران بملاحظة مجموع السنة، فإنْ زاد في آخرها على رأس المال شيء لم يصرف في المؤونة فهو الربح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فهم لا يعتبرون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بإزائه دين للمؤونة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ربحاً حقيقة وإنْ كان كذلك صورة، بحيث لو سُئل بعد انقضاء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ربحت في سنتك هذه؟ لكان الجواب منفيّاً، إذ لا يرى شيئاً يزيد على رأس ماله بعد اضطراره إلى الصرف في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صدق الربح على ما يقابل الدين إلّا أنّه لا يجب إخراج الخمس من كلّ ربح بل من خصوص الربح الفاضل على مؤونة السنة بموجب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والطريقة الّتي جرى عليها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احتساب الربح الفاضل على المؤونة هي ملاحظة ما صرف من عين الربح، أو ممّا يقابله من الدين، أو من الأموال الأخرى في المؤونة، لا خصوص ما صرف من عين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فالعبرة في المؤونة المستثناة عن وجوب التخميس وإنْ كانت بما يصرف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لو قتَّر الشخص على نفسه لم يستثن له بذلك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يشترط في الصرف أنْ يكون من عين الربح بل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ما جرى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من الدين المقابل للربح، أو الأموال الأخرى المخمّسة، أو غير الخاضعة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الصرف في المؤونة من الدين أو المال غير الخاضع للخمس ينزَّل عند العرف منزلة الصرف من الربح فيختلف عمَّا إذا قتَّر الشخص على نفسه في مؤنته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هذه هي الطريقة العرفيّة التي جرى عليها الناس متّصلاً بعصر </w:t>
      </w:r>
    </w:p>
    <w:p>
      <w:pPr>
        <w:pStyle w:val="BookText"/>
        <w:rPr/>
      </w:pPr>
      <w:r>
        <w:rPr>
          <w:rFonts w:ascii="IRNazanin" w:hAnsi="IRNazanin" w:eastAsia="IRNazanin"/>
          <w:color w:val="111111"/>
          <w:sz w:val="28"/>
          <w:sz w:val="28"/>
          <w:szCs w:val="28"/>
          <w:rtl w:val="true"/>
          <w:lang w:bidi="fa-IR"/>
        </w:rPr>
        <w:t xml:space="preserve">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احتساب المؤنة فلا محيص من أنْ تنزَّل عليها النصوص الدالّة على كون الخمس بعد المؤنة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الأوَّل غير تامٍ، فإنّ النصوص الدالّة على ثبوت الخمس في الفوائد والأرباح لم تخصّ ذلك بالفوائد والأرباح السنويّة بهذا العنوان لكي يُقال إنّ الربح السنوي هو ما يزيد على رأس المال، وإنّما دلّت على ثبوت الخمس في كلّ ربح، ولا أثر للمؤنة المتجدّدة في صدق الربح على ما سبق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المؤنة السابقة قد تؤثّر في ذلك، فمن صرف على نفسه ألف دينار في مأكل ومشرب وملبس ونحو ذلك حتّى تيسّر له إنجاز عمل حصل من جرّائه على ألفي دينار لا يعدّ تمام هذا المبلغ ربحاً له، بل يستثنى منه مقدار ما صرفه في مؤنته، وأمّا المؤنة اللّاحقة لظهور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أثر لها في صدق الربح على ما حصل عليه من قبل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أفاده من البيان الأوّل غير تام، وأمّا البيان الثاني فهو تامٌ، ولكن قد اعترض عليه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سيرة من المتشرّعة في المسألة على ذلك بنحو تكشف عن ثبوته في زمن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ووصوله إلينا طبقة بعد طبقة، ضرورة أنّ ثبوتها كذلك غير محتمل جزماً، وإلّا كانت المسألة قطعيّة في الفقه مع أنّها خلافية، وأمّا عمل الناس وعدم تقيّدهم بملاحظة أنّهم قد صرفوا في مؤنهم من نفس الفوائد والغنائم أو من أموال أخرى فلا قيمة له؛ لأنّه إمّا مبنيّ على فتوى جماعة من الفقهاء أو على التساهل والتسامح، ومن هنا كان عملهم في الخارج جارياً على عدم </w:t>
      </w:r>
    </w:p>
    <w:p>
      <w:pPr>
        <w:pStyle w:val="BookText"/>
        <w:rPr/>
      </w:pPr>
      <w:r>
        <w:rPr>
          <w:rFonts w:ascii="Amiri" w:hAnsi="Amiri" w:eastAsia="Amiri" w:cs="Amiri"/>
          <w:color w:val="111111"/>
          <w:sz w:val="28"/>
          <w:sz w:val="28"/>
          <w:szCs w:val="28"/>
          <w:rtl w:val="true"/>
          <w:lang w:bidi="ar-SA"/>
        </w:rPr>
        <w:t>الفرق بين أنْ يكون ذلك قبل ظهور الربح أو بعده، مع أنّ جماعة منهم يقولون بالفرق بين الحالتين</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هذا الاعتراض بأنَّه يمكن استحصال بعض القرائن الّتي تؤكّد أنّ الوضع على عهد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مختلفاً عمَّا هو المتعارف في هذه الأزمنة في كيفيّة احتساب المؤونة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 على عدم استثناء الدين للمؤنة من الأرباح فلا بُدَّ أنْ يلتزم بمثل ذلك في ما يصرف في المؤنة من المال المخمَّس أو غير الخاضع للخمس لوحدة المناط فيهما، ولذلك لم يفرَّق بينهما هذا القائل، والتزم في كليهما بعدم الاستثناء</w:t>
      </w:r>
      <w:r>
        <w:rPr>
          <w:rStyle w:val="FootnoteAnchor"/>
          <w:rtl w:val="true"/>
        </w:rPr>
        <w:footnoteReference w:id="46"/>
      </w:r>
      <w:r>
        <w:rPr>
          <w:rFonts w:ascii="Amiri" w:hAnsi="Amiri" w:eastAsia="Amiri" w:cs="Amiri"/>
          <w:color w:val="111111"/>
          <w:sz w:val="28"/>
          <w:sz w:val="28"/>
          <w:szCs w:val="28"/>
          <w:rtl w:val="true"/>
          <w:lang w:bidi="ar-SA"/>
        </w:rPr>
        <w:t xml:space="preserve">، مع أنَّ مقتضى عدم استثناء ما يصرف في المؤنة من المال المخمَّس أو ما بحكمه هو أنّ مثل التاجر الذي له رأس مال يستثمره بالبيع والشراء ويحصل على أرباحه تدريجيّاً يلزمه أنْ يعزل الربح عن رأس المال في كلّ عمليّة استرباحيّة ليتسنّى له أنْ يصرف في مؤنته خصوص الأرباح كي يبقى رأس ماله محفوظاً، وأمّا لو صرف في مؤنته من مجموع ما يحصل عليه من ثمن المبيعات المختلط من رأس المال والربح فسوف يكون معظم المصروف في المؤنة على حساب رأس المال، مثلاً لو كان معدَّل مبيعاته في اليوم بقيمة عشرين ألف دينار ومقدار الربح منها أربعة آلاف دينار، وكان يصرف في مؤنته اليومية من مجموع ذلك مقدار ألفين وخمسمائة دينار، فمع البناء على عدم استثناء المصروف في المؤنة من المال المخمَّس وما بحكمه يكون المحسوب منه </w:t>
      </w:r>
    </w:p>
    <w:p>
      <w:pPr>
        <w:pStyle w:val="BookText"/>
        <w:rPr/>
      </w:pPr>
      <w:r>
        <w:rPr>
          <w:rFonts w:ascii="Amiri" w:hAnsi="Amiri" w:eastAsia="Amiri" w:cs="Amiri"/>
          <w:color w:val="111111"/>
          <w:sz w:val="28"/>
          <w:sz w:val="28"/>
          <w:szCs w:val="28"/>
          <w:rtl w:val="true"/>
          <w:lang w:bidi="ar-SA"/>
        </w:rPr>
        <w:t>على الربح مبلغ خمسمائة دينار فقط ويحسب الألفان الباقيان من رأس المال مما يؤدي إلى نقصانه باستمرار، مضافاً إلى تعذر تحديد الربح غير المصروف في المؤونة في نهاية السنة تمهيداً لإخراج خمسه بالنظر إلى تفاوت نسبة الربح باختلاف البيوع والمعاملات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يحتمل أنَّ تجّار الشيعة وأضرابهم في عهد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يعزلون ما يستحصلونه من الربح في كل معاملة ليكون الصرف في المؤنة منه فقط، أو أنّهم كانوا في نهاية السنة يلتزمون باحتساب الجزء الأعظم ممّا صرفوه في مؤنهم من رؤوس أموالهم، ثمّ يتحيرون في تحديد المقدار الذي يكون مصروفاً فيها من الأرباح ويأخذون بالقدر المتيقن من ذلك، أو يرجعون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وكيله لغرض المصالحة في المقدار المشكوك؟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يحتمل ذلك بل المؤكّد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كتجّار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يصرفون في مؤنهم من الأموال المختلطة وفي نهاية السنة يستثنون رأس المال المخمَّس، فإنْ كان زيادة خمَّسوها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اللازم عليهم الالتزام بعزل الأرباح في أثناء السنة، أو احتساب معظم المؤنة من رأس المال لنبَّه على ذلك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النصوص الدالّة على ثبوت الخمس على التجّار وأضرابهم بعد مؤنتهم ومؤنة عيالهم، فإنّه أمرٌ على خلاف المعمول والمتعارف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قيل من أنّه لو كانت سيرة الناس على عهد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على استثناء المصروف من المال المخمَّس، وما بحكمه من الأرباح لكانت المسألة قطعية، ولم تكن خلافية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صحيحاً فإنّه قلَّما توجد مسألة يتمسك فيها بالسيرة ولا تكون خلافية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الخلاف عدم التفات المخالف إلى السيرة، أو عدم اعتقاده حجيتها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قيل من أنّ بناء الناس على عدم التفريق في الاستثناء المذكور بين ما يكون صرفه بعد ظهور الربح وما يكون قبله، مع أنّ جماعة من الفقهاء يقولون بالفرق بين </w:t>
      </w:r>
    </w:p>
    <w:p>
      <w:pPr>
        <w:pStyle w:val="BookText"/>
        <w:rPr/>
      </w:pPr>
      <w:r>
        <w:rPr>
          <w:rFonts w:ascii="Amiri" w:hAnsi="Amiri" w:eastAsia="Amiri" w:cs="Amiri"/>
          <w:color w:val="111111"/>
          <w:sz w:val="28"/>
          <w:sz w:val="28"/>
          <w:szCs w:val="28"/>
          <w:rtl w:val="true"/>
          <w:lang w:bidi="ar-SA"/>
        </w:rPr>
        <w:t>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عدم الاعتداد بالسيرة، بل ينبغي جعلها حجّة على من يقول بالفرق المذكور، ويُستدل بها على عدم تمامية ما قيل من أنّ لكل ربح سنة مستقلة، حتى بالنسبة إلى أصحاب المهن والصنائع ونحوهم من الكسبة الذين يتعارف اتخاذهم تاريخ شروعهم في الكسب رأس سنة لهم، واستثناء ما يصرفونه في المؤنة من الربح المتجدّد في أثناء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الصحيح هو ما ذهب إليه معظم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كالميرزا النائيني والشيخ محمد رضا آل ياسين والسيد الخوئي قدست أسرارهم</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استثناء الدين إذا كان للمؤنة من أرباح سنة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بعض من قال بعدم الاستثناء في الدين وفي المال المخمَّس، أو ما بحكمه المصروف في المؤنة رام تصحيح الاستثناء بطريقة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الشرعي بما أنّه ولي الخمس يجوز له أنْ يأذن للمكلفين في الاستقراض على حساب الأرباح والفوائد، أو في الصرف من مال آخر عندهم عوضاً عنها واستثناء ما يوازيه من الفائدة في نهاية السنة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الكلام لم يظهر له محصّل إلّا أن يراد به إذن الحاكم الشرعي للمكلّفين بجعل خمس المال المصروف في مؤنتهم من غير الأرباح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على ذمة الحاكم الشرعي بصفته ولياً على الخمس، ثم أداء هذا الدين من خمس الفوائد والأرباح</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يرد عليه بأنّه لا مبرر لإذن الحاكم الشرعي في ذلك، ولا أقل من جهة أنّ مصرف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تأمين الحوائج الضرورية للمؤمنين، وما يكون فيه ترويج </w:t>
      </w:r>
    </w:p>
    <w:p>
      <w:pPr>
        <w:pStyle w:val="BookText"/>
        <w:rPr/>
      </w:pPr>
      <w:r>
        <w:rPr>
          <w:rFonts w:ascii="Amiri" w:hAnsi="Amiri" w:eastAsia="Amiri" w:cs="Amiri"/>
          <w:color w:val="111111"/>
          <w:sz w:val="28"/>
          <w:sz w:val="28"/>
          <w:szCs w:val="28"/>
          <w:rtl w:val="true"/>
          <w:lang w:bidi="ar-SA"/>
        </w:rPr>
        <w:t>للدين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ومصرف سهم السادة خصوص الفقراء منهم، فأيّ مجوّز لصرف الخمس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صرف الخمس في مؤنة صاحب الفائدة في إطار صرف الفائدة بتمامها في ذلك، وأمّا مع عدم صرف أربعة أخماس الفائدة في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إخراج الخمس الخامس ودفعه لمستحقيه وليس منهم صاحب الفائدة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الحاكم الشرعي فهو وإنْ كان يجوز له القرض على حساب الخمس وصرفه في مصارفه، ثم أداء القرض من الخمس إلّا أنّ المفروض في المقام عدم صرف ما يستقرضه صاحب الفائدة على ذمة الحاكم الشرعي إلّا في مؤنة نفسه فكيف يجوز له أن يأذن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يقابل الدين موجوداً وغير مستخدم في المؤنة، كما لو اشترى قطعة أرض بدين وبقيت إلى آخر السنة من دون أنْ يستخدمها لسكناه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بالاستثناء في هذه الصورة عدد من الفقهاء،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المثال يقوّم الأرض، ويلاحظ الدين الذي عليه من ثمنها فبمقدار الدين لا ربح، وإنّما الربح في الزائد عليه لو كان فيجب تخميسه حينئذٍ</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ويُلاحَظ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الخمس في ارتفاع قيمة الأرض بأنّه إنّما يتمّ فيها إذا كانت الأرض معدّة للإتّجار بعينها، فإن ارتفاع قيمتها عن ثمن شرائها ربح كما أنّ انخفاض قيمتها عنه خسارة تُجبر من الأرباح</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غير معدّة للإتّجار بعينها، كما لو اشتراها للاقتناء فارتفاع قيمتها ليس ربحاً خاضعاً للتخميس، كما أنّ انخفاض قيمتها ليس خسارة تُجبر بالربح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للدين مقابل، كما لو اشترى سلعة بالدين فسرقت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لا مجال لاستثناء الدين من الأرباح، إلّا إذا كان الدين متعلقاً بتجارته حيث يعدّ تلف ما يقابله خسارة يجوز جبرها من الربح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موارد استثناء مقدار الدين من الأرباح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يكون للمؤنة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يكون ما يقابله موجوداً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تلف ما يقابله ويعدّ خسارة 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وعبارة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المنهاج</w:t>
      </w:r>
      <w:r>
        <w:rPr>
          <w:rStyle w:val="FootnoteAnchor"/>
          <w:rtl w:val="true"/>
        </w:rPr>
        <w:footnoteReference w:id="50"/>
      </w:r>
      <w:r>
        <w:rPr>
          <w:rFonts w:ascii="Amiri" w:hAnsi="Amiri" w:eastAsia="Amiri" w:cs="Amiri"/>
          <w:color w:val="111111"/>
          <w:sz w:val="28"/>
          <w:sz w:val="28"/>
          <w:szCs w:val="28"/>
          <w:rtl w:val="true"/>
          <w:lang w:bidi="ar-SA"/>
        </w:rPr>
        <w:t>وان كانت تشتمل على استثناء المورد الأول فقط،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يؤد دينه إلى أن انقضت السنة وجب الخمس من دون استثناء مقدار وفاء الدين، إلّا أن يكون الدين لمؤنة السنة وبعد ظهور الربح فاستثناء مقداره من ربحه لا يخلو من وجه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المورد الثاني مصرّح به في كتاب الخمس من مستند العروة الوثقى</w:t>
      </w:r>
      <w:r>
        <w:rPr>
          <w:rStyle w:val="FootnoteAnchor"/>
          <w:rtl w:val="true"/>
        </w:rPr>
        <w:footnoteReference w:id="51"/>
      </w:r>
      <w:r>
        <w:rPr>
          <w:rFonts w:ascii="Amiri" w:hAnsi="Amiri" w:eastAsia="Amiri" w:cs="Amiri"/>
          <w:color w:val="111111"/>
          <w:sz w:val="28"/>
          <w:sz w:val="28"/>
          <w:szCs w:val="28"/>
          <w:rtl w:val="true"/>
          <w:lang w:bidi="ar-SA"/>
        </w:rPr>
        <w:t xml:space="preserve">، كما أنّ المورد الثالث ممّا يستفاد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رسالة المنهاج</w:t>
      </w:r>
      <w:r>
        <w:rPr>
          <w:rStyle w:val="FootnoteAnchor"/>
          <w:rtl w:val="true"/>
        </w:rPr>
        <w:footnoteReference w:id="5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129" w:name="pg9058_87463"/>
    </w:p>
    <w:p>
      <w:pPr>
        <w:pStyle w:val="Heading3"/>
        <w:numPr>
          <w:ilvl w:val="2"/>
          <w:numId w:val="1"/>
        </w:numPr>
        <w:rPr/>
      </w:pPr>
      <w:bookmarkStart w:id="130" w:name="__RefHeading___Toc2364806_2870459653"/>
      <w:bookmarkStart w:id="131" w:name="_Toc46"/>
      <w:bookmarkEnd w:id="129"/>
      <w:bookmarkEnd w:id="130"/>
      <w:r>
        <w:rPr>
          <w:rtl w:val="true"/>
        </w:rPr>
        <w:t>المقام الثاني</w:t>
      </w:r>
      <w:r>
        <w:rPr>
          <w:rtl w:val="true"/>
        </w:rPr>
        <w:t xml:space="preserve">: </w:t>
      </w:r>
      <w:r>
        <w:rPr>
          <w:rtl w:val="true"/>
        </w:rPr>
        <w:t>في أداء الدين من أرباح السنة الثانية قبل تخميسها</w:t>
      </w:r>
      <w:bookmarkEnd w:id="131"/>
    </w:p>
    <w:p>
      <w:pPr>
        <w:pStyle w:val="BookText"/>
        <w:rPr/>
      </w:pPr>
      <w:r>
        <w:rPr>
          <w:rFonts w:ascii="Amiri" w:hAnsi="Amiri" w:eastAsia="Amiri" w:cs="Amiri"/>
          <w:color w:val="111111"/>
          <w:sz w:val="28"/>
          <w:sz w:val="28"/>
          <w:szCs w:val="28"/>
          <w:rtl w:val="true"/>
          <w:lang w:bidi="ar-SA"/>
        </w:rPr>
        <w:t>والدين إمّا أن يكون له ما يقابله أو لا، وعلى الأول إمّا أن يكون ما يقابله مستخدماً في مؤنة السنة الثانية أو لا، وعلى الثاني إمّا أن يكون اشتغال الذمة به بإتلاف مال الغير متعمداً بلا مبرر شرعي أو عقلائي، أو يكون على غير هذا الوجه، فهنا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للدين ما يقابله مع كونه مستخدماً في مؤنة السنة الثانية، كما لو اشترى داراً بالدين فحلّ رأس سنته الخمسية فسكنها، أو أنّه سكنها في سنة الشراء واستمر على ذلك إلى حين دخول السنة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لا إشكال في جواز أداء الدين من أرباح السنة الثانية من دون تخميسها؛ لأنّه من الصرف في المؤنة، وقد صرّح بذلك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للدين ما يقابله ولا يستخدم في مؤنة السنة الثانية، وهنا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بعض تلامذته أنّه لا يجوز أداء الدين من الربح بلا تخميس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وجه ذلك على ما في تقرير بحثه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بعد أنْ كان الدين مقابلاً بالمال، فلو أدّاه من الربح غير المخمَّس يبقى هذا المال خالصاً له بلا دين، فيكون زيادة على المؤنة فلابد من تخميسه، فليس له أن يؤدي دينه بلا تخميس لا بالنسبة إلى الربح ولا </w:t>
      </w:r>
    </w:p>
    <w:p>
      <w:pPr>
        <w:pStyle w:val="BookText"/>
        <w:rPr/>
      </w:pPr>
      <w:r>
        <w:rPr>
          <w:rFonts w:ascii="IRNazanin" w:hAnsi="IRNazanin" w:eastAsia="IRNazanin"/>
          <w:color w:val="111111"/>
          <w:sz w:val="28"/>
          <w:sz w:val="28"/>
          <w:szCs w:val="28"/>
          <w:rtl w:val="true"/>
          <w:lang w:bidi="fa-IR"/>
        </w:rPr>
        <w:t>الثمن</w:t>
      </w:r>
      <w:r>
        <w:rPr>
          <w:rStyle w:val="FootnoteAnchor"/>
          <w:rtl w:val="true"/>
        </w:rPr>
        <w:footnoteReference w:id="54"/>
      </w:r>
      <w:r>
        <w:rPr>
          <w:rFonts w:ascii="Amiri" w:hAnsi="Amiri" w:eastAsia="Amiri" w:cs="Amiri"/>
          <w:color w:val="111111"/>
          <w:sz w:val="28"/>
          <w:sz w:val="28"/>
          <w:szCs w:val="28"/>
          <w:rtl w:val="true"/>
          <w:lang w:bidi="ar-SA"/>
        </w:rPr>
        <w:t>، بل لابد وأنْ يحاسب آخر السنة</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لزوم تخميس الربح قبل أداء الدين منه، بل مقتضاه أنّه لو أداه قبل التخميس يلزمه تخميس العين في آخر السنة، وهذا 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آخر في توجيه الفتوى المذكورة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أداء الدين من أرباح السنة الثانية ليس إتّجاراً بها فيها، بل هو مصداق لأداء الدين السابق بالربح اللاحق ولا دليل على جوازه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غير تامٍ؛ إذ للمالك ولاية تبديل الربح بغيره في أثناء سنته سواء أ كان ذلك بالإتّجار أم بغيره، ولا ينبغي الشك في أنّ أداء الدين المتعلّق بعين من أي ربح سابقٍ على حصول الدين، أو لاحقٍ له يجعل من تلك العين ربحاً أي تكون بدلاً عن الربح المدفوع في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فالدار المشتراة بالدين لا تُعدّ ربحاً قبل أداء ثمنها من الأرباح، وأمّا بعد الأداء فلا محيص من الاعتراف بكونها ربحاً، وليس ذلك إلّا من جهة عدّها عرفاً بدلاً عن الربح المدفوع وفاءاً للدين المتعلّق بها، بلا فرق بين حصول الدين بعد ظهور الربح أو قبله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ينبغي الشك في جواز أداء الدين السابق من الربح اللاحق بلا حاجة إلى تخميسه أولاً، ولكن ما يقابل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عندئذ من أرباح السنة اللاحقة، فإن لم يستخدم أو يصرف في مؤنتها وجب تخميسه بقيمته في آخر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كون ما يقابل الدين معدّاً للإتجار بعينه في السنة السابقة، وفرض ارتفاع قيمته فيها أيضاً، يعدّ الزائد على قيمة الدين من أرباح تلك السنة لا السنة الثانية التي تمّ أداء الدين من أرباحها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تعرّض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هذه الصورة في رسالة المنهاج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عبارته لا تخلو من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ما ليس من المؤنة بالذمة، أو استدان شيئاً لإضافته إلى رأس ماله ونحو ذلك مما يكون بدل دينه موجوداً، ولم يكن من المؤنة لم يجز له أداء دينه من أرباح سنته، بل يجب عليه التخميس وأداء الدين من المال المخمس، أو من مال آخر لم يتعلق به الخمس</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يكون المقصود بأرباح سنته أرباح سنته بعد حصول الدين، في مقابل أرباح سنته قبل حصوله الذي صرَّح به في كتاب الخمس من شرح العروة بجواز أداء الدين منها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يجوز له الآن أن يشتري الفرس بالربح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بأداء الدين الآتي من قبل الشراء، لكن حينئذ يكون الفرس بنفسه ربحاً إذ للمالك تبديل الأرباح خلال السنة ولو عدة مرات كما هو دأب التجار في معاملاتهم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للدين ما يقابله، ويكون اشتغال الذمة به بسبب إتلاف مال الغير عمداً بلا مبرّر شرعي أو عقلائي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استصوب بعضهم في هذه الصورة عدم جواز أداء الدين من الربح المتجدّد حصوله، بل مطلقاً، إلّا بعد تخميسه بدعوى أنّه لا يعدّ من المؤونة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الكلام لو صحَّ لجرى في نظائر هذه الصورة كما لو تعمّد التسبب فيما يوجب ثبوت الدية، أو الكفارة، أو الفدية، أو تعمّد إتلاف مال نفسه المشغول ذمته للغير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صدق الصرف في المؤنة على الصرف في أداء الدين الذي لا مقابل له ونحوه بغض النظر عن سببه ومورده، فإنّ إفراغ الذمة ما علق بها يناسب كل شخص، ولا يعدّ سرفاً وسفهاً منه وإن كان سببه كذلك، ولاسيّما إذا كان ذلك بعد ندمه على ما سبق منه من التفريط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للدين ما يقابله، ولا يكون اشتغال الذمة به على الوجه الذي مرّ في الصورة الثالثة، كما لو اتلف مال الغير خطأ، أو اشترى شيئاً بالذمة، ثم تلف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هذه الصورة في جواز أداء الدين من ربح السنة اللاحقة من دون الحاجة إلى تخميسها، وقد أشار إلى ذلك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بتقييده موضوع الحكم بعدم جواز أداء الدين من الربح اللاحق قبل تخميسه بما إذا كان بدل الدين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جواز أداء الدين من أرباح السنة اللاحقة قبل تخميسها في جميع الصور الأربع المتقدمة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على محمد وآله الطاهرين</w:t>
      </w:r>
      <w:r>
        <w:rPr>
          <w:rFonts w:eastAsia="Amiri" w:cs="Amiri" w:ascii="Amiri" w:hAnsi="Amiri"/>
          <w:color w:val="111111"/>
          <w:sz w:val="28"/>
          <w:szCs w:val="28"/>
          <w:rtl w:val="true"/>
          <w:lang w:bidi="ar-SA"/>
        </w:rPr>
        <w:t xml:space="preserve">. </w:t>
      </w:r>
      <w:bookmarkStart w:id="132" w:name="pg9058_87467"/>
    </w:p>
    <w:p>
      <w:pPr>
        <w:pStyle w:val="Heading3"/>
        <w:numPr>
          <w:ilvl w:val="2"/>
          <w:numId w:val="1"/>
        </w:numPr>
        <w:rPr/>
      </w:pPr>
      <w:bookmarkStart w:id="133" w:name="__RefHeading___Toc2364808_2870459653"/>
      <w:bookmarkStart w:id="134" w:name="_Toc47"/>
      <w:bookmarkEnd w:id="132"/>
      <w:bookmarkEnd w:id="133"/>
      <w:r>
        <w:rPr>
          <w:rtl w:val="true"/>
        </w:rPr>
        <w:t>المصادر</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العروة الوثقى تقريرات أبحاث السيد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تعاليق مبسوطة على العروة الوثقى للشيخ الفياض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المحشّاة لجمع من الأعلام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الصالحين للسيد الخوئي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9058_87469"/>
      <w:bookmarkStart w:id="136" w:name="pg9058_87469"/>
      <w:bookmarkEnd w:id="136"/>
    </w:p>
    <w:p>
      <w:pPr>
        <w:pStyle w:val="Heading2"/>
        <w:numPr>
          <w:ilvl w:val="1"/>
          <w:numId w:val="1"/>
        </w:numPr>
        <w:rPr/>
      </w:pPr>
      <w:bookmarkStart w:id="137" w:name="pg9058_87469"/>
      <w:bookmarkStart w:id="138" w:name="__RefHeading___Toc2364810_2870459653"/>
      <w:bookmarkStart w:id="139" w:name="_Toc48"/>
      <w:bookmarkEnd w:id="137"/>
      <w:bookmarkEnd w:id="138"/>
      <w:r>
        <w:rPr>
          <w:rtl w:val="true"/>
        </w:rPr>
        <w:t xml:space="preserve">المناسبة الذاتیة بین اللفظ و معناه </w:t>
      </w:r>
      <w:r>
        <w:rPr>
          <w:rtl w:val="true"/>
        </w:rPr>
        <w:t xml:space="preserve">- </w:t>
      </w:r>
      <w:r>
        <w:rPr>
          <w:rtl w:val="true"/>
        </w:rPr>
        <w:t xml:space="preserve">السّيّد جواد الموسوي الغريفي </w:t>
      </w:r>
      <w:r>
        <w:rPr>
          <w:rtl w:val="true"/>
        </w:rPr>
        <w:t>(</w:t>
      </w:r>
      <w:r>
        <w:rPr>
          <w:rtl w:val="true"/>
        </w:rPr>
        <w:t>دام عزه</w:t>
      </w:r>
      <w:r>
        <w:rPr>
          <w:rtl w:val="true"/>
        </w:rPr>
        <w:t>)</w:t>
      </w:r>
      <w:bookmarkEnd w:id="13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2364812_2870459653"/>
      <w:bookmarkStart w:id="141" w:name="_Toc49"/>
      <w:bookmarkEnd w:id="140"/>
      <w:r>
        <w:rPr>
          <w:rtl w:val="true"/>
        </w:rPr>
        <w:t>اشارة</w:t>
      </w:r>
      <w:bookmarkEnd w:id="1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9058_87471"/>
      <w:bookmarkStart w:id="143" w:name="pg9058_87471"/>
      <w:bookmarkEnd w:id="143"/>
    </w:p>
    <w:p>
      <w:pPr>
        <w:pStyle w:val="BookText"/>
        <w:rPr/>
      </w:pPr>
      <w:bookmarkStart w:id="144" w:name="pg9058_87471"/>
      <w:bookmarkEnd w:id="144"/>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45" w:name="__RefHeading___Toc2364814_2870459653"/>
      <w:bookmarkStart w:id="146" w:name="_Toc50"/>
      <w:bookmarkEnd w:id="145"/>
      <w:r>
        <w:rPr>
          <w:rtl w:val="true"/>
        </w:rPr>
        <w:t>توطئة</w:t>
      </w:r>
      <w:bookmarkEnd w:id="146"/>
    </w:p>
    <w:p>
      <w:pPr>
        <w:pStyle w:val="BookText"/>
        <w:rPr/>
      </w:pPr>
      <w:r>
        <w:rPr>
          <w:rFonts w:ascii="Amiri" w:hAnsi="Amiri" w:eastAsia="Amiri" w:cs="Amiri"/>
          <w:color w:val="111111"/>
          <w:sz w:val="28"/>
          <w:sz w:val="28"/>
          <w:szCs w:val="28"/>
          <w:rtl w:val="true"/>
          <w:lang w:bidi="ar-SA"/>
        </w:rPr>
        <w:t>ليس غريباً أنْ يولي الباحث في اللسانيات والنقد الأدبي اليوم مبدأ اعتباطية العلاقة بين اللفظ والمعنى 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تكد تحظى قضية من قضايا الدرس اللساني الحديث في تُراثنا العربي بالبحث والدرس والتمحيص كما حظيت به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وبمراجعة تاريخ الدراسات اللغوية نجد أنّها قد نضجت في القرون الأربعة الأولى من الهجرة، وتبلورت على مدى تلك القرون ملامح التصور اللغوي للألفاظ والصيغ والأصوات والتراكيب والدلالة والمعجم، بل والتصور الكلي لظاهرة اللغة في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 عند علماء العربية من الأسباب الدينية، وغير الدينية ما جعل من النظر في العلاقة بين الدالّ اللغوي ومدلوله أمراً بالغ الأهمية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جموع المتّجهين إلى تقليب النصوص على وجوهها المختلفة من النحويين، والمعجميين، والمفسرين، والأصوليين، وأهل الكلام، وأعلام الفرق الإسلامية المعنيّة بتأويل النصوص، والمتصوفة، والبلاغيين، والأدباء قد عناهم بدرجات متفاوتة علاقة اللفظ بما يدلّ عليه، سواء من جهة المناسبة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طبيعيّة أم عرفيّة؟ أم من جهة كونها توقيفيّة أو اصطلاحيّة؟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إنّنا لو تتبّعنا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مباحثهم لألفيناهم يدرسون الظاهرة اللغوية 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المسألة المبحوث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زواياها المتعددة في </w:t>
      </w:r>
    </w:p>
    <w:p>
      <w:pPr>
        <w:pStyle w:val="BookText"/>
        <w:rPr/>
      </w:pPr>
      <w:r>
        <w:rPr>
          <w:rFonts w:ascii="Amiri" w:hAnsi="Amiri" w:eastAsia="Amiri" w:cs="Amiri"/>
          <w:color w:val="111111"/>
          <w:sz w:val="28"/>
          <w:sz w:val="28"/>
          <w:szCs w:val="28"/>
          <w:rtl w:val="true"/>
          <w:lang w:bidi="ar-SA"/>
        </w:rPr>
        <w:t xml:space="preserve">أكثر من عشرين مبحثاً على أقلّ تقدير ، وقد جعلوا لمباحثهم اللغوية هذه عنواناً يجمعها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المبادئ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خصّص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من العدَّة</w:t>
      </w:r>
      <w:r>
        <w:rPr>
          <w:rStyle w:val="FootnoteAnchor"/>
          <w:rtl w:val="true"/>
        </w:rPr>
        <w:footnoteReference w:id="60"/>
      </w:r>
      <w:r>
        <w:rPr>
          <w:rFonts w:ascii="Amiri" w:hAnsi="Amiri" w:eastAsia="Amiri" w:cs="Amiri"/>
          <w:color w:val="111111"/>
          <w:sz w:val="28"/>
          <w:sz w:val="28"/>
          <w:szCs w:val="28"/>
          <w:rtl w:val="true"/>
          <w:lang w:bidi="ar-SA"/>
        </w:rPr>
        <w:t xml:space="preserve">لبيان المبادئ اللغوية، كما أنّ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خصّص المطلب الثاني من الزبدة</w:t>
      </w:r>
      <w:r>
        <w:rPr>
          <w:rStyle w:val="FootnoteAnchor"/>
          <w:rtl w:val="true"/>
        </w:rPr>
        <w:footnoteReference w:id="61"/>
      </w:r>
      <w:r>
        <w:rPr>
          <w:rFonts w:ascii="Amiri" w:hAnsi="Amiri" w:eastAsia="Amiri" w:cs="Amiri"/>
          <w:color w:val="111111"/>
          <w:sz w:val="28"/>
          <w:sz w:val="28"/>
          <w:szCs w:val="28"/>
          <w:rtl w:val="true"/>
          <w:lang w:bidi="ar-SA"/>
        </w:rPr>
        <w:t>لذلك أيضاً، وبعد أن بيّن ماهية اللغة ذكر فيه 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الجذور التاريخيّة للمسألة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تنقل المصادر خلافاً قديماً في لزوم وجود مناسبة طبيعية بين اللفظ ومعناه، أو عدم لزوم تلك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محلٍّ أُثيرت فيه هذه المسألة وكانت مسرحاً للمطارحات الفكرية – حسب المصادر المتاحة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الفلسفة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تناولها بالبحث سقراط، ومن بعده تلامذته أفلاطون وهرموجين وكراتيل، ومن بعدهم أرسطو واختلف فيها رأيا سقراط وأرسطو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ورأيا هرموجين وكراتيل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خلافاهما مع الترجمات العالمية للفلسفة اليونانية إلى الفلسفات الأخرى فدخلا مجال الفلسفة الإسلامية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أقدم من تعامل معهما من فلاسفة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الفارابي</w:t>
      </w:r>
      <w:r>
        <w:rPr>
          <w:rStyle w:val="FootnoteAnchor"/>
          <w:rtl w:val="true"/>
        </w:rPr>
        <w:footnoteReference w:id="62"/>
      </w:r>
      <w:r>
        <w:rPr>
          <w:rFonts w:ascii="Amiri" w:hAnsi="Amiri" w:eastAsia="Amiri" w:cs="Amiri"/>
          <w:color w:val="111111"/>
          <w:sz w:val="28"/>
          <w:sz w:val="28"/>
          <w:szCs w:val="28"/>
          <w:rtl w:val="true"/>
          <w:lang w:bidi="ar-SA"/>
        </w:rPr>
        <w:t>ومتكلمة المعتزلة وفي طليعتهم عبّاد بن سليمان الصيمري</w:t>
      </w:r>
      <w:r>
        <w:rPr>
          <w:rFonts w:eastAsia="Amiri" w:cs="Amiri" w:ascii="Amiri" w:hAnsi="Amiri"/>
          <w:color w:val="111111"/>
          <w:sz w:val="28"/>
          <w:szCs w:val="28"/>
          <w:rtl w:val="true"/>
          <w:lang w:bidi="ar-SA"/>
        </w:rPr>
        <w:t xml:space="preserve">. </w:t>
      </w:r>
      <w:bookmarkStart w:id="147" w:name="pg9058_87473"/>
    </w:p>
    <w:p>
      <w:pPr>
        <w:pStyle w:val="BookText"/>
        <w:rPr/>
      </w:pPr>
      <w:bookmarkEnd w:id="147"/>
      <w:r>
        <w:rPr>
          <w:rFonts w:ascii="Amiri" w:hAnsi="Amiri" w:eastAsia="Amiri" w:cs="Amiri"/>
          <w:color w:val="111111"/>
          <w:sz w:val="28"/>
          <w:sz w:val="28"/>
          <w:szCs w:val="28"/>
          <w:rtl w:val="true"/>
          <w:lang w:bidi="ar-SA"/>
        </w:rPr>
        <w:t>وعن طريقهم انتقلت المسألة إلى الدراسات اللغوية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أقدم من أثارها على صعيد البحث اللغوي عالم اللغة المعتزلي أبو الفتح بن جنيّ في كتابه اللغوي القيّم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عن طريقهم دخلت عالم البحوث الأصولية الإسلامية، واستقبلها علماء المسلمين بالتحليل والمناقشة، واستمرّ النظر يدار فيها بما أفرز أكثر من نظرية أصولية إسلامية غير خفيَّة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بيَّنا الجذور التاريخية للمسألة لننتقل إلى محاولة معرفة نوع العلاقة القائمة بين اللفظ والمعنى الذي هو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هي ذاتية أم وضعية؟ فنقول</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2364816_2870459653"/>
      <w:bookmarkStart w:id="149" w:name="_Toc51"/>
      <w:bookmarkEnd w:id="148"/>
      <w:r>
        <w:rPr>
          <w:rtl w:val="true"/>
        </w:rPr>
        <w:t>العلاقة الذاتية بين اللفظ ومعناه</w:t>
      </w:r>
      <w:bookmarkEnd w:id="149"/>
    </w:p>
    <w:p>
      <w:pPr>
        <w:pStyle w:val="BookText"/>
        <w:rPr/>
      </w:pPr>
      <w:r>
        <w:rPr>
          <w:rFonts w:ascii="Amiri" w:hAnsi="Amiri" w:eastAsia="Amiri" w:cs="Amiri"/>
          <w:color w:val="111111"/>
          <w:sz w:val="28"/>
          <w:sz w:val="28"/>
          <w:szCs w:val="28"/>
          <w:rtl w:val="true"/>
          <w:lang w:bidi="ar-SA"/>
        </w:rPr>
        <w:t xml:space="preserve">اختلفوا في أنّ دلالة اللفظ على معناه هل هي 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بعضهم إلى الأول، وأقدم نظرية مدَّونة وصلت إلينا في المسألة تُفيد أنّ ممن ذهب إلى ذلك هو سقراط</w:t>
      </w:r>
      <w:r>
        <w:rPr>
          <w:rStyle w:val="FootnoteAnchor"/>
          <w:rtl w:val="true"/>
        </w:rPr>
        <w:footnoteReference w:id="63"/>
      </w:r>
      <w:r>
        <w:rPr>
          <w:rFonts w:ascii="Amiri" w:hAnsi="Amiri" w:eastAsia="Amiri" w:cs="Amiri"/>
          <w:color w:val="111111"/>
          <w:sz w:val="28"/>
          <w:sz w:val="28"/>
          <w:szCs w:val="28"/>
          <w:rtl w:val="true"/>
          <w:lang w:bidi="ar-SA"/>
        </w:rPr>
        <w:t xml:space="preserve">حسبما نقله عنه تلميذه أفلاطون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محاورة كراتيليوس</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وهي النظرية التي اسماها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المحاكاة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فسَّر بها أصل الأسماء وطريقة وضعها، ويورد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نقاشاً فلسفياً جرى بين شخصين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كراتيليوس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من تلامذة سقراط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فيه حول علاقة الكلمات بالأشياء حيث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كراتيليوس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علاقة طبيعية، بينما يرى الآخر أنّها علاقة اتفاق واصطلاح، وتمّ اللجوء إلى سقراط لأجل الاحتكام إليه فبدأ يحاور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هيرموجين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يقنعه بأنّ الاسم هو محاكاة للشيء، وبالتالي فالكلمات تنتمي إلى الأشياء على نحو طبيعي مدافعاً بذلك عن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كراتيليوس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أصل وضع الأسماء كان عن طريق محاكاة هذه الأسماء لمُسَمَيّاتها من خلال الحروف والمقاطع، فالحروف لها خصائص طبيعية وللأشياء خصائص طبيعية وواضِعوا الأسماء الأوائل اختاروا حروفاً، ومقاطع لتدل على الأشياء المختلفة مراعين أن تكون طبيعة هذه الحروف والمقاطع المختارة لتسمية شيء من الأشياء محاكية لطبيعة هذا الشيء الذي تسمّيه ودالة على طبيعته، وعليه فالاسم المثالي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يدلّ على طبيعة الشيء الذي يسمّيه، ويخبرنا بحقيقته ومن ثمّ يميّزه من غيره من الأشياء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حُكي ذلك عن بعض المعتزلة القدامى وفي طليعتهم عبّاد بن سليمان </w:t>
      </w:r>
    </w:p>
    <w:p>
      <w:pPr>
        <w:pStyle w:val="BookText"/>
        <w:rPr/>
      </w:pPr>
      <w:r>
        <w:rPr>
          <w:rFonts w:ascii="Amiri" w:hAnsi="Amiri" w:eastAsia="Amiri" w:cs="Amiri"/>
          <w:color w:val="111111"/>
          <w:sz w:val="28"/>
          <w:sz w:val="28"/>
          <w:szCs w:val="28"/>
          <w:rtl w:val="true"/>
          <w:lang w:bidi="ar-SA"/>
        </w:rPr>
        <w:t>الصيمري</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الوصول إلى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الموسوي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وممّن ذكر ذلك من مصادر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والآمدي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يرى أن دلالة اللفظ على معناه ناشئة عن مناسبة ذاتية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اُختُلِفَ في حكاية مذهب الصيمري، فقد حكى السيوطي</w:t>
      </w:r>
      <w:r>
        <w:rPr>
          <w:rStyle w:val="FootnoteAnchor"/>
          <w:rtl w:val="true"/>
        </w:rPr>
        <w:footnoteReference w:id="66"/>
      </w:r>
      <w:r>
        <w:rPr>
          <w:rFonts w:ascii="Amiri" w:hAnsi="Amiri" w:eastAsia="Amiri" w:cs="Amiri"/>
          <w:color w:val="111111"/>
          <w:sz w:val="28"/>
          <w:sz w:val="28"/>
          <w:szCs w:val="28"/>
          <w:rtl w:val="true"/>
          <w:lang w:bidi="ar-SA"/>
        </w:rPr>
        <w:t>ما يُفيد أن الصيمري لا يستغني بمذهبه عن الوضع أو الواضع، وإنَّما غاية ما يذهب إليه هو أنّ تلك المناسبة الذاتية المفروضة بين اللفظ والمعنى هي التي تحمل الواضع لأن يخصّص ذلك اللفظ لهذا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حكى الزركشي في الفصل الثامن</w:t>
      </w:r>
      <w:r>
        <w:rPr>
          <w:rStyle w:val="FootnoteAnchor"/>
          <w:rtl w:val="true"/>
        </w:rPr>
        <w:footnoteReference w:id="67"/>
      </w:r>
      <w:r>
        <w:rPr>
          <w:rFonts w:ascii="Amiri" w:hAnsi="Amiri" w:eastAsia="Amiri" w:cs="Amiri"/>
          <w:color w:val="111111"/>
          <w:sz w:val="28"/>
          <w:sz w:val="28"/>
          <w:szCs w:val="28"/>
          <w:rtl w:val="true"/>
          <w:lang w:bidi="ar-SA"/>
        </w:rPr>
        <w:t xml:space="preserve">الذي تناول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المناسبة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عباد بن سليمان الصيمري وتابعيه إلى أنّ دلالة الألفاظ على المعاني إنّما هي بذاتها، ونقل قول صاحب المحصول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يفيد المعنى بذاته من غير واضع لما بينهما من المناسبة الطبيعية، ثمّ نقل تصحيح الأصفهاني لما حُكي أخيراً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ذيَّل كلامه بنقل ما جاء عن صاحب الإحكام من أنّ المناسبة حاملة للواضع على أن يضع، وبنقل كلام السكاكي</w:t>
      </w:r>
      <w:r>
        <w:rPr>
          <w:rStyle w:val="FootnoteAnchor"/>
          <w:rtl w:val="true"/>
        </w:rPr>
        <w:footnoteReference w:id="68"/>
      </w:r>
      <w:r>
        <w:rPr>
          <w:rFonts w:ascii="Amiri" w:hAnsi="Amiri" w:eastAsia="Amiri" w:cs="Amiri"/>
          <w:color w:val="111111"/>
          <w:sz w:val="28"/>
          <w:sz w:val="28"/>
          <w:szCs w:val="28"/>
          <w:rtl w:val="true"/>
          <w:lang w:bidi="ar-SA"/>
        </w:rPr>
        <w:t xml:space="preserve">من أنّ هذا المذهب متأوّل على أنّ </w:t>
      </w:r>
    </w:p>
    <w:p>
      <w:pPr>
        <w:pStyle w:val="BookText"/>
        <w:rPr/>
      </w:pPr>
      <w:r>
        <w:rPr>
          <w:rFonts w:ascii="Amiri" w:hAnsi="Amiri" w:eastAsia="Amiri" w:cs="Amiri"/>
          <w:color w:val="111111"/>
          <w:sz w:val="28"/>
          <w:sz w:val="28"/>
          <w:szCs w:val="28"/>
          <w:rtl w:val="true"/>
          <w:lang w:bidi="ar-SA"/>
        </w:rPr>
        <w:t>للحروف خواص تناسب معناها من شدَّة وضعف وغيره، كالجهر والهمس والمتوسط بينهما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الخواص تستدعي كون العالم بها إذا أخذ في تعيين شيء منها لمعنى لا يهمل التناسب بينهما قضاءً لحق الكلم، كما ترى في الفصم بالفاء الذي هو حرف رخو لكسر الشيء من غير أن يبين، والقصم بالقاف الذي هو حرف شديد لكسر الشيء حتى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حكى الإسنوي</w:t>
      </w:r>
      <w:r>
        <w:rPr>
          <w:rStyle w:val="FootnoteAnchor"/>
          <w:rtl w:val="true"/>
        </w:rPr>
        <w:footnoteReference w:id="69"/>
      </w:r>
      <w:r>
        <w:rPr>
          <w:rFonts w:ascii="Amiri" w:hAnsi="Amiri" w:eastAsia="Amiri" w:cs="Amiri"/>
          <w:color w:val="111111"/>
          <w:sz w:val="28"/>
          <w:sz w:val="28"/>
          <w:szCs w:val="28"/>
          <w:rtl w:val="true"/>
          <w:lang w:bidi="ar-SA"/>
        </w:rPr>
        <w:t xml:space="preserve">القولين في مذهب الصيمري إلّا أنّه نسب الأول لمقتضى كلام الآمدي، والثاني 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ابن أمير الحاج</w:t>
      </w:r>
      <w:r>
        <w:rPr>
          <w:rStyle w:val="FootnoteAnchor"/>
          <w:rtl w:val="true"/>
        </w:rPr>
        <w:footnoteReference w:id="70"/>
      </w:r>
      <w:r>
        <w:rPr>
          <w:rFonts w:ascii="Amiri" w:hAnsi="Amiri" w:eastAsia="Amiri" w:cs="Amiri"/>
          <w:color w:val="111111"/>
          <w:sz w:val="28"/>
          <w:sz w:val="28"/>
          <w:szCs w:val="28"/>
          <w:rtl w:val="true"/>
          <w:lang w:bidi="ar-SA"/>
        </w:rPr>
        <w:t>أيضاً الاختلاف في النقل، وذكر كلام الإسنوي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سرد الشوكانى</w:t>
      </w:r>
      <w:r>
        <w:rPr>
          <w:rStyle w:val="FootnoteAnchor"/>
          <w:rtl w:val="true"/>
        </w:rPr>
        <w:footnoteReference w:id="71"/>
      </w:r>
      <w:r>
        <w:rPr>
          <w:rFonts w:ascii="Amiri" w:hAnsi="Amiri" w:eastAsia="Amiri" w:cs="Amiri"/>
          <w:color w:val="111111"/>
          <w:sz w:val="28"/>
          <w:sz w:val="28"/>
          <w:szCs w:val="28"/>
          <w:rtl w:val="true"/>
          <w:lang w:bidi="ar-SA"/>
        </w:rPr>
        <w:t>في بحثه عن الواضع أقوالاً ستةً، كان خامسها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نفس الألفاظ دلّت على معانيها بذاتها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الفخر الرازي في المحصول</w:t>
      </w:r>
      <w:r>
        <w:rPr>
          <w:rStyle w:val="FootnoteAnchor"/>
          <w:rtl w:val="true"/>
        </w:rPr>
        <w:footnoteReference w:id="72"/>
      </w:r>
      <w:r>
        <w:rPr>
          <w:rFonts w:ascii="Amiri" w:hAnsi="Amiri" w:eastAsia="Amiri" w:cs="Amiri"/>
          <w:color w:val="111111"/>
          <w:sz w:val="28"/>
          <w:sz w:val="28"/>
          <w:szCs w:val="28"/>
          <w:rtl w:val="true"/>
          <w:lang w:bidi="ar-SA"/>
        </w:rPr>
        <w:t>في بحثه عن الواضع في ذلك السرد، وعدَّ مذهب الصيمري في قبال المذاهب المحتاجة إلى واضع، ونسبا هذا القول بنحو جازم إلى عبّاد بن سليمان الصيمري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مصادرنا أيضاً نقلت اختلافاً في تحرير وتَقبُّل مذهب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w:t>
      </w:r>
    </w:p>
    <w:p>
      <w:pPr>
        <w:pStyle w:val="BookText"/>
        <w:rPr/>
      </w:pP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مذهب الصيمري هو ما قيل في الحكاية الثانية، واعتبر الحكاية الأولى تأويل لمذهب الصيمري، ونُسب هذا التأويل إلى السكاكي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السيد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المعالم</w:t>
      </w:r>
      <w:r>
        <w:rPr>
          <w:rStyle w:val="FootnoteAnchor"/>
          <w:rtl w:val="true"/>
        </w:rPr>
        <w:footnoteReference w:id="74"/>
      </w:r>
      <w:r>
        <w:rPr>
          <w:rFonts w:ascii="Amiri" w:hAnsi="Amiri" w:eastAsia="Amiri" w:cs="Amiri"/>
          <w:color w:val="111111"/>
          <w:sz w:val="28"/>
          <w:sz w:val="28"/>
          <w:szCs w:val="28"/>
          <w:rtl w:val="true"/>
          <w:lang w:bidi="ar-SA"/>
        </w:rPr>
        <w:t xml:space="preserve">مذهب الصيمري، وكان نقله موافقاً للحكاية الثانية أيضاً، ثمّ أتبعه بتقريب ما 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يتراءى عن بعض العبارات في حكاية مذهب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يوافق الحكاية الأولى، وناقش فيه بما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أريد بالوضع الذي ينبغي أن يكون على طبق المناسبة الذاتية ما هو صفة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التعيّن والاختصاص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منافاة عندئذ بين الحكايتين، إذ سيكون الخلاف بين الحكايتين مجرد اختلاف في التعبير، وإنّ الدلالة ناشئة عن مناسبة ذاتية بين اللفظ والمعنى فحسب دون دخالة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بالوضع ما هو فعل الواضع فالاختلاف بين الحكايتين عندئذ ثابت، ولكنّنا نشكك في الحكاية الأولى فبالإضافة إلى أنّها على خلاف ما هو المعروف عن هذا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ممّا لا ينسجم مع أدلّة هذا المذهب من حيث صراحتها بأنّ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متسالم عليه بين الفريقين، ولكنها تحاول إثبات أنّ هذا الاختصاص إلى المناسبة الذاتية دون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التعيين والتخصيص وهو فعل الواضع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ما لهذا الاختلاف في الحكاية من أهمية في تحديد الحاجة إلى الوضع من عدمها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هذا الاضطراب في نقل مذهب الصيمري لا يمكننا الركون إلى شيء من ذلك، إلَّا أنّ المقدار المتفق عليه فيما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لزوم وجود مناسبة </w:t>
      </w:r>
    </w:p>
    <w:p>
      <w:pPr>
        <w:pStyle w:val="BookText"/>
        <w:rPr/>
      </w:pPr>
      <w:r>
        <w:rPr>
          <w:rFonts w:ascii="Amiri" w:hAnsi="Amiri" w:eastAsia="Amiri" w:cs="Amiri"/>
          <w:color w:val="111111"/>
          <w:sz w:val="28"/>
          <w:sz w:val="28"/>
          <w:szCs w:val="28"/>
          <w:rtl w:val="true"/>
          <w:lang w:bidi="ar-SA"/>
        </w:rPr>
        <w:t>ذاتية بين اللفظ والمعنى، ولهذه المناسبة دخالة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بداهة بطلان مضمون الحكاية الثانية ومخالفتها الوجدان واستهجان القول بذلك دعا بعض الأعلام كالمحقق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 وأستاذنا السيد محمد سعيد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إلى الظن بعدم توهّمه من أحد رغم اطلاعهم على تلك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الأقرب، خصوصاً وأنَّ الجذور التاريخيّة لنظرية العلاقة الطبيعية بين اللفظ والمعنى التي نقلناها عن الفلسفة اليونانية التي نتوقع بأنّها منشأ مذهب الصيمري لا تنفي افتراض تصوُّر واضع للغة، بل تُصرِّح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ونحتمل أنّ هذه الأسباب هي ما دعتْ السكاكي وغيره إلى تأويل هذا المذهب بما يوافق الحكاية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الرأي يمضي العلاّمة اللغوي ابن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بما سمّاه في كتاب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إمساس الألفاظ أشباه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تصاقب الألفاظ لتصاقب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ويستند في الصفحات التي عقدها في خصائصه لهذه الصلة بين اللفظ والمعنى إلى أقوال أوائل الأئمة كالخليل وسيبويه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توهّموا في صوت الجندب استطالة ومداً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وتوهّموا في صوت البازي تقطيعاً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سيبويه في المصادر التي جاءت على الفعلان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تأتي للاضطراب والحركة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النقران والغليان والغثيان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فقابلوا بتوالي حركات المثال توالي حركات الأفعال</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من يرجع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جني وبخاصّة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الاشتقاق </w:t>
      </w:r>
    </w:p>
    <w:p>
      <w:pPr>
        <w:pStyle w:val="BookText"/>
        <w:rPr/>
      </w:pP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سوف يراه يحوم حول حمى سقراط وعبّاد بن سليمان فهو يؤكّد على ضرورة وجود المناسبة بين طبيعة اللفظ كصوت وطبيعة المعنى كواقع تلك المناسبة التي تمسّك بها المعتزلة القائلون بمقالة سقراط، ليحقّقوا وجود المرجّح الكاشف عن أنّ العلاقة بين اللفظ والمعنى طبيعية لا عرفية إذ يقول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بعضهم إلى أنّ أصل اللغات كلها إنّما هو الأصوات المسموعة كدوي الريح، وحنين الرعد، وخرير الماء، وشحيح الحمار، ونعيق الغراب، وصهيل الفرس، ونزيب الظبي، ثمّ تولّدت اللغات عن ذلك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وجه صالح ومذهب </w:t>
      </w:r>
    </w:p>
    <w:p>
      <w:pPr>
        <w:pStyle w:val="BookText"/>
        <w:rPr/>
      </w:pPr>
      <w:r>
        <w:rPr>
          <w:rFonts w:ascii="IRNazanin" w:hAnsi="IRNazanin" w:eastAsia="IRNazanin"/>
          <w:color w:val="111111"/>
          <w:sz w:val="28"/>
          <w:sz w:val="28"/>
          <w:szCs w:val="28"/>
          <w:rtl w:val="true"/>
          <w:lang w:bidi="fa-IR"/>
        </w:rPr>
        <w:t>متقبل</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الصلة التي افترضوها غير واضحة، وإلّا لكان كل إنسان يستطيع أن يفهم كلّ لغات العالم بمجرد معرفته لألفاظها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المؤيدين لمن يرى لابدّية الصلة الذاتية بين اللفظ والمعنى لمَّا تبين لهم غموض هذه الصلة، ولم يجدوا لها تعليلاً مقبولاً تستريح إليه النفس وتطمئن إليه العقول، أخذوا يفترضون أنّ تلك الصلة الطبيعية كانت واضحة سهلة التفسير في بدء نشأتها، ثمّ تطورت الألفاظ ولم يُعدَّ من اليسير أنْ نتبيّن بوضوح تلك الصلة، أو نجد لها تعليلاً وتفسيراً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السيوطي</w:t>
      </w:r>
      <w:r>
        <w:rPr>
          <w:rStyle w:val="FootnoteAnchor"/>
          <w:rtl w:val="true"/>
        </w:rPr>
        <w:footnoteReference w:id="80"/>
      </w:r>
      <w:r>
        <w:rPr>
          <w:rFonts w:ascii="Amiri" w:hAnsi="Amiri" w:eastAsia="Amiri" w:cs="Amiri"/>
          <w:color w:val="111111"/>
          <w:sz w:val="28"/>
          <w:sz w:val="28"/>
          <w:szCs w:val="28"/>
          <w:rtl w:val="true"/>
          <w:lang w:bidi="ar-SA"/>
        </w:rPr>
        <w:t>عمن تابع عبّاداً في رأيه أنّه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يعرف مناسبة الألفاظ لمعانيها فسئل ما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أذغاغ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فيه يُبساً شديداً وأراه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المصادر</w:t>
      </w:r>
      <w:r>
        <w:rPr>
          <w:rStyle w:val="FootnoteAnchor"/>
          <w:rtl w:val="true"/>
        </w:rPr>
        <w:footnoteReference w:id="81"/>
      </w:r>
      <w:r>
        <w:rPr>
          <w:rFonts w:ascii="Amiri" w:hAnsi="Amiri" w:eastAsia="Amiri" w:cs="Amiri"/>
          <w:color w:val="111111"/>
          <w:sz w:val="28"/>
          <w:sz w:val="28"/>
          <w:szCs w:val="28"/>
          <w:rtl w:val="true"/>
          <w:lang w:bidi="ar-SA"/>
        </w:rPr>
        <w:t>تعزو قول المناسبة الذاتية أيضاً إلى أرباب علم التكسير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عليك أنّ هذا الاتجاه الذي يُعزى إلى سقراط، وعبّاد، ومن حذا حذوهم مردود بما اشتهر قديماً وحديثاً، وتكرر جوابه بين الأعلام من أنّ الدلالة بين اللفظ </w:t>
      </w:r>
    </w:p>
    <w:p>
      <w:pPr>
        <w:pStyle w:val="BookText"/>
        <w:rPr/>
      </w:pPr>
      <w:r>
        <w:rPr>
          <w:rFonts w:ascii="Amiri" w:hAnsi="Amiri" w:eastAsia="Amiri" w:cs="Amiri"/>
          <w:color w:val="111111"/>
          <w:sz w:val="28"/>
          <w:sz w:val="28"/>
          <w:szCs w:val="28"/>
          <w:rtl w:val="true"/>
          <w:lang w:bidi="ar-SA"/>
        </w:rPr>
        <w:t>والمعنى لو كانت ذاتية لاهتدى كل إنسان إلى كل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اللازم يدلّ على بطلان 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يُبنى على تقرير آخر للصلة الذاتية بين اللفظ ومعناه، وهو ما يُحكى ذهاب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Style w:val="FootnoteAnchor"/>
          <w:rtl w:val="true"/>
        </w:rPr>
        <w:footnoteReference w:id="83"/>
      </w: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للألفاظ والأصوات مناسبات كامنة مودعة في جبلّة الإنسان لا يطلّع عليها، كل أحد، وما يصدر ممّن يُسمى واضعاً للغة –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الكشف عن تلك المناسبة بإلهام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الربط الاعتباطي بين اللفظ والمعنى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يندفع عنه الإيراد باستلزام الدلالة الذاتية لاطّلاع كلّ أحد عليها للحاجة إلى الكشف في هذا الانتقال، إلّا أنّ التقرير في أساسه غير مقبول، وواضح الاندفاع بما سيأتي عند التعرض لحجّة النافين، إذ أنّ من الواضح أنَّ مجرد وجود المناسبة أو العلم بوجودها، أو الكشف عنها لا يكون موجباً لخطور المعاني في الذهن قطعاً</w:t>
      </w:r>
      <w:r>
        <w:rPr>
          <w:rStyle w:val="FootnoteAnchor"/>
          <w:rtl w:val="true"/>
        </w:rPr>
        <w:footnoteReference w:id="84"/>
      </w:r>
      <w:r>
        <w:rPr>
          <w:rFonts w:ascii="Amiri" w:hAnsi="Amiri" w:eastAsia="Amiri" w:cs="Amiri"/>
          <w:color w:val="111111"/>
          <w:sz w:val="28"/>
          <w:sz w:val="28"/>
          <w:szCs w:val="28"/>
          <w:rtl w:val="true"/>
          <w:lang w:bidi="ar-SA"/>
        </w:rPr>
        <w:t>، فكيف تتكون صفة الدلالة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أنّه مردود بما سيأتي عليك في الجواب السادس والسابع من أجوبة الوجه الأول فضلاً عن كونه دعوى خالية من الدليل</w:t>
      </w:r>
      <w:r>
        <w:rPr>
          <w:rFonts w:eastAsia="Amiri" w:cs="Amiri" w:ascii="Amiri" w:hAnsi="Amiri"/>
          <w:color w:val="111111"/>
          <w:sz w:val="28"/>
          <w:szCs w:val="28"/>
          <w:rtl w:val="true"/>
          <w:lang w:bidi="ar-SA"/>
        </w:rPr>
        <w:t xml:space="preserve">. </w:t>
      </w:r>
      <w:bookmarkStart w:id="150" w:name="pg9058_87482"/>
    </w:p>
    <w:p>
      <w:pPr>
        <w:pStyle w:val="Heading3"/>
        <w:numPr>
          <w:ilvl w:val="2"/>
          <w:numId w:val="1"/>
        </w:numPr>
        <w:rPr/>
      </w:pPr>
      <w:bookmarkStart w:id="151" w:name="__RefHeading___Toc2364818_2870459653"/>
      <w:bookmarkStart w:id="152" w:name="_Toc52"/>
      <w:bookmarkEnd w:id="150"/>
      <w:bookmarkEnd w:id="151"/>
      <w:r>
        <w:rPr>
          <w:rtl w:val="true"/>
        </w:rPr>
        <w:t>حُجَّة المُثبتين</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كون دلالة اللفظ على المعنى ناشئة عن مناسبة ذاتية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الاستدلال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الدلالة ناشئة عن مناسبة ذاتّية بين اللفظ والمعنى لكان كلّ لفظٍ صالحاً لأَنْ يُوضع للدلالة على المعنى ، واختيارُ لفظٍ لمعنى دونَ آخر موجب للترجيح بلا مرجِّح</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قبيح أو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الترجيح بلا مرجح بمعنى بلا علّة محال، وبمعنى بلا داعي عقلائي قبيح وليس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المقام تبعاً لصاحب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نقله صاحب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بأنّه موجب للترجيح بلا مرجح، ولم يذيّله بأنّه قبيح أو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ماثل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المحاضرات 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بأنه محال، وعبَّر في المصابيح</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بأنّه محال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قال في الدراسات بأنّه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الدلالة أمراً اعتبارياً لكانت متقوّمة بالاعتبار ووجود المُعتبر، وتنهدم بانقراضه، مع أنّنا نرى بالوجدان بقاء الدلالة في الألفاظ في جميع الأزمنة ولا تنتهي بموت المعتبر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الوجه الأول بعدةِ أجوبةٍ عُمدَتُها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قبح الترجيح بلا مرجح</w:t>
      </w:r>
      <w:r>
        <w:rPr>
          <w:rStyle w:val="FootnoteAnchor"/>
          <w:rtl w:val="true"/>
        </w:rPr>
        <w:footnoteReference w:id="87"/>
      </w:r>
      <w:r>
        <w:rPr>
          <w:rFonts w:ascii="Amiri" w:hAnsi="Amiri" w:eastAsia="Amiri" w:cs="Amiri"/>
          <w:color w:val="111111"/>
          <w:sz w:val="28"/>
          <w:sz w:val="28"/>
          <w:szCs w:val="28"/>
          <w:rtl w:val="true"/>
          <w:lang w:bidi="ar-SA"/>
        </w:rPr>
        <w:t>فضلاً عن كونه محالاً إذا كان هناك مُرجِّح لاختيار طبيعي الفعل مع فقد الترجيح بين أفراده ومصاديقه، وإنّما الممتنع هو التَرجُّح بلا مرجح</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في الحكم بالامتناع، أو المحال من أنّ الترجيح بلا مرجح في الأفعال الاختيارية لا يكون إلّا قبيحاً، ولا يستحيل وقوعه إلّا على الحكيم تعالى، وإلّا فهو بمكان من الإمكان؛ لكفاية إرادة المختار علة لفعله، وإنّما الممتنع هو وجود الممكن بلا علة، فلا استحالة في ترجيحه تعالى للمرجوح إلّا من باب امتناع صدوره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 فلا استحالة في ترجيحه لما هو المرجوح ممّا باختياره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إلّا أن يكون المراد بالاستحالة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القبح وهي الاستحالة العقلائية لا العقلية – بمعنى أنّ العقلاء يقبحون الترجيح بلا مرجح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هذا غير صحيح؛ لصريح الأعلام بأنّه ممتنع عقلا وليس عقلائياً، لاسيّما بعد أنْ اعتبروهما – أعني الترجيح والترجّح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واحد كما سيأتي بيانه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ذلك</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الترجيح أمر اختياري يمكن أنْ يرجّح الشخص أحد الفعلين على الآخر وإنْ لم تكن فيه مزية تستوجب التقديم وذلك؛ لكفاية وجود المرجّح في أصل الفعل وطبيعته إنْ كانت أفراده متساوية من دون أن يكون لبعضها مرجّح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أنّه لمّا كانت ضرورته تدعوه إلى إيجاد أحد الفعلين، وكان كل منهما وافياً في القيام بالغرض، فلا ريب أنّ تلك الضرورة هي التي تدعوه لأن يختار أحدهما ويترك الآخر وإن لم تكن مزية وخصوصية في الفرد الذي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اختيار فعل من دون تعلُّق غرض به لا بشخصه ولا بنوعه لغو وقبيح، لا أنّه محال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فرضنا أنّ هناك أواني متعدّدة من الماء، وكان كلّ إناء مساوياً للآخر في جميع الخصوصيات المحتملة من البرودة والكمية وما شاكلهما، ومن الاتّفاق أنّ الإنسان </w:t>
      </w:r>
    </w:p>
    <w:p>
      <w:pPr>
        <w:pStyle w:val="BookText"/>
        <w:rPr/>
      </w:pPr>
      <w:r>
        <w:rPr>
          <w:rFonts w:ascii="Amiri" w:hAnsi="Amiri" w:eastAsia="Amiri" w:cs="Amiri"/>
          <w:color w:val="111111"/>
          <w:sz w:val="28"/>
          <w:sz w:val="28"/>
          <w:szCs w:val="28"/>
          <w:rtl w:val="true"/>
          <w:lang w:bidi="ar-SA"/>
        </w:rPr>
        <w:t>اضطرّ إلى شرب الماء ليرفع عطشه بحيث كان كلّ إناء وافياً في القيام بالغرض، فهل تراه يمتنع عن الشرب ويعرّض نفسه للخطر مدّعياً أنّ إقدامه على واحد من الأواني مستلزم للترجيح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تراه يُقدِم على شرب ما في الإناء بعد أن كان مضطرّاً إلى فعل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شرب مطلق الماء الذي يتأتّى حصوله بكل واحد من الأواني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الضروري أنّ العقل لا يرى قبحاً في ترجيح أحد الأمرين بعد اضطراره إلى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ذكره غيرُ واحدٍ من الأعلام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 الهارب ورغيفي 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الواضع حيث احتاج إلى وضع طبيعي اللفظ لطبيعي المعنى لغرض التفاهم فيأتي دور اختيار الألفاظ، وحيث كان كل لفظ قابلا للجعل ومحصّلا للغرض فهو حرٌّ في اختيار أيُّها شاء، فاختياره خصوص لفظ لا يستلزم الترجيح بلا مرجّح وإن لم يكن فيه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فالترجيح بين الافراد المتساوية بلا مرجّح ليس بمحال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مبني على القول بعدم رجوع الترَجيح من غير مرجِّح إلى الترجُّح بلا مرجّح، وإلّا فهو محال</w:t>
      </w:r>
      <w:r>
        <w:rPr>
          <w:rStyle w:val="FootnoteAnchor"/>
          <w:rtl w:val="true"/>
        </w:rPr>
        <w:footnoteReference w:id="93"/>
      </w:r>
      <w:r>
        <w:rPr>
          <w:rFonts w:ascii="Amiri" w:hAnsi="Amiri" w:eastAsia="Amiri" w:cs="Amiri"/>
          <w:color w:val="111111"/>
          <w:sz w:val="28"/>
          <w:sz w:val="28"/>
          <w:szCs w:val="28"/>
          <w:rtl w:val="true"/>
          <w:lang w:bidi="ar-SA"/>
        </w:rPr>
        <w:t>أيضاً ، وتقريب ذلك</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امتناع التَّرَجُّح من غير مرجّح، وامتناع التَّرْجِيح بلا مرجّح من باب </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بالامتناع في الأول يستلزم الامتناع في الثاني؛ وذلك لأنّ أصل الفعل كما لا يتحقق بلا علة فكذلك الخصوصيات لا تتحقق إلَّا معها، فالجائع بالنسبة إلى الرغيفين والهارب بالنسبة إلى الطريقين كذلك، فكما أنَّ صدور أصل الأكل والهرب يحتاج إلى علّة لامتناع وجود الممكن بلا سبب، كذلك تخصيص أحد الرغيفين بالأكل وترك الآخر بما أنَّه أمر وجودي يحتاج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وجود أصل الفعل يتوقف على علّة دون خصوصياته يرجع إلى القول بوجود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وتحققه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يقول بعض المحققين إنَّ مآل تجويز الترجيح بلا مرجّح إلى تجويز التّرَجُّح بلا مرجّح؛ إذ لازم هذا الجواب أنَّ الخصوصية لا تطلب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انخرام للقاعدة العقلية من حاجة الممكن إلى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هو ما ذهب إليه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الترجيح لا يكون إلّا عن إرادة وقصد وهذا كافٍ لخروجه عن المحال</w:t>
      </w:r>
      <w:r>
        <w:rPr>
          <w:rStyle w:val="FootnoteAnchor"/>
          <w:rtl w:val="true"/>
        </w:rPr>
        <w:footnoteReference w:id="95"/>
      </w:r>
      <w:r>
        <w:rPr>
          <w:rFonts w:ascii="Amiri" w:hAnsi="Amiri" w:eastAsia="Amiri" w:cs="Amiri"/>
          <w:color w:val="111111"/>
          <w:sz w:val="28"/>
          <w:sz w:val="28"/>
          <w:szCs w:val="28"/>
          <w:rtl w:val="true"/>
          <w:lang w:bidi="ar-SA"/>
        </w:rPr>
        <w:t xml:space="preserve">، بخلاف الترجُّح الذي لا شكَّ في استحالته، إذ كيف يوجد المعلول بعد فرض عدم العلة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الإرادة إن لم تكن عن دواعٍ عقلائية فهو قبيح، إلّا أنَّ جواب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 بدفع القبح أيضاً، ولا يرد عليه ما ذكره المستشكلون</w:t>
      </w:r>
      <w:r>
        <w:rPr>
          <w:rStyle w:val="FootnoteAnchor"/>
          <w:rtl w:val="true"/>
        </w:rPr>
        <w:footnoteReference w:id="96"/>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إلى القول بوجود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وتحققه بلا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الغرض المتعلِّق بالطبيعي نفسه بتعلَّق بالإفراد بعد فرض أنّ الإرادة المتعلقة بالفرد بعنوان أنّه </w:t>
      </w:r>
    </w:p>
    <w:p>
      <w:pPr>
        <w:pStyle w:val="BookText"/>
        <w:rPr/>
      </w:pPr>
      <w:r>
        <w:rPr>
          <w:rFonts w:ascii="Amiri" w:hAnsi="Amiri" w:eastAsia="Amiri" w:cs="Amiri"/>
          <w:color w:val="111111"/>
          <w:sz w:val="28"/>
          <w:sz w:val="28"/>
          <w:szCs w:val="28"/>
          <w:rtl w:val="true"/>
          <w:lang w:bidi="ar-SA"/>
        </w:rPr>
        <w:t>مصداق للطبيعة، لا بعنوان شخصه كي يلزم الترجيح بلا مرجّح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على تقدير امتناع الترجيح بلا مرجّح بين الأفراد كالترجّح بلا مرجح، فإنّا لا نُسلّم أن الترجيح الحاصل في خصوصِ لفظٍ إنّما هو منحصرٌ بالمناسبة الذاتية، بل لعلّ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 آخر من الأُمور الخارجية مثل سبق المعنى إلى الذهن</w:t>
      </w:r>
      <w:r>
        <w:rPr>
          <w:rStyle w:val="FootnoteAnchor"/>
          <w:rtl w:val="true"/>
        </w:rPr>
        <w:footnoteReference w:id="97"/>
      </w:r>
      <w:r>
        <w:rPr>
          <w:rFonts w:ascii="Amiri" w:hAnsi="Amiri" w:eastAsia="Amiri" w:cs="Amiri"/>
          <w:color w:val="111111"/>
          <w:sz w:val="28"/>
          <w:sz w:val="28"/>
          <w:szCs w:val="28"/>
          <w:rtl w:val="true"/>
          <w:lang w:bidi="ar-SA"/>
        </w:rPr>
        <w:t xml:space="preserve">من بين المعاني في غيره تعالى ومصلحة أخرى في شأنه تعالى، أو نظير وضع الأعلام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وضع الوالد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لولده لكونه متولّداً في يوم ولادة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لكونه متولداً في يوم الجمعة، أو لأنَّ اسم جده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المدّعى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أن يكون الترجيح لأجل المناسبة الذاتية، إذ لا يُعقل تحقق المناسبة الذاتية بين جميع الألفاظ والمعاني؛ لاستلزام ذلك تحققها بين لفظ واحد ومعانٍ متضادة أو متناقضة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للفظ واحد اكثر من معنى كلفظ جون الموضوع للأسود والأبيض، ولفظ القرء للحيض والطُهر، ولفظ المولى الموضوع للعبد والسيد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معقول كما لا يخفى</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صاحب الفصول</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لجواز أن يشترك الضدان في معنى ذاتي يكون بينه وبين اللفظ المشترك مناسبة ذاتية، أو يكون للفظ جهتان ذاتيتان يناسب بكلٍ </w:t>
      </w:r>
    </w:p>
    <w:p>
      <w:pPr>
        <w:pStyle w:val="BookText"/>
        <w:rPr/>
      </w:pPr>
      <w:r>
        <w:rPr>
          <w:rFonts w:ascii="Amiri" w:hAnsi="Amiri" w:eastAsia="Amiri" w:cs="Amiri"/>
          <w:color w:val="111111"/>
          <w:sz w:val="28"/>
          <w:sz w:val="28"/>
          <w:szCs w:val="28"/>
          <w:rtl w:val="true"/>
          <w:lang w:bidi="ar-SA"/>
        </w:rPr>
        <w:t>منهما كلاً منهما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مردود، إذ ليست الغاية مجرّد تحصيل مناسبة ذاتيّة مشتركة بين الضدّين، بل ينبغي مع ذلك أن تكون تلك المناسبة علّة تامّة، أو مقتضية للدلالة على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البطلان؛ لعدم إمكان الشيء الواحد لأن يكون علةً تامة، أو مقتضياً للضدّين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 أيضاً بما أوضحه التفتازاني</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الألفاظ على معانيها لو كانت لمناسبة ذاتية بينهما لما صحّ وضع اللفظ الدالّ على الشيء بالمناسبة الذاتية لنقيض ذلك الشيء أو ضده، لأنّا لو وضعناه لمجرّد النقيض، أو الضد لما كان له في ذلك الاصطلاح دلالة على ذلك الشيء، فيلزم تخلّف ما بالذات،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وضعناه لذلك الشيء ولنقيضه، أو ضده فدلّ عليهما لزم اختلاف ما بالذات، بأن يناسب اللفظ بالذات للشيء ونقيضه أو ضده، وهما مختلفان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الترجيح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نفس الوضع</w:t>
      </w:r>
      <w:r>
        <w:rPr>
          <w:rStyle w:val="FootnoteAnchor"/>
          <w:rtl w:val="true"/>
        </w:rPr>
        <w:footnoteReference w:id="102"/>
      </w:r>
      <w:r>
        <w:rPr>
          <w:rFonts w:ascii="Amiri" w:hAnsi="Amiri" w:eastAsia="Amiri" w:cs="Amiri"/>
          <w:color w:val="111111"/>
          <w:sz w:val="28"/>
          <w:sz w:val="28"/>
          <w:szCs w:val="28"/>
          <w:rtl w:val="true"/>
          <w:lang w:bidi="ar-SA"/>
        </w:rPr>
        <w:t>دون المتعلَّق، باعتبار أَنّ الوضع ينبغي أن يشتمل على الخصوصية نظير ما قيل في الأحكام من كون الجعل لمصلحة في نفس الجعل مع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مشتملة على المناسبة الذاتية لا نفس الوضع</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بالاحتياج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إرادة الواضع</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هذا الجواب بأنّه مبني على القول بجواز الترجيح من غير مرجح</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الفصول الغرويّة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علي الموسويّ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على 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الصحيح إذ إن الإرادة حينئذ سبب وعلَّة وجود الفعل وعليه فلا يكون محالاً إلّا أنّها لا تدفع قبحه، إذ إنَّ المناط في القبح هو عدم وجود وجه عقلائي للإرادة، والمفروض تحقّقه في المقام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تقدير التسليم بأنّ دلالة اللفظ على المعنى ناشئ عن مناسبة ذاتية أنّى للواضع أنْ يعرف تلك المناسبة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على التسليم بأنَّ الواضع هو الباري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البطلان كما هو مُبيَّن في محلّه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بأَنَّ الدلالة لا بُدَّ وأن تكون ناشئة عن مناسبة ذاتيّة بين اللّفظ والمعنى مخالف للوجدان</w:t>
      </w:r>
      <w:r>
        <w:rPr>
          <w:rStyle w:val="FootnoteAnchor"/>
          <w:rtl w:val="true"/>
        </w:rPr>
        <w:footnoteReference w:id="107"/>
      </w:r>
      <w:r>
        <w:rPr>
          <w:rFonts w:ascii="Amiri" w:hAnsi="Amiri" w:eastAsia="Amiri" w:cs="Amiri"/>
          <w:color w:val="111111"/>
          <w:sz w:val="28"/>
          <w:sz w:val="28"/>
          <w:szCs w:val="28"/>
          <w:rtl w:val="true"/>
          <w:lang w:bidi="ar-SA"/>
        </w:rPr>
        <w:t>كما سيأتي توضيح ذلك قريباً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على الوجه الثاني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هذا الإشكال وإنْ كان صحيحاً في أصله إلَّا أنَّه لا يتأتّى إلّا على أحد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حقيقة العلاقة بين اللفظ والمعنى محض الاعتبار بلا دخالة أيّ شيء خارجي آخر محافظةً بذلك على منشأ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قلنا بأنّ العلاقة بين اللفظ والمعنى واقعية، سواءً كان منشأ جعلها الاعتبار كما اختاره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ذلك، أو كانت بين الاعتبارية والواقعية كما اختار ذلك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قلنا بمسلك التعهد وهو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يعطي الصلاحيّة لكلّ مستعمل بأنْ يكون واضعاً، أو قلنا بمسلك القرن الأكيد كما ذهب إلى ذلك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حتى على بعض التفسيرات لمسلك الاعتبار المذكورة في محلها أنّه لا بدّ معه من تأكيد أو تعهد</w:t>
      </w:r>
      <w:r>
        <w:rPr>
          <w:rFonts w:eastAsia="Amiri" w:cs="Amiri" w:ascii="Amiri" w:hAnsi="Amiri"/>
          <w:color w:val="111111"/>
          <w:sz w:val="28"/>
          <w:szCs w:val="28"/>
          <w:rtl w:val="true"/>
          <w:lang w:bidi="ar-SA"/>
        </w:rPr>
        <w:t xml:space="preserve">. </w:t>
      </w:r>
      <w:bookmarkStart w:id="153" w:name="pg9058_87491"/>
    </w:p>
    <w:p>
      <w:pPr>
        <w:pStyle w:val="Heading3"/>
        <w:numPr>
          <w:ilvl w:val="2"/>
          <w:numId w:val="1"/>
        </w:numPr>
        <w:rPr/>
      </w:pPr>
      <w:bookmarkStart w:id="154" w:name="__RefHeading___Toc2364820_2870459653"/>
      <w:bookmarkStart w:id="155" w:name="_Toc53"/>
      <w:bookmarkEnd w:id="153"/>
      <w:bookmarkEnd w:id="154"/>
      <w:r>
        <w:rPr>
          <w:rtl w:val="true"/>
        </w:rPr>
        <w:t>حُجَّة النافين</w:t>
      </w:r>
      <w:bookmarkEnd w:id="155"/>
    </w:p>
    <w:p>
      <w:pPr>
        <w:pStyle w:val="BookText"/>
        <w:rPr/>
      </w:pPr>
      <w:r>
        <w:rPr>
          <w:rFonts w:ascii="Amiri" w:hAnsi="Amiri" w:eastAsia="Amiri" w:cs="Amiri"/>
          <w:color w:val="111111"/>
          <w:sz w:val="28"/>
          <w:sz w:val="28"/>
          <w:szCs w:val="28"/>
          <w:rtl w:val="true"/>
          <w:lang w:bidi="ar-SA"/>
        </w:rPr>
        <w:t xml:space="preserve">بغض النظر عن قبول قاعدة استحالة الترجيح بلا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الأكثر ومنهم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رفضها – 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بإمكان الترجيح من غير 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به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وكفاية وجود المرجّح على طبيعي الفعل في اختيار أحد الأفراد المتساوية، أو بالتسليم بالقاعدة مع فرض وجود المرجِّح كما ذكرنا آنفاً، وبغض النظر عن جواب الوجه الثاني يمكن دفع القول بالدلالة الذاتيّة بأكثر من طريق إلّا أنّنا سنتعرَّض لأهمها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وفاقاً للسيد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 وتبعهُ في ذلك بعض أساتيذنا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إفاضاته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بذاتية الدلالة لا يخلو عن اثنين كلاهما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سماع اللفظ علّة تامّة لانتقال الذهن إلى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لما عداها من الأمور العدمية والوجودية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علم السامع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في الدلالة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واضح البطلان بالوجدان، فانّ لازم ذلك تمكّن كلّ شخص من الإحاطة </w:t>
      </w:r>
    </w:p>
    <w:p>
      <w:pPr>
        <w:pStyle w:val="BookText"/>
        <w:rPr/>
      </w:pPr>
      <w:r>
        <w:rPr>
          <w:rFonts w:ascii="Amiri" w:hAnsi="Amiri" w:eastAsia="Amiri" w:cs="Amiri"/>
          <w:color w:val="111111"/>
          <w:sz w:val="28"/>
          <w:sz w:val="28"/>
          <w:szCs w:val="28"/>
          <w:rtl w:val="true"/>
          <w:lang w:bidi="ar-SA"/>
        </w:rPr>
        <w:t>بجميع اللغات فضلاً عن لغة واحدة؛ لاستحالة تخلّف المعلول عن علّته التامّة، مع أنّنا نجد أهل لغة واحدة لا يحيطون بخصوصيّات لغتهم فضلا عن الإحاطة بجميع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سماع اللفظ مقتضياً</w:t>
      </w:r>
      <w:r>
        <w:rPr>
          <w:rStyle w:val="FootnoteAnchor"/>
          <w:rtl w:val="true"/>
        </w:rPr>
        <w:footnoteReference w:id="111"/>
      </w:r>
      <w:r>
        <w:rPr>
          <w:rFonts w:ascii="Amiri" w:hAnsi="Amiri" w:eastAsia="Amiri" w:cs="Amiri"/>
          <w:color w:val="111111"/>
          <w:sz w:val="28"/>
          <w:sz w:val="28"/>
          <w:szCs w:val="28"/>
          <w:rtl w:val="true"/>
          <w:lang w:bidi="ar-SA"/>
        </w:rPr>
        <w:t>لانتقال الذهن إلى المعنى، أي أنَّ المناسبة الموجودة بين اللفظ والمعنى نظير الملازمات العقلية التي هي من الأمور الواقعية وإنْ لم تكن من الموجودات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أُريد أنّ هذه المناسبة ثابتة في الواقع – وإنْ لم يلتفت إليها الواضع عند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وإنْ كان بمكان من الإمكان ثبوتاً وقابلاً للنزاع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مانع عقلاً من ثبوت هذا النحو من المناسبة بين الألفاظ، ومعانيها نظير الملازمة الثابتة بين أمرين، فإنّها ثابتة في الواقع والأزل بلا توقّف على اعتبار أيّ معتبر، أو فرض أيّ فارض، وبلا فرق بين أنْ يكون طرفاها ممكنين أو مستحيلين أو مختلفين، إذ صدقها لا يتوقف على صدق طرفيها فهي صادقة مع استحالتهما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 نعم، إنّ سنخ ثبوتها غير سنخ ثبوت المقولات كالجواهر والأعراض، ولذا ليست داخلة تحت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دليل على ثبوتها كذلك في مرحلة الإثبات، فلا يمكن الالتزام بها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من هذه المناسبة أنّ الواضع يلتفت إليها حين الوضع فينبعث بسببها إلى اختيار لفظ مخصوص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من المشاهد والمحسوس خارجاً أنّ مجرّد العلم بالمناسبة الذاتية بين اللفظ والمعنى لا يؤثر في تكوين صفة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جزماً </w:t>
      </w:r>
    </w:p>
    <w:p>
      <w:pPr>
        <w:pStyle w:val="BookText"/>
        <w:rPr/>
      </w:pPr>
      <w:r>
        <w:rPr>
          <w:rFonts w:ascii="Amiri" w:hAnsi="Amiri" w:eastAsia="Amiri" w:cs="Amiri"/>
          <w:color w:val="111111"/>
          <w:sz w:val="28"/>
          <w:sz w:val="28"/>
          <w:szCs w:val="28"/>
          <w:rtl w:val="true"/>
          <w:lang w:bidi="ar-SA"/>
        </w:rPr>
        <w:t>بالوجدان؛ لأنّ الواضع عند الوضع لا يلتفت دائماً إلى وجود مناسبة ذاتية بين اللفظ والمعنى لتكون تلك المناسبة قد دعته لاختيار لفظ مخصوص من بين سائر الألفاظ، كما نشاهد ذلك في الأعلام الشخصية وأسماء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يخترع الواضع لفظاً مخصوصاً فيضعه للمعنى في الوقت الذي ليس لذلك اللفظ سابقة في عالم الألفاظ، فيكون كالمرتجل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وربّما يتحقّق الوضع من الصبيان أحياناً وبديهي أنّهم لا يلتفتون إلى وجود مناسبة 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هناك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لينبعثوا بسببها إلى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أضاف أستاذنا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بحثه الشريف</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المباحث</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تابع في ذلك ما يُستفاد من كلمات السيد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الشق الثاني خارج عن مذهب الدلالة الذاتية أصلاً،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المذهب يبتني على كون تلك العلاقة بنحو العلّيّة التامّة للدلالة، وتُحدِث صفة الدلالة للفظ على المعنى، والانتقال من تصوّره إلى تصور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أنّ العلاقة على نحو الاقتضاء لا تُحدِث صفة الدلالة للّفظ على المعنى، وإنّما تقتضي وضع اللفظ المناسب للمعنى المناسب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قيل من أنّه لولا هذه المناسبة بين الألفاظ والمعاني لكان تخصيص الواضع لكل معنى لفظاً مخصوصاً بلا مرجّح وهو محال كالترجّح بلا مرجّح</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فجوابهُ ما مرَّ من جواب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ما مرَّ في جواب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أفاده أُستاذنا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بذلك أنّ وضع اللفظ للمعنى إذا لم يكن على طبق المناسبة الذاتية بينهما لم يكن مؤثراً في إحداث صفة الدلالة له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الضرورة والوجدان، فإنّ المحسوس والمشاهد في الخارج عند الناس أنّ وضع اللفظ للمعنى متى تحقّق كان مؤثّراً في دلالته عليه علم الناس بالمطابقة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بذلك أنّ الأحسن والأولى أنْ يكون الوضع على طبق المعنى المناسب للفظ ذاتاً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في أولية ذلك، وإنّما هو في أصل تأثير الوضع بدون المناسبة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هو ما أطبق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مدرسة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من المحقّقين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وضوح فساد تفسير العلاقة القائمة بين اللفظ والمعنى على أنّها علاقة ذاتيّة بينهما ينبغي دراسة التفسيرات الأُخرى؛ ليتسنى لنا معرفة حقيقة تلك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تفسير من مذهب العلاقة الذاتيّة هو ما ذهب إليه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علاقة واقعية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156" w:name="pg9058_87495"/>
    </w:p>
    <w:p>
      <w:pPr>
        <w:pStyle w:val="Heading3"/>
        <w:numPr>
          <w:ilvl w:val="2"/>
          <w:numId w:val="1"/>
        </w:numPr>
        <w:rPr/>
      </w:pPr>
      <w:bookmarkStart w:id="157" w:name="__RefHeading___Toc2364822_2870459653"/>
      <w:bookmarkStart w:id="158" w:name="_Toc54"/>
      <w:bookmarkEnd w:id="156"/>
      <w:bookmarkEnd w:id="157"/>
      <w:r>
        <w:rPr>
          <w:rtl w:val="true"/>
        </w:rPr>
        <w:t>المصادر</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الأصول لشيخ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للطباعة والنشر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بهاء الدين محمد بن الحسين بن عبد الصمد الحارثي الهمداني العاملي الجبعي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فارس حسون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محاورة كراتيليوس الطبعة الأولى سنة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ترجمة الدكتور عزمي طه السيد أحمد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الوصول إلى علم الأصول للعلامة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قوانين الأصول للمحقق الميرزا أبي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الفقيه المحقق والأصولي المدقق العلامة السيد علي الموسوي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حفيده السيد علي العلوي القزويني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في أصول الفقه تقرير أبحاث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اسحاق الفياض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أبحاث السيد روح الله الموسوي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حسن المرتضوي اللنگرودي نشر مؤسسة تنظيم ونشر آثار الإمام الخميني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عبد الصاحب </w:t>
      </w:r>
    </w:p>
    <w:p>
      <w:pPr>
        <w:pStyle w:val="BookText"/>
        <w:rPr/>
      </w:pPr>
      <w:r>
        <w:rPr>
          <w:rFonts w:ascii="Amiri" w:hAnsi="Amiri" w:eastAsia="Amiri" w:cs="Amiri"/>
          <w:color w:val="111111"/>
          <w:sz w:val="28"/>
          <w:sz w:val="28"/>
          <w:szCs w:val="28"/>
          <w:rtl w:val="true"/>
          <w:lang w:bidi="ar-SA"/>
        </w:rPr>
        <w:t xml:space="preserve">الحكيم مطبعة الهادي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محمد بن عمر بن حسين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طه جابر فياض العلواني الطبعة الثانية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علي بن محمد الآمدي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طبع مؤسسة النور الطبعة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المحيط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لبدر الدين محمد بن بهادر بن عبد الله الشافعي الزركشي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أبو محمد عبد الرحيم بن الحسن الإسنوي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التقرير والتحبير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الفحول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الأصول الشيخ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مجمع الفكر الإسلامي الطبعة المحققة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 تحقيق الشيخ محسن العراقي والسيد منذر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سعيد الحكيم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محمد باقر السيستاني تأليف الشيخ أمجد رياض والشيخ نزار يوسف نسخة أولية محدودة التداول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البهبهاني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الملكي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الغروية في الأصول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بن عبد الرحيم الطهراني الحائري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الإسلامية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1404</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ﻫ</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علاء بحر العلوم نشر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 تحقيق السيد محمد علي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أبحاث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علي الهاشمي الشاهرودي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مؤسسة دائرة معارف الفقه الإسلامي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العراقي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السيد الخوئي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 مطبعة أهل البيت عليهم السلام الناشر مؤسسة مطبوعاتي 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الروحاني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كاظم الأخوند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 وتحقيق السيد محمد كلانتر انتشارات داوري –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عوائد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المحقق المولى احمد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والدراسات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في دراية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حافظيان البابلي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الآداب المعنوية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الإلهيات على هدى الكتاب والسنة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الشيخ جعفر السبحاني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محمّد مكي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العالمي للدراسات الإسلامية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القدس</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إسحاق الفياض الطبعة الأولى نشر مكتب سماحته مطبعة شريعت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ويكيبيديا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مبني على الأنترنت متعدد اللغات في أكثر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لإعداد موسوعة حرة ودقيقة ومتكاملة ومتنوعة ومحايدة يستطيع الجميع المساهمة في تحريرها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النسخة العربية في يوليو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بحث الأستاذ سماحة الشيخ محمد إسحاق الفياض دامت إفاداته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مجلس بحث الأستاذ سماحة السيد محمد باقر السيستاني دامت إفاداته</w:t>
      </w:r>
      <w:r>
        <w:rPr>
          <w:rFonts w:eastAsia="Amiri" w:cs="Amiri" w:ascii="Amiri" w:hAnsi="Amiri"/>
          <w:color w:val="111111"/>
          <w:sz w:val="28"/>
          <w:szCs w:val="28"/>
          <w:rtl w:val="true"/>
          <w:lang w:bidi="ar-SA"/>
        </w:rPr>
        <w:t xml:space="preserve">. </w:t>
      </w:r>
      <w:bookmarkStart w:id="159" w:name="pg9058_87499"/>
    </w:p>
    <w:p>
      <w:pPr>
        <w:pStyle w:val="Heading2"/>
        <w:numPr>
          <w:ilvl w:val="1"/>
          <w:numId w:val="1"/>
        </w:numPr>
        <w:rPr/>
      </w:pPr>
      <w:bookmarkStart w:id="160" w:name="__RefHeading___Toc2364824_2870459653"/>
      <w:bookmarkStart w:id="161" w:name="_Toc55"/>
      <w:bookmarkEnd w:id="159"/>
      <w:bookmarkEnd w:id="160"/>
      <w:r>
        <w:rPr>
          <w:rtl w:val="true"/>
        </w:rPr>
        <w:t xml:space="preserve">قبح العقاب بلا بیان والاحتیاط العقلی فی موارد الشبهة البدویة </w:t>
      </w:r>
      <w:r>
        <w:rPr>
          <w:rtl w:val="true"/>
        </w:rPr>
        <w:t xml:space="preserve">- </w:t>
      </w:r>
      <w:r>
        <w:rPr>
          <w:rtl w:val="true"/>
        </w:rPr>
        <w:t xml:space="preserve">السيد علي البعاج </w:t>
      </w:r>
      <w:r>
        <w:rPr>
          <w:rtl w:val="true"/>
        </w:rPr>
        <w:t>(</w:t>
      </w:r>
      <w:r>
        <w:rPr>
          <w:rtl w:val="true"/>
        </w:rPr>
        <w:t>دام عزه</w:t>
      </w:r>
      <w:r>
        <w:rPr>
          <w:rtl w:val="true"/>
        </w:rPr>
        <w:t>)</w:t>
      </w:r>
      <w:bookmarkEnd w:id="16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364826_2870459653"/>
      <w:bookmarkStart w:id="163" w:name="_Toc56"/>
      <w:bookmarkEnd w:id="162"/>
      <w:r>
        <w:rPr>
          <w:rtl w:val="true"/>
        </w:rPr>
        <w:t>اشارة</w:t>
      </w:r>
      <w:bookmarkEnd w:id="1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والحمد لله رب العالمين، وصلّى الله على أفضل الأنبياء والمرسلين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البحث ممّا استفدتُه من كلمات 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منهم وحفظ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الموضوع</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البحث مُوزَّعا على حلقتين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مسلك قبح العقاب بلا بيان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مسلك حق الطاعة</w:t>
      </w:r>
      <w:r>
        <w:rPr>
          <w:rFonts w:eastAsia="Amiri" w:cs="Amiri" w:ascii="Amiri" w:hAnsi="Amiri"/>
          <w:color w:val="111111"/>
          <w:sz w:val="28"/>
          <w:szCs w:val="28"/>
          <w:rtl w:val="true"/>
          <w:lang w:bidi="ar-SA"/>
        </w:rPr>
        <w:t xml:space="preserve">. </w:t>
      </w:r>
      <w:bookmarkStart w:id="164" w:name="pg9058_87502"/>
    </w:p>
    <w:p>
      <w:pPr>
        <w:pStyle w:val="Heading3"/>
        <w:numPr>
          <w:ilvl w:val="2"/>
          <w:numId w:val="1"/>
        </w:numPr>
        <w:rPr/>
      </w:pPr>
      <w:bookmarkStart w:id="165" w:name="__RefHeading___Toc2364828_2870459653"/>
      <w:bookmarkStart w:id="166" w:name="_Toc57"/>
      <w:bookmarkEnd w:id="164"/>
      <w:bookmarkEnd w:id="165"/>
      <w:r>
        <w:rPr>
          <w:rtl w:val="true"/>
        </w:rPr>
        <w:t>الحلقة الأولى</w:t>
      </w:r>
      <w:r>
        <w:rPr>
          <w:rtl w:val="true"/>
        </w:rPr>
        <w:t xml:space="preserve">: </w:t>
      </w:r>
      <w:r>
        <w:rPr>
          <w:rtl w:val="true"/>
        </w:rPr>
        <w:t>مسلك قبح العقاب بلا بيان</w:t>
      </w:r>
      <w:bookmarkEnd w:id="166"/>
    </w:p>
    <w:p>
      <w:pPr>
        <w:pStyle w:val="BookText"/>
        <w:rPr/>
      </w:pPr>
      <w:r>
        <w:rPr>
          <w:rFonts w:ascii="Amiri" w:hAnsi="Amiri" w:eastAsia="Amiri" w:cs="Amiri"/>
          <w:color w:val="111111"/>
          <w:sz w:val="28"/>
          <w:sz w:val="28"/>
          <w:szCs w:val="28"/>
          <w:rtl w:val="true"/>
          <w:lang w:bidi="ar-SA"/>
        </w:rPr>
        <w:t>وقبل الخوض فيه ينبغي ذكر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والاحتياط العقليين يُطرحان في الشبهة البدوية بمناطات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عن الوظيفة العملية بمناط احتمال التكليف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دليل مثبتٍ أو نافٍ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بهذا المناط هو البحث عن منجّزية الاحتمال، وتقابله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عن الوظيفة العمليّة بمناط احتمال التكليف بلحاظ حيثية 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الحيثية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كون الكلّ مملوكا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التصرف في ملكه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لدفع الضرر المحتمل الذي هو من مبادئ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وتقابله البراءة بهذا المعنى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وبحثنا هذا ينتمي الى الشعبة الأولى من ذلك البحث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المبنى السائد بين متأخري الأصوليين والمُسلّم هو البراءة العقلية بمناط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وتفرّد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بمنجّزية الاحتمال ببيان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هنا الى نكتة أخرى وهي أنّنا أخذنا في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لسببين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الشبهة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التكليف قد يكون شكاً بدويّاً وقد يكون شكاً مقروناً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والنحو الثاني من الشك ينبغي أن يُبحث </w:t>
      </w:r>
    </w:p>
    <w:p>
      <w:pPr>
        <w:pStyle w:val="BookText"/>
        <w:rPr/>
      </w:pPr>
      <w:r>
        <w:rPr>
          <w:rFonts w:ascii="Amiri" w:hAnsi="Amiri" w:eastAsia="Amiri" w:cs="Amiri"/>
          <w:color w:val="111111"/>
          <w:sz w:val="28"/>
          <w:sz w:val="28"/>
          <w:szCs w:val="28"/>
          <w:rtl w:val="true"/>
          <w:lang w:bidi="ar-SA"/>
        </w:rPr>
        <w:t xml:space="preserve">عنه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الوظيفة العملية في موارد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تجري البراءة عقليّة كانت أو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تجري أصالة الاشتغال بعنوانها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محلّ بحث الأعلام هاهنا هو النحو الأول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الشك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 البحث ينصبّ فيه على أنّ المنجّز للتكليف هو وصوله لا مجرّد وجوده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مجرّد احتمال وصوله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أنّ دائرة البحث هي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شمول البحث لموارد الشك في نوع التكليف مع العلم بجنسه الذي هو مورد أصالة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المُتعارف من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الشكّ بالتكليف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استدركه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وافقه في تحديد مجاري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مجرّد العلم بجنس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عن دائرة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تجدر الإشارة إلى نبذة تاريخية عن البراءة العقلية ومعهوديّتها في كلمات الفقهاء والأصوليين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لأهميّة البحث التاريخي لمسائل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له من أثر كبير في 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نسلط الضوء على مراحل 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مساحات وزوايا حرجة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يساعد على كشف ما قد يحصل من الالتباس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استكشاف إرهاصات مُعيَّنة، فيكون هذا الاطلاع مبدأً تصديقياً لاتخاذ موقف ما نفياً أو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يُساعدنا في معرفة تجذّر تلك المسائل في الوجدان العلمي ومدى كمونها فيه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العقلية لم تكن معهودة عند قدماء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حدثت في العصر الثالث من عصور العلم وهو عصر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واستعان بذلك في مناقشته للبراءة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قولان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معهوديّتها في كلمات قدامى فقهاء وأصولييّ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قول الكثير من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معهوديتها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كلام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أشار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فقبل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لهذه القاعدة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عصره فيظهر منه أنّه يقول بالإباحة عند الشك في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يظهر منه أنّه يقصد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مراده الإباحة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بعد الصدوق فالشيخ المفيد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منهما تبنّي هذه القاعدة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يُستشم من كلامهما العكس، فإنّه كانت هناك مسألة أصولية يُبحث فيها عن حكم الأصل في الأشياء هل هو الحظر أو الإباحة فيما لم يستقل العقل فيه بالقبح أو الحُسن؟ فقيل فيه بالحظر؛ لأنّه لا يؤمّن من وقوع المفسدة بسبب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الطراز من التفكير لا يتناسب مع 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بفترة قرن من الزمان نجد أنّ ابن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البراءة العقلية، ولكن بحسب الظاهر لم يكن يقصد بها قبح العقاب بلا بيان بالمعنى المعروف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يقول بقبح التكليف مع عدم العلم؛ لأنّه 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جاء دور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على البراءة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حال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ترجع البراءة الى كبرى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الاستصحاب غير قاعدة قبح العقاب بلا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بشيء مع عدم نصب دليل عليه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وصول الدليل دليل على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غير القاعدة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 بعد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البراءة في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في العصر </w:t>
      </w:r>
    </w:p>
    <w:p>
      <w:pPr>
        <w:pStyle w:val="BookText"/>
        <w:rPr/>
      </w:pPr>
      <w:r>
        <w:rPr>
          <w:rFonts w:ascii="Amiri" w:hAnsi="Amiri" w:eastAsia="Amiri" w:cs="Amiri"/>
          <w:color w:val="111111"/>
          <w:sz w:val="28"/>
          <w:sz w:val="28"/>
          <w:szCs w:val="28"/>
          <w:rtl w:val="true"/>
          <w:lang w:bidi="ar-SA"/>
        </w:rPr>
        <w:t>الثالث من علم الأصول تبلورت البراءة العقلية بعنوان قبح العقاب بلا بيان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مواضع للنظر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وسيُعتمد في المناقشة على منهج تجميع القرائن والشواهد لتؤدي بمجموعها الى الاطمئنان والوثوق بوجود جذر تأريخي للبراءة العقليّة في كلام قدماء الفقهاء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مواضع النظر في كلامه فخمسة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الى كون الهدف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ارتكازية البراءة العقلية في أذهان الفقهاء القدامى، فالمفروض النظر إلى البراءة العقلية بوجه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بمناط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المتسالم عليه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بمناطات أخرى كقبح التكليف بغير المقدور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عند المتقدّمين من الفقهاء والأصوليين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نريد أنْ نستكشف في هذه الجهة مدى كمون البراءة العقليّة في الوجدان العلمي، وجذورها التاريخية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كاف ٍ في ردِّ تلك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البراءة العقلية بمناط 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أصلا عملياً لتحديد الوظيفة العمليّة فحسب إنّما استقرت عند المتأخّرين بعد نشوء الحركة الإخبارية وتشكيكاتها في مباني الاستنباط الفقهي عند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وحملتهم على العمل بالظنون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 الحركة الإخبارية فقد كان الاستدلال بالبراءة يتأرجح بين كونها أصلاً بمعنى نفي العقوبة والمؤاخذة حال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كونها أمارة ودليلاً على الحكم بعدم المؤاخذة كما سيتضحّ ذلك قريباً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البراءة العقلية لا يوجد لها عين ولا أثر ما قبل عصر </w:t>
      </w:r>
    </w:p>
    <w:p>
      <w:pPr>
        <w:pStyle w:val="BookText"/>
        <w:rPr/>
      </w:pP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عصره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يظهر منه الاستناد الى البراءة في قوله بالإباحة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يتوجّه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الكتب الفقهيّة لقدماء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كتباً استدلالية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فتاواهم إنّما كانت متون الروايات، إذ كان هذا الأسلوب هو الأسلوب المتعارف آنذاك في كتب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أسلوب الإفتاء خارجاً عن حدود ما ورد في الأخبار لعوامل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الخشية من أنْ تُردّ فتاواهم ظنَّا من الغير أنّها من عندهم من دون الاستناد إلى الأخبار الواردة عن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ويشهد له ما في مقدمة المُقنع للصدوق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إنّي صنفتُ كتابي هذا وسميتُه المُقنع لقنوع من يقرؤه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الأسانيد منه لئلا يثقل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يصعب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يَمُلَّ قارئه</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بمكان من الوضوح من أنّ متن كتابه هو الأخبار التي يعتقد بصحتها مع حذف طرقها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نكتة عامة في كتب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مقام وهي نافعة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مسائل علم الأصول لم تكن بهذا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مستقلاً عن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فكرة تحديد الأصل العملي وفرزه عن سائر مبادئ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الإباحة يكون استناداً إلى بعض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ما يشهد على أنّه لا يرى البراءة العقلية؛ وذلك لأنّ المحدّثين من قدماء أصحابنا لم يطرحوا للمواضيع العقلية عنواناً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كانوا يُبيِّنون ذلك من خلال الأخبار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أنّ ما استشهد به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فيه على 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الاستشمام من كلام الشيخين المفيد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ذكِرَ آنفاً من أنّ مسألة الأصول العملية لم تكن واضحة بالشكل الذي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القدماء في مسألة أصالة الحظر والإباحة كانت تنطلق من استيجاب احتمال الضرر للحظر أو لا قبل ورود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فالمسألة مسوقة لبيان الموقف عند عدم ورود التكليف في شيء 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 أصالة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القائلون بأصالة الحظر أو الإباحة يُركّزون على مراعاة الحكم المحتمل، بل جلّ تركيزهم على ما يوجبه ملاك التكليف، وأنّه هل يستوجب الحظر أو الإباحة؟</w:t>
      </w:r>
    </w:p>
    <w:p>
      <w:pPr>
        <w:pStyle w:val="BookText"/>
        <w:rPr/>
      </w:pPr>
      <w:r>
        <w:rPr>
          <w:rFonts w:ascii="Amiri" w:hAnsi="Amiri" w:eastAsia="Amiri" w:cs="Amiri"/>
          <w:color w:val="111111"/>
          <w:sz w:val="28"/>
          <w:sz w:val="28"/>
          <w:szCs w:val="28"/>
          <w:rtl w:val="true"/>
          <w:lang w:bidi="ar-SA"/>
        </w:rPr>
        <w:t>وهذا يعني أنّهم قد فرغوا من أنّ التكليف المحتمل في حدّ نفسه لا يوجب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كلام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من القائلين بالإباحة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لم توجد أمارة المفسدة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الحكم بالإباحة مع احتمال التكليف بما يحتمل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معنى الإباحة هو جواز ارتكاب ما لم يرد فيه نصّ من الشارع وإنْ اُحتمل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وتوضِّح ذلك جملة من التطبيقات الفقهية في كلمات قدماء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كالسيد المرتضى والشيخ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فإنّها ليست بعيدة عن إفادة البراءة العقلية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قبح المؤاخذة عقلاً على مخالفة تكليف غير واصل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بشكل 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هاهنا بذكر أربعة نماذج من كلماتهم لتكون تأييداً لما ذُكِر، وشواهدَ معاكسة ً</w:t>
      </w:r>
    </w:p>
    <w:p>
      <w:pPr>
        <w:pStyle w:val="BookText"/>
        <w:rPr/>
      </w:pPr>
      <w:r>
        <w:rPr>
          <w:rFonts w:ascii="Amiri" w:hAnsi="Amiri" w:eastAsia="Amiri" w:cs="Amiri"/>
          <w:color w:val="111111"/>
          <w:sz w:val="28"/>
          <w:sz w:val="28"/>
          <w:szCs w:val="28"/>
          <w:rtl w:val="true"/>
          <w:lang w:bidi="ar-SA"/>
        </w:rPr>
        <w:t xml:space="preserve">لما أفاده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في جواز شرب </w:t>
      </w:r>
    </w:p>
    <w:p>
      <w:pPr>
        <w:pStyle w:val="BookText"/>
        <w:rPr/>
      </w:pPr>
      <w:r>
        <w:rPr>
          <w:rFonts w:ascii="Amiri" w:hAnsi="Amiri" w:eastAsia="Amiri" w:cs="Amiri"/>
          <w:color w:val="111111"/>
          <w:sz w:val="28"/>
          <w:sz w:val="28"/>
          <w:szCs w:val="28"/>
          <w:rtl w:val="true"/>
          <w:lang w:bidi="ar-SA"/>
        </w:rPr>
        <w:t>بول الإبل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على صحّة مذهبنا بعد الإجماع المتردد أنّ الأصل فيما يؤكل لحمه أو يشرب لبنه في العقل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ذهب إلى الحظر دليل شرعي ولن يوجد ذلك في بول ما يؤكل لحمه؛ لأنّهم إنّما يعتمدون على أخبار آحاد، وقد بيّنا أنّ أخبار الآحاد إذا سَلِمت من المعارضات والقدح لا يُعمل بها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أخبارهم هذه معارضة بأخبار ترويها ثقاتهم ورجالهم تتضمّن الإباحة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النموذج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في مسألة بيع تراب المعادن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 قوله تعالى وَأَحَلَّ اللَّهُ البَيْعَ وَحَرَّمَ الرِّبَا وهذا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يحتاج إلى دليل</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استدل بها هنا على صحّة المعاملة إلّا أنّ القدماء كانوا يحملون النهي على النهي التكليفي فضلاً عن الجانب الوضعي وهو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إرادة الشيخ الجانب التكليفي هنا أيضاً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والمنع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له بحسب الظاهر إلّا عدم 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الخلاف أيضا في كتاب الأطعمة والأشربة في مسألة أكل لحوم الحُمُر الأهلية والبغال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الأصل الإباحة والحظر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 تعالى قُل لاَّ أَجِدُ فِي مَا أُوحِيَ إِلَيَّ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ما عدا هذه مُباح إلّا ما أخرجه الدليل</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وجه الاستشهاد بما ذكره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 بضميمة </w:t>
      </w:r>
    </w:p>
    <w:p>
      <w:pPr>
        <w:pStyle w:val="BookText"/>
        <w:rPr/>
      </w:pPr>
      <w:r>
        <w:rPr>
          <w:rFonts w:ascii="Amiri" w:hAnsi="Amiri" w:eastAsia="Amiri" w:cs="Amiri"/>
          <w:color w:val="111111"/>
          <w:sz w:val="28"/>
          <w:sz w:val="28"/>
          <w:szCs w:val="28"/>
          <w:rtl w:val="true"/>
          <w:lang w:bidi="ar-SA"/>
        </w:rPr>
        <w:t xml:space="preserve">الاستدلال 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مقصوده بالإباحة هو الإباحة العقلية لا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باستظهار ذلك ذهابُه في كتاب أصوله إلى الوقف؛ لأنّ من المحتمل عدوله الى القول بالإباحة عند تأليف الخلاف الذي هو من أواخر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أنّ مغايرة ما يُذكر في الفقه مع ما يُرسى في الأصول أمرٌ قد يتفق لعوامل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الآثار العملية للفكرة في الفقه بشكل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الأمر 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في جميع تلك الشواهد ضمَّ ظواهر الآيات والأخبار إلى الاستدلال بالإباحة ممّا يدلّ على أنّ المقصود بالإباحة ما هو بحكم العقل لا الشرعية؛ فإنّ من البعيد إرادتها بقرينة المقابلة بينها وبين الأخبار والآيات في الاستدلالات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استدلالُهم بها على الإباحة الشرعية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ممّا ذكرناه هو عدم خلّو كلماتهم في الجملة عن أنّهم عنوا بالإباحةِ الإباحةَ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النموذج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ادريس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ويحتجّ بأنّ الأصل أنْ لا صوم واجب في شهر رمضان، فمن أوجبه فقد رجع عن الأصل الذي هو الإباحة أو لا تكليف، فلأنّ الأصل وجوب صوم رمضان، فمن ادّعى سقوطه عن المكلفين به يحتاج إلى دليل</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الاستشهاد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ردّد الأصل بين كونه الإباحة أو لا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يرجع إلى استصحاب العدم أو إلى استصحاب حال العقل، وهما يرجعان الى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كونه أصلا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أصالة الإباحة حينئذٍ ما هو بحكم العقل بمعنى البراءة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شواهد أخرى تؤيد ما ذكِر</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عين ولا أثر للبراءة العقلية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تأخُّر انبثاق البراءة العقلية كأصل عملي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انبثاقها في عصر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الأقرب أنّها انبثقت إبّان نشوء الحركة الإخباريّة كما أفاده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ما مُحصَّله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بتتبع حال البراءة والاستصحاب أنّ هذين الاصلين كانا قبل الحركة الاخبارية</w:t>
      </w:r>
      <w:r>
        <w:rPr>
          <w:rStyle w:val="FootnoteAnchor"/>
          <w:rtl w:val="true"/>
        </w:rPr>
        <w:footnoteReference w:id="125"/>
      </w:r>
      <w:r>
        <w:rPr>
          <w:rFonts w:ascii="Amiri" w:hAnsi="Amiri" w:eastAsia="Amiri" w:cs="Amiri"/>
          <w:color w:val="111111"/>
          <w:sz w:val="28"/>
          <w:sz w:val="28"/>
          <w:szCs w:val="28"/>
          <w:rtl w:val="true"/>
          <w:lang w:bidi="ar-SA"/>
        </w:rPr>
        <w:t xml:space="preserve">، معروضين على أنّهما من الأدلة وإنّما انبثق طرحهما كأصلين عمليين في أثر الحركة الاخبارية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ما اطلّعنا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أثر مجموع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حملة قويّة من قِبل أصحابها على العمل بالظن، واستبعاده بشكل نهائي عن مناهج الاستنباط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بقبول كونه من الظن ورفض اعتباره وذلك فيما يكون من مناهج الاستنباط العقلي مثل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برفض كون اعتباره على سبيل الظن وذلك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إلى مستوى القطع، كما فيما يتعلق بالأخبار، حيث قالوا بقطعيّة الكتب الأربعة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استنطاق الأخبار فيما يتعلق بالمسائل الأصولية المهمة على أساس وجود حلول كامنة في الأخبار لم يلتفت إليها الأصحاب لشيوع البحث عن الحل من </w:t>
      </w:r>
    </w:p>
    <w:p>
      <w:pPr>
        <w:pStyle w:val="BookText"/>
        <w:rPr/>
      </w:pPr>
      <w:r>
        <w:rPr>
          <w:rFonts w:ascii="Amiri" w:hAnsi="Amiri" w:eastAsia="Amiri" w:cs="Amiri"/>
          <w:color w:val="111111"/>
          <w:sz w:val="28"/>
          <w:sz w:val="28"/>
          <w:szCs w:val="28"/>
          <w:rtl w:val="true"/>
          <w:lang w:bidi="ar-SA"/>
        </w:rPr>
        <w:t>خلال التأمّلات العقليّة تأثّراً بالمنهج الفكري لدى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البراءة وإنْ طُرحت في المرحلة الأولى على سبيل الدليليّة في غالب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منها أنّها على سبيل الأصل العملي في جملة من الموارد انطلاقاً من أصالة الحظر، أو من قبح التكليف بغير المقدور، ونحوها من تعابير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الدليليّة طُرحِت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الدليليّة القطعية على أساس أنّ عدم الدليل دليل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الحكم لو كان ثابتاً لنصب الشارع عليه دلالةً، ولو نُصبت لوصلت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وجود دليل عليه يدلّ بالملازمة على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الدليليّة الظنيّة على أساس استصحاب براءة الذمة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انبثاق فكرة الأصل العملي وفرزه عن سائر مبادئ الاستنباط إنّما كان في عصر المُحدِّث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يساعد عليه تتبع كلمات المُحدِّث المذكور ومَنْ تأخر عنه من الأصوليين، كالفاضل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اتّضحت أسسه عند المتأخرين، وفُصِلت منذ ذلك الحين عن الظنون، وتمحّضت في تحديد الوظيفة العمليّة عند الشك والحَيرة اتجاه الموقف الشرعي بعد فقد الطريق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أنّ لا وجود لها في كلمات القدماء بنحو الإجمال، وإنْ كان الغالب الاستدلال بها على سبيل الأماريّة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النظر في كلام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أرجع انبثاق الفكرة إلى عصر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من أنّ اشتراط التكليف بالعلم مطروحٌ في كلام القدامى من الأصوليين، كما عن الشوكاني الزيدي في أول إرشاد </w:t>
      </w:r>
    </w:p>
    <w:p>
      <w:pPr>
        <w:pStyle w:val="BookText"/>
        <w:rPr/>
      </w:pPr>
      <w:r>
        <w:rPr>
          <w:rFonts w:ascii="Amiri" w:hAnsi="Amiri" w:eastAsia="Amiri" w:cs="Amiri"/>
          <w:color w:val="111111"/>
          <w:sz w:val="28"/>
          <w:sz w:val="28"/>
          <w:szCs w:val="28"/>
          <w:rtl w:val="true"/>
          <w:lang w:bidi="ar-SA"/>
        </w:rPr>
        <w:t>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عن ابن زهرة من أنّ التكليف من غير علم به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زهرة مسبوق بهذا الاستدلال وملحوق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إليه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الفرائد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المراد به إمّا لا يطاق الامتثال به بقصد الطاعة، كما صرّح به جماعة من الخاصة والعامة في دليل اشتراط التكليف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فنفس الفعل لا يصير ممّا لا يطاق بمجرّد عدم العلم بالتكليف</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كلامهم أنّهم لم يجدوا محرّكيةً للتكليف في حال عدم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فمنظورهم بما لا يطاق ليس ما احتمله الشيخ وذكره السيد</w:t>
      </w:r>
      <w:r>
        <w:rPr>
          <w:rStyle w:val="FootnoteAnchor"/>
          <w:rtl w:val="true"/>
        </w:rPr>
        <w:footnoteReference w:id="127"/>
      </w:r>
      <w:r>
        <w:rPr>
          <w:rFonts w:ascii="Amiri" w:hAnsi="Amiri" w:eastAsia="Amiri" w:cs="Amiri"/>
          <w:color w:val="111111"/>
          <w:sz w:val="28"/>
          <w:sz w:val="28"/>
          <w:szCs w:val="28"/>
          <w:rtl w:val="true"/>
          <w:lang w:bidi="ar-SA"/>
        </w:rPr>
        <w:t xml:space="preserve">من عدم إمكان الامتثال والطاعة، بل هو نظير بيان المحققَين النائيني والأصفهاني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وجود محرّكية في البين على 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مسلك قبح العقاب بلا بيان</w:t>
      </w:r>
    </w:p>
    <w:p>
      <w:pPr>
        <w:pStyle w:val="BookText"/>
        <w:rPr/>
      </w:pPr>
      <w:r>
        <w:rPr>
          <w:rFonts w:ascii="Amiri" w:hAnsi="Amiri" w:eastAsia="Amiri" w:cs="Amiri"/>
          <w:color w:val="111111"/>
          <w:sz w:val="28"/>
          <w:sz w:val="28"/>
          <w:szCs w:val="28"/>
          <w:rtl w:val="true"/>
          <w:lang w:bidi="ar-SA"/>
        </w:rPr>
        <w:t>للبراءة العقلية في كلمات الأعلام من المتأخرين عدّة تقريبات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التعرّض لبعضها ينبغي تقديم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مضمون 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التكليف غير الواصل بالعلم أو ما يقوم مقامه مؤمَّنٌ عنه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واستحقاق العقوبة عليه حينئذٍ عقابٌ بلا بيان من المولى، وهو 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وظائف المولى جعل تكاليفه في معرض الوصول بحيث لو بحث العبد في مظّانها لوجدها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يُقرَّب محل الكلام في البراءة والاحتياط بما حاصله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أنّ البحث إنّما هو في مدى اقتضاء الاحتمال لاستكشاف موقف ثانوي موجب لمراعاته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منها هو قبح العقوبة فيما إذا لم يكن هناك أي شيء يصلح حجة وبياناً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مصادرة مسلمة، وليس لنا فيها كلام مع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إنّما هو مدى استيجاب احتمال الحكم بنفسه وظيفة عقلية، أو كشفه عن وظيفة شرعية ثانوية من قبيل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للبراءة العقلية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بلا محرّك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مجرّد جعل الحكم الواقعي من دون محرّك في البين لا يُسوّغ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التعبير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بالبراءة العقلية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المصادرة مسلّمة بين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العقاب عند احتمال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التعبير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البراءة العقلية بالمعنى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تنطوي على كبرى متمثّلة بالبراءة بالمستوى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وصغرى وهي أنّ مجرّد الاحتمال ليس مُحرِّكا ذاتاً، ولا كاشفا تلقائياً عن وظيفة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الكلام فيما نحن فيه هو هذا المستوى من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مرجع النزاع بالدقة إلى أن الاحتمال ليس حجةً عقلاً، ولا كاشفاً عن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من البيان الذي هو موضوع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الواصل الأعمّ من الوصول الوجداني والظاهري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البيان بوجوده الواقعي غير مؤثّر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البيان الواصل إلى العبد لا البيان الواقعي، لأنّ الإرادة النفس الأمريّة لا تكون محركة للعضلات ولا تصلح للداعويّة، فلا أثر للبيان الواقعي </w:t>
      </w:r>
    </w:p>
    <w:p>
      <w:pPr>
        <w:pStyle w:val="BookText"/>
        <w:rPr/>
      </w:pPr>
      <w:r>
        <w:rPr>
          <w:rFonts w:ascii="Amiri" w:hAnsi="Amiri" w:eastAsia="Amiri" w:cs="Amiri"/>
          <w:color w:val="111111"/>
          <w:sz w:val="28"/>
          <w:sz w:val="28"/>
          <w:szCs w:val="28"/>
          <w:rtl w:val="true"/>
          <w:lang w:bidi="ar-SA"/>
        </w:rPr>
        <w:t>ما لم يصل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قبح العقاب بلا بيان مورد الدليل اللفظي حتى يُستظهر منه الأعم من البيان الواقعي والبيان الواصل، بل هو حكم عقلي ملاكه قصور الإرادة الواقعيّة عن تحريك إرادة العبد نحو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يستقل بقبح عقاب العبد وعتابه إذا أعمل وظيفته بالفحص والسؤال فلم يعثر على مراد المولى، فإنّ عدم عثور العبد مع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لكون المولى أخلّ بوظيفته بعدم بيان مراده بالطرق التي يمكن الوصول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لأجل تقصير الوسائط في إيصال مراد المولى إلى العبد، وعلى كلا التقديرين لا دخل للعبد في عدم حصول مراد المولى على تقدير وجوده النفس الأمري، وذلك واضح</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كلمات الاعلام تقريبات لا تتفاوت مع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مسألتنا هذه لمّا كانت مرتبطة بالتحسين والتقبيح العقليين تعيّن ذكر المسالك فيهما بنحو الاجمال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تبنّاه السيد الخوئي والسيد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الحسن والقبح إدراكين عقليين محضين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وصفان واقعيان للأشياء مع قطع النظر عن أي شيء خارج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يكونان من مدركات العقل النظري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عليه مشهور الحكماء من كون الحسن والقبح إدراكين عقلائيين، بمعنى أن العقل يدركهما من خلال الصلاح والفساد العام؛ حفظاً للنظام وبقاءً للنوع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بنى على هذا المسلك أغلب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الحسن والقبح من القضايا المشهورة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المحقق الخراساني وبنى عليه المحقق العراقي وصاحب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للقوة العاقلة ملائَمات ومنافَرات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ومنشؤهما هو اختلاف الأفعال في النقص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يحكم العقل بالحسن والقبح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المسلك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xml:space="preserve">) </w:t>
      </w:r>
      <w:r>
        <w:rPr>
          <w:rStyle w:val="FootnoteAnchor"/>
          <w:rtl w:val="true"/>
        </w:rPr>
        <w:footnoteReference w:id="130"/>
      </w:r>
      <w:r>
        <w:rPr>
          <w:rFonts w:ascii="Amiri" w:hAnsi="Amiri" w:eastAsia="Amiri" w:cs="Amiri"/>
          <w:color w:val="111111"/>
          <w:sz w:val="28"/>
          <w:sz w:val="28"/>
          <w:szCs w:val="28"/>
          <w:rtl w:val="true"/>
          <w:lang w:bidi="ar-SA"/>
        </w:rPr>
        <w:t>من كونهما إدراكين فطريين يدركهما الإنسان تُجاه الأفعال من خلال قوّة الضمير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الى نكتتين في خصوص المسلك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الادراكات يحكم بها العقلاء 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إدراكات حاسمة من القوة العاقلة، يجب على الشارع أن يوافقها كونه رئيس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هاهنا الى جعل مضاف من الشارع غير إدراكه لتلك القضايا، فإنّ موافقة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ضروريّة لا على أنّه تابع وممضٍ لما أدركوه، بل لكونه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التعبير عن هذا المعنى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 العقلائي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حديث الملازمة بين حكم العقل وحكم الشرع، وإلّا فلا معنى للملازمة لو كان الشارع ممضياً إذ لا ملازمة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العقلائي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بالسيرة العقلائية التي هي إدراكات متزلزلة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أمكن الردع والإمضاء فيها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المسلك لا يتقوّم بحيثية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إشارة الى نقطتين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العقل الجمعي في تبلور مثل هذه القضايا احترازاً عن الإدراكات التي يختص بها بعض العقلاء دون بعض، كقوانين الدول المختلفة التي تشوبها افرازات قوى </w:t>
      </w:r>
    </w:p>
    <w:p>
      <w:pPr>
        <w:pStyle w:val="BookText"/>
        <w:rPr/>
      </w:pPr>
      <w:r>
        <w:rPr>
          <w:rFonts w:ascii="Amiri" w:hAnsi="Amiri" w:eastAsia="Amiri" w:cs="Amiri"/>
          <w:color w:val="111111"/>
          <w:sz w:val="28"/>
          <w:sz w:val="28"/>
          <w:szCs w:val="28"/>
          <w:rtl w:val="true"/>
          <w:lang w:bidi="ar-SA"/>
        </w:rPr>
        <w:t>أخرى كالأنانية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حينئذٍ من أمارة عقلائية تفصل الإدراكات الناشئة من القوة العاقلة عن غيرها من إفرازات سائر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عقل الانسان مجهّز بادراك ما ينبغي أنْ يُفعل كما هو مُجهّز بادراك ما لا ينبغي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الاطراد، حيث أرادوا ضمان عموم هذه الإدراكات عند العقلاء بمعنى أنّ كلّ عاقل يلتفت الى تلك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أنّ تطابق العقلاء لا موضوعية له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منه اندفاع ما أورده كلٌ من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هذه المسلك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والسيد صاحب المنتقى على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إيراد السيد الخوئي فقد أفاد في المصباح عند ذكره الأقوال في حجيّة القطع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فالأقوال فيها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القطع ثابتة ببناء العقلاء إبقاءً للنوع، وحفظا للنظام فتكون من القضايا المشهورة باصطلاح المنطقيين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قد أمضاه الشارع لذلك يجب اتباعه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أورد عليه بإيرادين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القول الأول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القطع ولزوم الحركة على طبقه كانت ثابتة في زمانٍ لم يكن فيه إلّا بشر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عقلاء لتحقّق البناء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نوع ليكون العمل بالقطع لحفظه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الشرعية ليست بتمامها دخيلة في حفظ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أحكام الحدود والقصاص وإنْ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والواجبات الماليّة وإنْ أمكن أنْ تكون كذلك، إلّا أنّ جُلاً من العبادات كوجوب الصلاة التي هي عمود الدين لا ربط لها بحفظ النظام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تلّقى حجيّة العقلاء بمعنى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هذه الإدراكات إدراكاتٌ جازمة حتى لو كانت من القضايا المشهورة كما صرّحوا به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ما يفيد ذلك في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لإمضاء الشارع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حيثية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توافق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للإشارة الى عنصر الاطراد في إدراك مثل هذه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للإشارة الى الدور الجمعي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المسلك يجعل هذه القضايا من إفرازات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إنّ هذه الإفرازات تبتني على ملاحظة النوع، وما يترتب على بعض الأفعال من سيئات في النظام الجمعي أو من ايجابيات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للعقل الجمعي دورٌ في تبلورها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لم يقصدوا الجمع من تعبيرهم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حيثية الاجتماع مقوّمة لهذا المسلك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أرادوا منه العقلاء بما هم 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تكمن أهمية الاجتماع في نضج هذه الإدراكات وصيرورتها سيرة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بالإضافة الى توجّه جواب السيد الأستاذ على ما أورده ثانياً،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حفظ النظام ليس ما يكون بين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حفظ النظام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فالصلاح والنظم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النظم الاجتماعي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يمثّلان النظام الحكيم في الحياة ولا محالة يكون متسقاً وواحداً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هناك نوع من التناقض بين حالة وأخرى، وهو ما يمثل ضعفاً في التخطيط والتنظيم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والإدراكات العقلائية تمثّل الحكمة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منهج دائم ولا يمكن أنْ تكون حالة خاصّة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أورده السيد صاحب المنتقى على 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بناءً </w:t>
      </w:r>
    </w:p>
    <w:p>
      <w:pPr>
        <w:pStyle w:val="BookText"/>
        <w:rPr/>
      </w:pPr>
      <w:r>
        <w:rPr>
          <w:rFonts w:ascii="Amiri" w:hAnsi="Amiri" w:eastAsia="Amiri" w:cs="Amiri"/>
          <w:color w:val="111111"/>
          <w:sz w:val="28"/>
          <w:sz w:val="28"/>
          <w:szCs w:val="28"/>
          <w:rtl w:val="true"/>
          <w:lang w:bidi="ar-SA"/>
        </w:rPr>
        <w:t xml:space="preserve">على ما التزم به المحقّق من أنّ الحسن والقبح يرجعان الى توافق العقلاء يكون استحقاق العقاب أمراً جعلياً من العقلاء، وحينئذٍ يمكن ردع الشارع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المقصود من وجوب العمل عقلاً هو إذعان العقل باستحقاق العقاب على مخالفة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تأثير القطع في تنجيز التكليف واستحقاق العقاب ليس أمراً ذاتياً قهرياً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حسن العدل وقبح الظلم من الأحكام العقلية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الأحكام العقلائية، وهي ما تطابقت عليها آراء العقلاء لعموم مصالحها وحفظا للنظام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استحقاق العقاب أمر جعلي من قبل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 على ذلك قابلية هذا الحكم للمنع شرعاً كسائر مجعولات العقلاء وبناءاتهم</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البناء العقلائي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لإمضاء إدراكات حاسمة وقضايا جازمة، وهو ما عبّرنا عنه آنفاً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 العقلائي المنطقي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لإمضاء إدراكات متزلزلة، وقد عبّرنا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البناء العقلائي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يحتاج الى إمضاءٍ شرعي هو الثاني منهما، إذ يكون الشارع في رتبة متأخرة عنه وناظراً إليه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إنّه بناء متزلزل أمكن فيه الإمضاء أو الردع الشرعي، ممّا يكشف عن تصويب الشارع أو تخطئته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البناء العقلائي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الشارع ليس في رتبة متأخّرة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حَكَمَ الشارع بهذه القضايا لكونه من العقلاء، بل هو رئيسهم فلا يحتاج الى إمضاء غير إدراكه لها، لا سيّما أنّها قضايا تفيد تصديقاً جازماً على ما بيّنوه في 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مقتضى قانون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البناء العقلائي المنطقي ممّا يحتاج الى إمضاء شرعي أو أمكن الردع عنه لما كان هناك معنى لقانون الملازمة، إذ هو متزلزل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يُستبعد أن يردع الشارع عن حسن العدل، أو قبح الظلم، أو حفظ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أي تصريحٌ بقبول مثل هذه القضايا للإمضاء أو الردع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كلامه ما يُشعر بهذا المعنى فقد ذكر في موضع من النهاية كلاماً لعّلّه يُساعد على فهم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ذكر الفرق بين القضايا المشهورة وبين الضروريات وعدم صيرورتها من المظنونات لمجرّد كونها 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هذا القسم من المشهورات فإنّها تفيد تصديقاً جازماً ولا يُعتبر مطابقتها لما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يُعتبر مطابقتها لتوافق آراء العقلاء فافهم ولا تغفل</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فكونها قضايا جازمة ربّما لا ينسجم إلّا مع البناء العقلائي المنطقي الذي يأبى الإمضاء والردع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على إمكان ردع الشارع فما بنى عليه ليس مُقوِّما لأصل 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تقرير في ضمن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توضيح حقيقة الفرق بين أحكام العقل العملي وأحكام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العقلائي الأصولي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معرفة حقيقة الفرق بين العقل العملي وبناء العقلاء مهمّ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الخلط بينهما أو الجهل بهما يؤدي الى تبنّي أحكام 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وتكمن حقيقة الفرق بينهما في أنّ البناء العقلائي إدراكات مبنية على تقديرات نوعية، أو شخصية غير حاسمة لدى </w:t>
      </w:r>
    </w:p>
    <w:p>
      <w:pPr>
        <w:pStyle w:val="BookText"/>
        <w:rPr/>
      </w:pPr>
      <w:r>
        <w:rPr>
          <w:rFonts w:ascii="Amiri" w:hAnsi="Amiri" w:eastAsia="Amiri" w:cs="Amiri"/>
          <w:color w:val="111111"/>
          <w:sz w:val="28"/>
          <w:sz w:val="28"/>
          <w:szCs w:val="28"/>
          <w:rtl w:val="true"/>
          <w:lang w:bidi="ar-SA"/>
        </w:rPr>
        <w:t>العقلاء تحرّياً منهم للصلاح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جميع خلفيات ومبادئ ذلك التقدير مشهودة عندهم بنحو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قد يعترفون بعدم إطّلاعهم على بعض تلك المبادئ، أو عدم تقدير تداعيات المبادئ المشهودة وضبطها بالشكل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حكم العقل العملي فإنّه إدراكات مبنيّة على تقديرات مضبوطة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تخفى عليه مبادئ تلك التقديرات وخلفياتها، بل وتداعياتها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خفاء في الوجدانيات على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إرجاعه الحسن والقبح العقليين الى الملائمة والمنافرة للقوّة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يتطرّق إليه الشك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هذا الفرق نتيجة في غاية الأهمية وهي استتباع حكم الشارع للأول، لمكان الملازمة بين حكم العقل وحكم الشرع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نظر الشارع إليه نظر ممضٍ أو رادعٍ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تصويب الشارع العقلاء فيما يقتضيه الصلاح العام، أو تخطئته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وجود منطقة توقف العقل عن الحكم بالحسن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منه عدم حكم العقل بالحسن والقبح بشكل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وتشمل هذه المنطقة العقوبة في بعض حالاتها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العقوبة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يحكم العقل بالاحتياط تجنباً عن الضرر الأخروي المحتمل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بين المتأخّرين عدم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إمّا أنْ يحكم بالقبح أو بعدمه ولا ثالث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يظهر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منطقة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الأصوليين القدماء كما هو الملاحظ من استدلالاتهم على حجيّة الظن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الظن بالتكليف يستلزم </w:t>
      </w:r>
    </w:p>
    <w:p>
      <w:pPr>
        <w:pStyle w:val="BookText"/>
        <w:rPr/>
      </w:pPr>
      <w:r>
        <w:rPr>
          <w:rFonts w:ascii="Amiri" w:hAnsi="Amiri" w:eastAsia="Amiri" w:cs="Amiri"/>
          <w:color w:val="111111"/>
          <w:sz w:val="28"/>
          <w:sz w:val="28"/>
          <w:szCs w:val="28"/>
          <w:rtl w:val="true"/>
          <w:lang w:bidi="ar-SA"/>
        </w:rPr>
        <w:t xml:space="preserve">الظنّ بالضرر الأخروي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والدنيوي وهو فوات ملاك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الضرر المظنون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فيما اُستدِل به على الوقف في بحث أصالة الحظر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تخريج منطقة التوقف بالاعتماد على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بالإمكان تصوير هذه المنطقة على المسالك المذكورة في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المسلك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واقع وراء إدراك العقل فيجوز عدم إدراك العقل لهذا السنخ من الواقعيات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الثاني فلامتناع توقف العقلاء في الاعتبار المناسب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المسلك الثالث فإنّ النفس في غير موارد الشعور بالحسن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 شعوراً بالأمن وهو ما يناسب الإباحة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تُبرز شعوراً بالحذر تجاه الفعل وهو ما يُناسب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العقوبة التي هي من فعل الشارع هي كسائر الأفعال التي تقبل مواقف مختلفة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بقبح العقوبة كما في حالات الجهل المركب والغفلة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بحسنها ولو لأجل أنْ يكون عبرة للآخرين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حسنها ولا قبحها على سبيل التوقف، كما في موارد العقوبة على المخالفة في حالات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العقوبة الأخرويّة يوجب عقلاً الاجتناب عمّا يوجبه من جهة أهمية احتمال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نوقش في المقدمة الثانية من جهتين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الذي يقع موضوعاً لحكم العقل بالقبح أو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p>
    <w:p>
      <w:pPr>
        <w:pStyle w:val="BookText"/>
        <w:rPr/>
      </w:pPr>
      <w:r>
        <w:rPr>
          <w:rFonts w:ascii="Amiri" w:hAnsi="Amiri" w:eastAsia="Amiri" w:cs="Amiri"/>
          <w:color w:val="111111"/>
          <w:sz w:val="28"/>
          <w:sz w:val="28"/>
          <w:szCs w:val="28"/>
          <w:rtl w:val="true"/>
          <w:lang w:bidi="ar-SA"/>
        </w:rPr>
        <w:t>ابتدائياً لم يُفرض وقوعه جزاءً لفعل آخر، كحكم العقل بقبح القتل في حدِّ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جزائياً كحكمه بعدم قبح القتل إذا كان قصاصاً عن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الحكم الجزائي هي أنّ حكم العقل يتفرع ويتأثر بحكمه على الفعل الأول الذي يكون جزاءً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قبح العقاب على المخالفة بلا بيان يقتضي صدور عمل قبيح من المكلف لا محالة، وإلّا كانت العقوبة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أنْ يكون فعل المكلّف عند احتمال وقوعه في مخالفة أمر المولى ممّا يحكم العقل بكونه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الفعل يجوز أن يكون مما يحتمل العقل قبحه فيندرج في منطقة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القبح منه ما هو واقعيٌ مترتب على الفعل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هو ظاهريٌ مترتب على الفعل بما أنّه محتمل القبح الواقعي ومتأخر عنه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لا بدّ أنْ يكون محكوماً بالقبح ولو ظاهراً حتى يحكم العقل بقبحه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وإنْ كان يدرك قبح ارتكاب محتمل القبح الواقعي، حيث يكون الفعل المُستحق عليه العقوبة ممّا لا يحكم العقل بقبحه قبحاً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يجوز أنْ يكون ممّا لا يحكم العقل بقبحه ولو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يرَ العقل لزوم الاجتناب عن الفعل المحتمل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ارتكابه ولو ظاهراً لم يكن من الوارد وقوع هذا الفعل موضوعاً لحكم العقل بعدم قبح العقوبة 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دفع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العلم بقبح المؤاخذة فيما لو شُكَّ في رضا المولى بالعمل على كلٍ من مسلكي القبح والحسن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العقاب مع التردد والشك في رضا المولى بالعمل وعدم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يُعلم أنّه من منافرات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يُعلم أنّ بناءهم على عدمه حفظاً للنظام، </w:t>
      </w:r>
    </w:p>
    <w:p>
      <w:pPr>
        <w:pStyle w:val="BookText"/>
        <w:rPr/>
      </w:pPr>
      <w:r>
        <w:rPr>
          <w:rFonts w:ascii="Amiri" w:hAnsi="Amiri" w:eastAsia="Amiri" w:cs="Amiri"/>
          <w:color w:val="111111"/>
          <w:sz w:val="28"/>
          <w:sz w:val="28"/>
          <w:szCs w:val="28"/>
          <w:rtl w:val="true"/>
          <w:lang w:bidi="ar-SA"/>
        </w:rPr>
        <w:t>لعدم العلم بأنّ المؤاخذة مخلّة بالنظام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تقبح المؤاخذة من المولى على كلا المسلكين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الجزاء لا بدّ فيه من كون الفعل محكوماً بالقبح ولو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تسغ العقوبة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قبيل الفعل الجزائي لا الفعل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يكون الفعل في منطقة الفراغ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وباتّضاح الأمور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كلمات المتأخرين عدة تقريبات لقاعدة قبح العقاب بلا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نقتصر على ذكر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غير الواصل لا يصلح للداعويّة الموجبة للبعث والانبعاث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العقل بقبح العقاب من دون بيان إنّما هو لأجل أنّ الأحكام الواقعية بعد وضوح أنّها لا تكون محرّكة للعبد إلّا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محرّكيتها إلّا بعد الوصول، ضرورة عدم إمكان الانبعاث إلّا عن البعث بوجوده العلمي دون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لا اقتضاء له للمحركيّة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يتمّ محركيّته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فرض الانقياد بالوصول وإحرازه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 فهو بنفسه غير قابل للمحركية أيضاً لتساوي احتمال الوجود مع احتمال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كونه محرّكاً بضميمة خارجية مثل كون العبد في مقام الاحتياط ونحو ذلك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حتى يكون فاعلاً ومؤثراً في نفس المكلف وينبعث عنه لا بدّ من أن يكون واصلاً إليه بأنّ يكون في معرض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وجوده الواقعي من دون وصوله لا يكون محرّكاً، ولا يلزم الانبعاث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فالعقوبة عليه حينئذٍ قبيحة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w:t>
      </w:r>
    </w:p>
    <w:p>
      <w:pPr>
        <w:pStyle w:val="BookText"/>
        <w:rPr/>
      </w:pPr>
      <w:r>
        <w:rPr>
          <w:rFonts w:ascii="Amiri" w:hAnsi="Amiri" w:eastAsia="Amiri" w:cs="Amiri"/>
          <w:color w:val="111111"/>
          <w:sz w:val="28"/>
          <w:sz w:val="28"/>
          <w:szCs w:val="28"/>
          <w:rtl w:val="true"/>
          <w:lang w:bidi="ar-SA"/>
        </w:rPr>
        <w:t>المكلّف لم يُخِلْ بوظيفته تجاه المولى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هذا البيان في فوائده حيث أفاد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فالمراد من البيان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الإرادة النفس الأمرية لا تكون محركة للعضلات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تصلح للداعويّة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للبيان الواقعي ما لم يصل إلى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قبح العقاب بلا بيان مورد الدليل اللفظي حتى يُستظهر منه الأعم من البيان الواقعي والبيان الواصل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حكم عقلي ملاكه قصور الإرادة الواقعية عن تحريك العبد نحو المراد</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عليه ثلاثة 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أورد على كلام المحقق بإيرادين أولهما على تقرير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على تقرير 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أنّهما تقريبان لا تقريب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إيراده على تقرير الفوائد فحاصله</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لم يتعرض لدفع احتمال ترتّب العقاب على نفس مخالفة التكليف المشكوك الذي هو فعل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المذكور إنّما يصح في دفع احتمال ترتبه على نفس عدم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فعل غير اختياري يقبح العقاب عليه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محل الكلام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إيراده على تقرير الأجود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المحقّق من عدم الاقتضاء إنْ كان هو أنّ العقاب على مخالفة التكليف غير الواصل عقاب وبلا مقتضٍ وحينئذٍ فلا تكليف، فهو ممّا لا يلتزم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 مسلكه هو أنّ فعلية التكليف بفعلية موضوعه ولو مع </w:t>
      </w:r>
    </w:p>
    <w:p>
      <w:pPr>
        <w:pStyle w:val="BookText"/>
        <w:rPr/>
      </w:pPr>
      <w:r>
        <w:rPr>
          <w:rFonts w:ascii="Amiri" w:hAnsi="Amiri" w:eastAsia="Amiri" w:cs="Amiri"/>
          <w:color w:val="111111"/>
          <w:sz w:val="28"/>
          <w:sz w:val="28"/>
          <w:szCs w:val="28"/>
          <w:rtl w:val="true"/>
          <w:lang w:bidi="ar-SA"/>
        </w:rPr>
        <w:t>عدم الوصول، فله وجود واقعي بغض النظر عن الوصول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من عدم الاقتضاء للعقاب هو عدم المُصحِّح فهو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محصّل إيرادي السيد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ويمكن أنْ يجاب عنهما بثلاثة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تقريري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تقريرين مستقلين ومختلفين لا يساعد عليه كلام المحقق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يرجعان إلى تقريب واحد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انبعاث العبد بمجرد الوجود الواقعي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الإرادة الواقعية للمولى من دون إيصالها إلى العبد لا تحرك العبد نحو مراد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على ما أورده على تقرير الفوائد 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غير موضع من تقريريه أنّ متعلّق التكليف هو الفعل الصادر عن إرادة واختيار، وانبعاث الإرادة عن العلم لكونه محرزاً للمعلوم لدى النفس، لا لكون العلم صفة، فإنّ إحراز الشيء لا يغاير ما عليه الشيء من المصلحة والمفسدة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بحث التجرّي من الفوائد في ردِّ دعوى كون المتعلق هو الانبعاث وحركة الإرادة، وأنّ العلم موضوع على سبيل الصفتيّة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الأولى فلأن المتعلّق هو الفعل الصادر عن إرادة واختيار لا نفس 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فلأنّ الإرادة وإنْ كانت تنبعث عن العلم ولكن لا بما أنّه علم وصورة حاصلة في النفس، بل بما أنّه محرز للمعلوم، فالعلم يكون بالنسبة إلى كل من الإرادة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بل العلم يكون في باب الإرادة من مقدمات وجود الداعي حيث تتعلق الإرادة بفعل شيء بداعي أنّه الشيء الكذائي، وهذا الداعي ينشأ عن العلم بأنّه الشيء الكذائي</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الملاكات والواقعية لأنْ تكون بيانا وموجبا لإيصال الاحكام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بما ذكره المحقّق نفسه في مواضع غير قليلة من عدم كفاية الملاكات لإيصال الحكم الواقعي لا بنفسه ولا بطريقه، فلا تكون بياناً، كما لا تكون ملاكاً لجعل المتمم حال الجهل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إيجاب الاحتياط مشكوكاً فيكون مورداً لقاعدة قبح العقاب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الملاكات الواقعيّة خارجة عن متعلقات التكاليف، وإنّما هي من الدواعي للجعل، وتحصيلها أجنبي عن المكلّف، وعلى تقديره فهي مشكوكة في ما نحن فيه؛ لأنّ الكلام في العقاب وهو واقع في سلسلة معلولات الأحكام لا في رتبة عللها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على تقرير 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أنْ يلاحظ عليه أنّ مراد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الفعلية يتضح ببيان 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عنده عبارة عن إنشاء الحكم على موضوعه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قبيل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ذلك الموضوع خارجاً صار الحكم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فالجعل والإنشاء إنّما يكونان أزليين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والفعليةُ إنّما تكون بتحقق الموضوع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الإنشائي الذي التزم به صاحب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فتحصل أنّه ليس قبل تحقّق الموضوع شيء أصلاً حتى يسمى بالحكم الإنشائي في قبال الحكم الفعلي، إذ ليس الإنشاء إلّا عبارة عن جعل الحكم في موطن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تحقّق موطن الوجود لا شيء أصلاً، ومع تحقّقه يثبت الحكم، ويكون ثبوته عين فعليته، وليس لفعلية الحكم معنى آخر غير ذلك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فظهر معنى كون إنشاءات الأحكام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تحقّق المنشأ يكون بتحقق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تخلُّف المُنشأ عن الإنشاء، وإنّما التخلف يحصل فيما إذا وُجد غير ما أنشأه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تنجيز الحكم على المكلف إنّما يكون بالوصول بعد فعليته، فالوصول شرط تنجيز التكليف ومع عدمه لا يكون الحكم منجّزاً، فلا استحقاق للعقاب على تقدير المخالفة وإنْ كان الحكم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متحقق الموضوع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إلى هذا المعنى في تنبيه له حول رجوع القيد في القضية إلى الهيئة أو المادة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بما ذكرناه من أنّ المُنشأ للمولى ليس إلّا الحكم على تقدير وجود موضوعه أنّ وجود الموضوع مساوق لفعلية الحكم، وإن كان يشترط في تنجّزه على المكلف واستحقاق العقاب على مخالفته أنْ يكون واصلاً إليه، وفي ظرف عدم الوصول وجداناً أو تعبداً لا يمكن أن يكون منجّزاً، وإنْ كان فعلياً بوجود موضوعه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ففعلية التكليف أمر، وتنجّزه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فالفعلية عنده إنّما تتحقّق بالعلم بالتكليف صغرى وكبرى، وأمّا التنجيز فإنما هو بالوصول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ذكرناه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اقتضاء النهي للفساد وعدمه في العبادات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المانعية ناشئة من التزاحم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أنّ المُوجِب للتقييد فيه هو تنجّز خطاب الأهم، وكونه موجباً لعجز المكلف عن امتثال خطاب المهم، فما لم يتنجّز خطاب الأهم لا موجب للتقييد وإن كان هناك التكليف بالأهمّ ثابتاً في الواقع كما في مورد الجهل والنسيان، فعند الشك في وجود التكليف بالأهم يقطع بعدم وجود </w:t>
      </w:r>
    </w:p>
    <w:p>
      <w:pPr>
        <w:pStyle w:val="BookText"/>
        <w:rPr/>
      </w:pPr>
      <w:r>
        <w:rPr>
          <w:rFonts w:ascii="Amiri" w:hAnsi="Amiri" w:eastAsia="Amiri" w:cs="Amiri"/>
          <w:color w:val="111111"/>
          <w:sz w:val="28"/>
          <w:sz w:val="28"/>
          <w:szCs w:val="28"/>
          <w:rtl w:val="true"/>
          <w:lang w:bidi="ar-SA"/>
        </w:rPr>
        <w:t>مزاحم للتكليف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وجود التكليف في الواقع لعدم كونه مزاحماً للتكليف الفعلي ما لم يكن واصلاً إلى المكلف وشاغلاً له بامتثاله عن امتثال غيره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يظهر ما في إيراد السيد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الفعلية عند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تتحقّق بتحقّق موضوع الحكم خارجاً، ولا ينافي ذلك عدم تنجّزه وعدم استحقاق العقوبة عليه حال المخالفة؛ لكونه غير واصل وإن كان الحكم فعلياً واقعاً، فعدم استحقاق العقاب ليس على عدم التكليف لكونه غير فعلي كما هو ظاهر المنتقى، بل لعدم تنجّزه بالوصول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فالعقاب عليه عقاب بلا مقتض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الإيراد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حُكِي عن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لازمَ ما ذُكر إنكارُ كاشفية الاحتمال وقيمته، فإنّ الاحتمال بما له من عرض عريض ذو كاشفية بالنسبة إلى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ليست تامّة كما في العلم، بل هي رؤية ناقصة، ولهذا قد يتولّد العلم من تراكم الاحتمالات واجتماعها في محور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فالعلم والاحتمال من سلسلة واحدة أولها الشك وآخرها العلم، وهما صفتان نفسيتان ترتبطان في ذهن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أنّ التأثّر في حالة الاحتمال كالتأثّر في حالة العلم من حيث إنّهما تأثّر عن الواقع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الاحتمال كالعلم شرط في هذا التأثر وليس مستقلاً قبال الواقع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 فإنّ للاحتمال تأثيراً وفاعلية بحسب الموازين المتعارفة عند العقلاء في مرحلة الترابط بين الوسيلة والهدف، فلا تقتصر أفعالهم وتروكهم على ما إذا قطعوا بالترابط بينهما وإلّا لتوقف الناس في كثير من أمورهم ومقاصدهم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إعمال الجهد بتجميع الشواهد والقرائن الموجبة والنافية في مرحلة استكشاف مستوى الترابط المذكور ودرجته الاحتمالية، وفي مرحلة تقويم الهدف ومدى وزنه وأهميته، ثم بذل الجهد في الموازنة بين الاحتمال والمحتمل، فإن كان الاحتمال قوياً والمحتمل ذا أهمية فإنهم يرونه قائماً مقام العلم، وإلّا فلا يرونه كذلك، بل ربما يستحسنون الاحتياط وربّما لا يستحسنونه، وإذا كان الاحتمال ضئيلاً ويعد الاهتمام به وسوسة فهو مذموم عقلاءً وشرعاً، كما أنّ درجة الاحتمال كلّما كانت أقوى فإنّه يكفي في قيامه مقام العلم في محتملٍ أقل أهمية، وكذا العكس فإنّ أهمية المحتمل تجبر نقص درجة الاحتمال، وليس من الوارد بوجه إلغاء قيمة الاحتمال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ومحصل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اللازم من بيان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قيمة الاحتمال وعدم الاعتناء به، هذا مضافاً إلى أنّنا نجد أن للاحتمال نحو محركيّة باتجاه المحتمل بحسب الموازنة بين درجة الاحتمال وأهميّة المحتمل، وهذه الموازنة من ارتكازات العقلاء في تصرفاتهم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وسنذكر هذا الإيراد بعد ذكر إيراد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الإيرادين متقاربان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جوابهما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البيان أيضاً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المُحرِّك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المحرّك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ينشأ من وجود غرض تكويني نحو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 مع قوّة من قوى الإنسان أو رغبة من رغباته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المحرّك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حكم العقل بلا بدِّية التحرّك سواء أ كان لدى الإنسان غرض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النظر إلى التحرّك التكويني فالشيء بوجوده الواقعي وإنْ لم يكن هو المحرّك التكويني بل بوجوده الواصل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وجوده الواقعي ليس أحد مبادئ الإرادة والتحرّك ولا دخل له في تكوين غرض نفساني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وعملية التحرّك عملية شعورية بحاجة إلى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للوصول مراتب من جملتها الوصول الاحتمالي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تفاوت درجات أهمية الشيء تختلف المحركيّة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المحرّك التشريعي فمرجعه إلى حق الطاعة فهو الذي يُلزِم بتطبيق العمل على وفق ما أمر به المولى ويحكم بلا بدّيته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بعدُ في هذا الحق وحدوده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به حتى في حالات الشك وعدم العلم بالتكليف يرى وجود المحرّك المولوي وثبوت الموجب له حتى مع الوصول الاحتمالي</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والايرادان متقاربان خصوصاً في الشق الأول من كون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يعتني بقيمة الاحتمال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اُجيب عن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يتعلق بالشق الاول من الايرادين فبما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بصدد إنكار قيمة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يُفصِّل بين مقاصد الإنسان لنفسه ومقاصد الغير في قيمة الاحتمال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يتعلق بمقاصد الإنسان لنفسه فهو بمقدار ما يهتمّ بشيءٍ قد يتأثر بذلك الاحتمال عقلاً، ويجب عليه أنْ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دفع الضرر المتحمل قاعدة معروفة </w:t>
      </w:r>
    </w:p>
    <w:p>
      <w:pPr>
        <w:pStyle w:val="BookText"/>
        <w:rPr/>
      </w:pPr>
      <w:r>
        <w:rPr>
          <w:rFonts w:ascii="Amiri" w:hAnsi="Amiri" w:eastAsia="Amiri" w:cs="Amiri"/>
          <w:color w:val="111111"/>
          <w:sz w:val="28"/>
          <w:sz w:val="28"/>
          <w:szCs w:val="28"/>
          <w:rtl w:val="true"/>
          <w:lang w:bidi="ar-SA"/>
        </w:rPr>
        <w:t>في كلمات الأصوليين وموضع اعتراف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حلّلوا هذه القاعدة على أساس التحسين والتقبيح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وانبثق في كلمات المتأخرين كصاحب الكفاية وجه آخر مضافاً إلى الجانب العقلي وهو كونه أمراً غريزياً جبليّاً فطرياً يوجد حتى في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يتعلق بمقاصد الغير فليس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وظيفة الغير أنْ يُبلغ مقصوده إلى من يُطلب منه أنْ يأتي بموقف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 وجود مقصد للغير ليس بالمؤثر والمُحرِّك في نفس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حتى مع علم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بمقصد الغير الذي هو تحت 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بأهمية المحتمل عند الغير لابد من استكشاف خطاب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 عند المحقّق الآخوند والنفسي للغير عند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للحفاظ على المقاصد الأوليّة كوجوب الاحتياط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الأحكام الواقعية الشاملة الصورة الشك فيها من باب نتيجة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بنفسها لا تكون قابلة للمحركيّة والباعثيّة في حال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المحركيّة والباعثيّة تتوقفان على وصول الحكم بنحو من أنحاء الوصول ومع عدمه يكون المكلف في حَيرة وضلال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ملاكاتها من الأهمية بمرتبة تقتضي جعلاً آخر في ظرف الشك يوجب كون الحكم الواقعي واصلاً بطريقه ومتنجّزاً ولو مع الجهل به، كما في موارد إيجاب الاحتياط أو أصالة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تلك الملاكات مقتضية لجعل نفس الأحكام الواقعية من دون أنْ تستتبع لجعل آخر في ظرف الجهل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القسم الأول فلا ريب في أنّ حكم الشارع بوجوب الاحتياط أو أصالة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موارد الخروج والدماء والأموال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إيجاب الاحتياط بالدقة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الحكم بها أيضاً ينشأ في الاهتمام بالأحكام الواقعية في موردها يوجب تنجّز الواقع في ظرف الاصابة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ذكر في فوائده في الثالث من الوجه الاول من مبحث حجيّة مطلق الظن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سواء قلنا بأنّ حكم العقل في مورد احتمال الضرر طريقي أو موضوعي فحيث كان هذا الحكم العقلي واقعا في سلسلة علل الاحكام فيستتبع الحكم الشرعي بقاعدة الملازمة على طبق ما حكم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الحكم العقلي طريقيّاً فالحكم الشرعي المستكشف منه أيضا يكون طريقيّاً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إيجاب الاحتياط في باب الدماء والفروج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موضوعيا فالحكم الشرعي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يتخلف الحكم الشرعي عن الحكم العقلي في الموضوعية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يتبعه في ذلك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العقلي الطريقي أو الموضوعي المستتبع للحكم الشرعي على طبقه يكون حاكماً على أدلّة الأصول الشرعية من البراءة والاستصحاب كما يكون وارداً على البراءة العقلية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التأمّل بمجموع كلمات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إلى أنّه لا يقول بعدم وجود قيمة للاحتمال في ما يتعلق بمقاصد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فيما يتعلق بوجود مقصد للغير فإنّه لا يُحرِّكه مجرد وجود مقصد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إحراز إرادته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حتى في حالة أهمية المحتمل مثل الأعراض ونحوها ممّا يُعلم اعتناء المشرّع بها لا بدّ من إحراز إرادة نفسية للغير أو طريقية للحفاظ على الملاكات الأولية بحكم العقل، فلا يحصل التأثّر إلّا إذا ثبت موقف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موقف أولي كما في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w:t>
      </w:r>
    </w:p>
    <w:p>
      <w:pPr>
        <w:pStyle w:val="BookText"/>
        <w:rPr/>
      </w:pPr>
      <w:r>
        <w:rPr>
          <w:rFonts w:ascii="Amiri" w:hAnsi="Amiri" w:eastAsia="Amiri" w:cs="Amiri"/>
          <w:color w:val="111111"/>
          <w:sz w:val="28"/>
          <w:sz w:val="28"/>
          <w:szCs w:val="28"/>
          <w:rtl w:val="true"/>
          <w:lang w:bidi="ar-SA"/>
        </w:rPr>
        <w:t>موقف ثانوي للحفاظ على الملاكات الأولية في حالات الجهل، ومع استكشاف أهمية المحتمل عند الغير لا يكون التحرّك لمجرّد أهمية المحتمل عند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استكشاف موقف ثانوي بنحو الحكم الظاهري تُحفظ به تلك الملاكات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ليتأثّر الغير من ذلك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الشق الثاني من إيرادهما فما ذكره بعض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بحوثه من رجوع المحرّك التشريعي إلى حق الطاعة إلى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وارد؛ وذلك لما أجاب به سيدنا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نحن فيه وحاصله أنّ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يُنكر أنّ لزوم مراعاة الأحكام الشرعية مبني على حق الطاعة، بل هو معروف بين المتكلمين والأصوليين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وهو من الأمور الثابتة؟ وما ذكروه من الهتك والظلم إنّما يرجع إلى عدم مراعاة حق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وتوقفُ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أنّ هذا الحق مضاف إلى الطاعة ولا بدّ من وجود التكليف المطلوب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لأصبح العمل محتمل الطاعة والموافقة لا طاعة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ثبوت إرادة وموقف للغير كي تصدق الطاعة والموافقة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بين المحقّق والمعترض إنّما هو في المنهج الفكري لا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ينطلق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 الذي يرى أنّ الواجب علينا تجاه المولى هو الطاعة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يقتضي ثبوت موقف له ليُطاع عليه ولو كان هذا الموقف أمراً ظاهرياً بالاحتياط عند الشك في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يرى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يكون فاعلاً حتى لو كان محتملاً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وجود مراتب للطاعة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عنده التأثّر بالغير على نحو يُحرَز وجود إرادة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الملاكات ليست بنحو تقتضي مراعاة الاحتمال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ما ذكره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الشق الثاني من اعتراضه على المحقّق النائيني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لزوم ملاحظة درجة الاحتمال والمحتمل فيكون هو المهم في تحقيق حال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من الأهمية بحيث يتنجز الاحتمال بالنسبة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هي على مراتب متناوبة فلا بدّ من إحراز أهمية المحتمل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الجواب عنه بما تقدّم عن سيدنا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يعترف بأنّ الحكم إذا كان مهماً عند الشارع فينبغي رعايته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الخلاف بينهما من جهة تحليليّة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فالمعترض يرى أنّ موضوع الحكم الجزائي لاستحقاق العقوبة تتوسّع أهميته، بخلاف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يرى أن المحتمل إذا كان مهماً فينبغي استكشاف حكم ظاهري طريقي يُعبّر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متمم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ما يستكشفه من المقدمات المفوّتة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فيتحقّق نفس العلم المأخوذ في حكم العقل الجزائي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ولزيادة إيضاح مراد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محصل ما أفاده السيد الاستاذ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للمحقّق فكرة سيّالة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يُقسِّم إدراكات العقل في شأن الأحكام الشرعية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يرتبط بعلل الأحكام ومبادئها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يرتبط بمعلولاتها أي في الموقف الذي ينبغي أنْ يتّخذه المكلف من الطاعة أو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القسم الأول كما في الحسن والقبح العقليين فهنا يرد قانون الملازمة بين حكم العقل وحكم الشرع، ولا محيص عن استكشاف حكم شرعي على وفق الحكم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القسم الثاني فحكم العقل لا يوجب حكماً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ولا معصيةً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الفكرة مذكورة في كلمات غير واحد من الأصوليين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التجرّي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أنّنا إذا أحرزنا أهمية المحتمل عند المولى كان هذا من </w:t>
      </w:r>
    </w:p>
    <w:p>
      <w:pPr>
        <w:pStyle w:val="BookText"/>
        <w:rPr/>
      </w:pPr>
      <w:r>
        <w:rPr>
          <w:rFonts w:ascii="Amiri" w:hAnsi="Amiri" w:eastAsia="Amiri" w:cs="Amiri"/>
          <w:color w:val="111111"/>
          <w:sz w:val="28"/>
          <w:sz w:val="28"/>
          <w:szCs w:val="28"/>
          <w:rtl w:val="true"/>
          <w:lang w:bidi="ar-SA"/>
        </w:rPr>
        <w:t>القسم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ثَمَّة يجب أن نستكشف حكماً شرعياً طريقياً ظاهرياً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الفكرة في الوجه الأول من الوجوه التي استدل بها على حجيّة الظن المطلق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بعض المباحث السابقة أنّ ملاكات الأحكام تختلف من حيث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الملاك بمثابة من الأهمية في نظر الشارع بحيث يقتضي تحريم جملة من المحللات ظاهراً لإحراز الملاك والتحفظ عليه، وقد لا يكون الملاك بتلك المثابة من الأهمية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وطريق الاستكشاف أنّ ملاك الحكم من أي قبيل إنّما يكون بجعل المتمّم، فإنّه لا بدّ للشارع من جعل المتمم إذا كان الملاك مما يجب رعايته، إذ لا طريق للعباد إلى إحراز كون الملاك بتلك المثابة من الأهمية حتى يجب عليهم التحرّز عن فوته في موارد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عدم إيجاب الاحتياط في مورد يستكشف كون الملاك ليس بتلك المثابة من الأهمية، ولو شك في جعل المتمم ووجوب الاحتياط في موردٍ فالأصل يقتضي البراءة؛ لأنّه يندرج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 المتمم وضعاً ورفعاً بيد الشارع فيشمله حديث الرفع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الذي يستقل العقل بقبح الإقدام على ما لا يؤمن من الوقوع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الحكم العقلي طريقيّاً فالحكم الشرعيّ المستكشَف منه أيضاً يكون طريقيّاً، نظير إيجاب الاحتياط في باب الدماء والفروج</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المعترض من تأثير الاحتمال مع أهميّة المحتمل لم يغفله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عدم ذكر المحقّق له في ما نحن فيه كان لأجل أنّ الكلام عن معلولات الأحكام لا عن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الخلاف بين المعترض والمحقّق في أنّ المعترض يجعل أهميّة المحتمل من شؤون معلولات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يقول إنّ احتمالَ الحكم مُنجِّز للتكليف، ويوسّع موضوع الحكم الجزائي للاحتمال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المحقّق يربطه بعلل الأحكام ولا يرى حاجة لتوسعة موضوع الحكم الجزائي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المحتمل مهمّاً كان هناك بيانٌ للحكم الشرعيّ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طرح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الفعلي هو ما يُنشأ بداعي جعل الداعي بالإمكان، لا بداعي تنجيز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يتقوّم بالوصول وبلوغه إلى حيث ينتزع عنه عنوان البعث والانبعاث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أمره بيد المولى هو الإنشاء بداعي جعل الداعي وانبعاث المكلف، والإنشاء لا بذلك الداعي ليس من الحكم الحقيقي ولا من مراتبه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حكم العقل باستحقاق العقاب هو مخالفة التكليف الواصل المُتحيِّث بعنوان الظلم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استحقاق العقاب بحكم العقل موضوعُه مخالفة التكليف الواصل المنطبق عليها الظلم؛ لكونه خروجاً عن زي الرقيّة ورسم العبوديّة، وليس نفس المخالفة مقتضية للاستحقاق ووصول التكليف شرطاً، إذ الحكم بالاستحقاق بالإضافة إلى مخالفة التكليف الواصل المنطبق عليها الظلم حكم بالإضافة إلى موضوعه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من المقدّمتين دليلاً على حدة، حيث جعلهما ثالث ورابع أدلّة القوم على البراءة العقلية، إلّا أنّ السيد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جعلهما دليلاً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المناسب بالتأمّل في مجموع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كان، فمراد المحقّق الأصفهاني واضح، فإنّ الأمر الواقعي مهما بلغ لا يُعقل اتّصافه بالداعويّة بحيث يوجب انقداح الداعي في نفس العبد ما لم يصل إليه، فالإنشاء بداعي جعل الداعي بالإمكان لا يُعقل أنْ يكون كذلك إلّا بعد وصوله بحيث يترتّب على مخالفته العقاب بعد تعنونه بعنوان الظلم، فعنوان الظلم من قبيل الحيثيّة التعليليّة الّتي ترجع إلى الحيثيّة التقييديّة في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بيان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السيّد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التكليف في حالة الاحتمال يتوفّر فيه إمكان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الداعي حيث إنّه موافقة الأمر فهو موجودٌ في ظرف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التكليف في صورة الاحتمال له إمكان الداعويّة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الداعي ليس هو نفس الأمر فإنّه سابقٌ على العمل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الداعي هو موافقة الأمر وامتثاله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والموافقة يمكن أن تكون داعية في ظرف الاحتمال كما في موارد الاحتياط</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في كلمات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ينبعث عنه المكلّف ويتحرّك نحو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إعطاء شحنة المحركيّة للمكلّف كي ينبعث عن الحكم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الداعي حسب ما 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فعليّة البعث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الإنشاء بلا داعي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والإنشاء بغير داعي جعل الداعي من سائر </w:t>
      </w:r>
    </w:p>
    <w:p>
      <w:pPr>
        <w:pStyle w:val="BookText"/>
        <w:rPr/>
      </w:pPr>
      <w:r>
        <w:rPr>
          <w:rFonts w:ascii="Amiri" w:hAnsi="Amiri" w:eastAsia="Amiri" w:cs="Amiri"/>
          <w:color w:val="111111"/>
          <w:sz w:val="28"/>
          <w:sz w:val="28"/>
          <w:szCs w:val="28"/>
          <w:rtl w:val="true"/>
          <w:lang w:bidi="ar-SA"/>
        </w:rPr>
        <w:t>الدواعي، فعليتُه فعليّة ذلك الداعي، لا فعليّة البعث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مثله من مراتب الحكم الحقيقي الذي يُترقب من الفعليّة والتنجيز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الحكم الواقعي هو الإنشاء بداعي جعل الداعي وهو تمام ما بيد المولى، وتمام ما هو الفعلي من قبله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فهمه السيد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الداعي هو موافقة الأمر قد لا يكون مناسباً مع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تسليمه فلا مجال لإمكان أنْ تكون الموافقة داعية في ظرف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المحقّق الأصفهاني من أنّ الحكم الواقعي مهما بلغ فإنّه لا يتنجَّز إلّا بالوصول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احتماله من دون إيجاب الاحتياط لا يكفي في داعويّة المكلّف نحو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مراد السيد 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الداعويّة ما تكون بلحاظ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مراده أنّ تلك الداعوية بلحاظ المحتمل فيرد عليه ما تقدّم من أنّ الملاكات الواقعية غير كافية في بعث المكلف لتحصيلها إلا بإحراز أهميّة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باستكشاف خطاب ثانويّ ظاهريّ لمراعاة تلك الملاكات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مزيد بيان في الجواب على إيراد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السيد صاحب البحوث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يمكن أنْ يكون محرّكاً في حالة الوصول الاحتمالي بناءً على سعة دائرة حق الطاعة، فهذا الوجه يتوقف على ضيق حق الطاعة في المرتبة السابقة فلا يكون إلّا مصادرة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تقتضيه عدم وجود الحكم بالمعنى المذكور، وأمّا ملاكات الحكم ومبادؤه في المصلحة والمفسدة والإرادة والكراهية فهي أمور تكوينيّة محفوظة في </w:t>
      </w:r>
    </w:p>
    <w:p>
      <w:pPr>
        <w:pStyle w:val="BookText"/>
        <w:rPr/>
      </w:pPr>
      <w:r>
        <w:rPr>
          <w:rFonts w:ascii="Amiri" w:hAnsi="Amiri" w:eastAsia="Amiri" w:cs="Amiri"/>
          <w:color w:val="111111"/>
          <w:sz w:val="28"/>
          <w:sz w:val="28"/>
          <w:szCs w:val="28"/>
          <w:rtl w:val="true"/>
          <w:lang w:bidi="ar-SA"/>
        </w:rPr>
        <w:t>حالات العلم والجهل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المبادئ هي روح الحكم وحقيقته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تكفي للحكم بالمنجزيّة وحق الطاعة للمولى في موارد احتمالها، سواء سُمِّي ذلك حكماً اصطلاحاً أم لا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كونه مصادرة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يرد عليه أيضاً حيث إنّه مبني على سعة دائرة حق الطاعة في الرتبة السابقة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علاقة لكلام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إنّما يرتبط بالخطاب الذي جعله المُقنِّن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حصلت الإرادة الفعلية له في تأثر مَن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تأثر مَن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تأثّر من يحتمل لا علاقة له مع جعل الخطاب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فعليّة الخطاب لا يكون من المناسب افتراض حق الطاعة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حصلت له إرادة أخرى بخطاب يوصله، ولو من قبيل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كلام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حول القصور في مستوى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في غاية الوضوح، فإنّ مبادئ الحكم الإنشائي ليست مبادئ حاسمة لازمة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ومبادئ 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اصطلاح المحقّق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يلزم مراعاتها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ملاكات تصحّح جعل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يصير الحكم بذلك فعلياً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فمراد المحقّق هو أنّ الحكم غير الفعلي هو القصور في مرحلة الملاك، ولو كان الملاك تامّاً فينبغي على الشارع إمّا أن يوصل الحكم تكويناً أو يجعل حكماً ظاهرياً بوجوب </w:t>
      </w:r>
    </w:p>
    <w:p>
      <w:pPr>
        <w:pStyle w:val="BookText"/>
        <w:rPr/>
      </w:pPr>
      <w:r>
        <w:rPr>
          <w:rFonts w:ascii="Amiri" w:hAnsi="Amiri" w:eastAsia="Amiri" w:cs="Amiri"/>
          <w:color w:val="111111"/>
          <w:sz w:val="28"/>
          <w:sz w:val="28"/>
          <w:szCs w:val="28"/>
          <w:rtl w:val="true"/>
          <w:lang w:bidi="ar-SA"/>
        </w:rPr>
        <w:t>الاحتياط ويوصله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يفعل ذلك فإنّه يعني وجود فتور في مرحلة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Amiri" w:hAnsi="Amiri" w:eastAsia="Amiri" w:cs="Amiri"/>
          <w:color w:val="111111"/>
          <w:sz w:val="28"/>
          <w:sz w:val="28"/>
          <w:szCs w:val="28"/>
          <w:rtl w:val="true"/>
          <w:lang w:bidi="ar-SA"/>
        </w:rPr>
        <w:t xml:space="preserve">ويمكن الاستشهاد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المحقّق الأصفهاني نفسه في غير موضع من 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الجواب عن موارد النقض بالمناقضة بين الحكم الواقعي والأصول الشرعيّة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فالخطابات الواقعيّة ما لم تصل إلى المكلف بنحو من الوصول ولو بالحجّة الشرعيّة أو الأمر الاحتياطي لا يُعقل أنْ تتّصف بكونها باعثاً وداعياً، أو زاجراً وناهياً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ترتفع المناقضة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وأفاد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العلم بالاهتمام صالحاً للكشف عن وجوب الاحتياط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منجزاً له حيث إنّه حكم طريقي لا يكون فعلياً منجزاً للواقع إلّا بعد وصوله إلى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لتنجيز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العلم بالأحكام صالح للاحتجاج به، والمؤاخذة على الواقع المجهول</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الموازنة بين درجة الاحتمال وأهميّة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ويبتني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معادلة ذات عنصرين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الاحتمال من حيث القوّة والضعف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أهمّيّة المحتمل في نفسه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فالقوّة في أحدهما تجبر الضعف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الموازنة مشهودة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الاحتمال قوياً والمحتمل ذا أهمية فإنّهم يرونه قائماً مقام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درجة الاحتمال إذا كانت أقوى فإنّه يكفي في قيامه مقام العلم في محتمل أقل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العكس بأنْ كان المحتمل ذا أهمية عالية ودرجة الاحتمال ضعيفة فإنّهم يبنون على </w:t>
      </w:r>
    </w:p>
    <w:p>
      <w:pPr>
        <w:pStyle w:val="BookText"/>
        <w:rPr/>
      </w:pPr>
      <w:r>
        <w:rPr>
          <w:rFonts w:ascii="Amiri" w:hAnsi="Amiri" w:eastAsia="Amiri" w:cs="Amiri"/>
          <w:color w:val="111111"/>
          <w:sz w:val="28"/>
          <w:sz w:val="28"/>
          <w:szCs w:val="28"/>
          <w:rtl w:val="true"/>
          <w:lang w:bidi="ar-SA"/>
        </w:rPr>
        <w:t>الإتيان به، إذ ضعف الاحتمال تجبره قوّة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فمع عدم ثبوت قوّة المحتمل وأهمّيّته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بإيجاب خطاب 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الاحتمال لا يكون هناك ما يدعو لمراعاته بنحو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أضاف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عنصراً ثالثاً لبيان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ممّا يُعدُّ تطويراً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أطراف المعادلة عنده 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العنصر هو مقدار المؤونة التي يحتاج إليها المُدرِك في مراعاته لتحصيل المحتمل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العنصر أمر محسوس لدى العقلاء حتّى في مقام الأغراض المعلومة، فرُبَّ غرض يكون إلزامياً في نفسه، فإذا توقف على بذل مؤنة زائدة عملاً لا يكون لاقتضائه الإلزامي امتدادٌ في تلك الحالة، كما في عدم وجوب مراعاة العلم الإجمالي في الشبهة غير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هذا القانون يجري في حالات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الغرض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محرّكين يقتضي مراعاة الحكم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يَرفع الشخصُ المُحتمِلُ اليدَ عن جملة من الترخيصات ويُضيِّق على نفسه في أثر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فكونُ الإرادة إرادة إلزامية لا يقتضي بالضرورة لزوم بذل هذه المؤونة لمراعاة الحكم في حالة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كون المصلحة والغرض إلزاميين للمشرّع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هذا الغرض مقتضياً لارتكاب هذا التكليف في حالات الاحتمال أمرٌ آخر، كما نجد ذلك من أنفسنا في مورد الإرادة التكوينيّة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هذه المعادلة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كمال التشريع يقتضي من الشارع إيصال وجوب مراعاة مراداته الاحتمالية لو كانت إرادته حقاً تبلغ الدرجة التي تستوجب بذل مثل هذه المؤونة لأجل مراعاتها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إيصال تلك الأحكام بطرق 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يُوصِل الشارع تلك الأحكام لا بشكل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بإيجاب الاحتياط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حينئذٍ أن يُستكشف من نفس عدم الإيصال أنّ مراد المولى لم يبلغ عنده تلك الدرجة من الأهمية والشدّة الّتي تقتضي مراعاته في حالات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إيصال الحكم الواقعي بطريق قطعي من جهة، وعدم إيصال وجوب الاحتياط في ربط الجهل بالحكم من جهة أُخرى، قد يكون دليلاً إنيّاً على ضعف الإرادة المولويّة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لم تكن بالدرجة التي تقتضي مراعاة الحكم بشكل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نفترضه في بحث البراءة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يتمّ دليل خاصّ على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عدم بيان الشارع لوجوب الاحتياط نستكشف أنّ الإرادة التشريعيّة لم تكن بتلك الدرجة من القوّة بالنسبة للأحكام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تقتضي إيجاب مراعاة تلك الأحكام بشكل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ليس بعيداً عن كلمات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يُمثِّل العمق لمسألة جريان البراءة العقليّة، وأنّ المقاصد التشريعيّة في الحقيقة إمّا أنْ نثبت أنّها ليست بدرجة من الأهمّيّة بملاحظة عدم وجوب الاحتياط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نقول عند الشك في أهميتها عند الشارع إن ذلك بمثابة الشك في أهمّيّة الشكّ في نفوسنا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يوجب حركة وتضييقاً على النفس في ضوء المعادلة التي أشرنا إليها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البيان وبين البيان الأصلي أنَّ على البيان الأصلي يكفي عدم إحراز أهمية المحتمل في عدم لزوم مراعاة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يتعرّض لإثبات ضعف المحتمل في حدِّ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البيان المُطوَّر فبالإمكان استكشاف ضعف المحتمل عند الشارع من جهة عدم التنبيه على لزوم مراعاته وعدم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مراداته مهمّة لوجب عليه أن يُوصلها ولو بإيجاب احتياط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ما تقدَّم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العقل بالبراءة العقلية لا غبار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التقريبات المذكورة إنّما هي منبّهات لذلك الحكم العقلي على اختلاف الجهات المنظورة فيها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فاعلية الحكم مع عدم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عدم كون الحكم حقيقيا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اقتضاء الموازنة العقلائية على البيان الأصلي عدم لزوم مراعاة المحتمَل ما لم تثبت أهميته في مورد ضعف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الأعاظم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اقتضائها ذلك من حيث إنّ كمالَ التشريع إيصالُ المولى مراداته الاحتمالية فيما لو كانت بدرجة من الأهمية توجب مراعاتها ولو في ظرف الاحتمال بطرق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مسلك حق الطاعةالمصادر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النشر الإسلامي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للشيخ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مؤسسة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للشيخ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مجمع الفكر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للمحقّق الشيخ محمّد حسين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الأصول للمحقّق الشيخ محمّد حسين النايئني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للمحقّق الشيخ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للمحقّق 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للمحقّق الشيخ آغا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الأصول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الأصول للسيد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علم الأصول 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مباحث الأصول 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علم الأصول الحلقة للسيد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الرافد في الأصول للسيد علي الحُسيني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دامة ظله العالی</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منجزيته عقلاً للسيد محمّد باقر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bookmarkStart w:id="167" w:name="pg9058_87545"/>
    </w:p>
    <w:p>
      <w:pPr>
        <w:pStyle w:val="Heading2"/>
        <w:numPr>
          <w:ilvl w:val="1"/>
          <w:numId w:val="1"/>
        </w:numPr>
        <w:rPr/>
      </w:pPr>
      <w:bookmarkStart w:id="168" w:name="__RefHeading___Toc2364830_2870459653"/>
      <w:bookmarkStart w:id="169" w:name="_Toc58"/>
      <w:bookmarkEnd w:id="167"/>
      <w:bookmarkEnd w:id="168"/>
      <w:r>
        <w:rPr>
          <w:rtl w:val="true"/>
        </w:rPr>
        <w:t xml:space="preserve">الغلو والغلاة عند الرجالیین والرواة </w:t>
      </w:r>
      <w:r>
        <w:rPr>
          <w:rtl w:val="true"/>
        </w:rPr>
        <w:t xml:space="preserve">- </w:t>
      </w:r>
      <w:r>
        <w:rPr>
          <w:rtl w:val="true"/>
        </w:rPr>
        <w:t xml:space="preserve">السيد محمد البكاء </w:t>
      </w:r>
      <w:r>
        <w:rPr>
          <w:rtl w:val="true"/>
        </w:rPr>
        <w:t>(</w:t>
      </w:r>
      <w:r>
        <w:rPr>
          <w:rtl w:val="true"/>
        </w:rPr>
        <w:t>دام عزه</w:t>
      </w:r>
      <w:r>
        <w:rPr>
          <w:rtl w:val="true"/>
        </w:rPr>
        <w:t>)</w:t>
      </w:r>
      <w:bookmarkEnd w:id="16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2364832_2870459653"/>
      <w:bookmarkStart w:id="171" w:name="_Toc59"/>
      <w:bookmarkEnd w:id="170"/>
      <w:r>
        <w:rPr>
          <w:rtl w:val="true"/>
        </w:rPr>
        <w:t>اشارة</w:t>
      </w:r>
      <w:bookmarkEnd w:id="17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9058_87547"/>
      <w:bookmarkStart w:id="173" w:name="pg9058_87547"/>
      <w:bookmarkEnd w:id="173"/>
    </w:p>
    <w:p>
      <w:pPr>
        <w:pStyle w:val="Heading3"/>
        <w:numPr>
          <w:ilvl w:val="2"/>
          <w:numId w:val="1"/>
        </w:numPr>
        <w:rPr/>
      </w:pPr>
      <w:bookmarkStart w:id="174" w:name="pg9058_87547"/>
      <w:bookmarkStart w:id="175" w:name="__RefHeading___Toc2364834_2870459653"/>
      <w:bookmarkStart w:id="176" w:name="_Toc60"/>
      <w:bookmarkEnd w:id="174"/>
      <w:bookmarkEnd w:id="175"/>
      <w:r>
        <w:rPr>
          <w:rtl w:val="true"/>
        </w:rPr>
        <w:t>مقدمة</w:t>
      </w:r>
      <w:bookmarkEnd w:id="176"/>
    </w:p>
    <w:p>
      <w:pPr>
        <w:pStyle w:val="BookText"/>
        <w:rPr/>
      </w:pPr>
      <w:r>
        <w:rPr>
          <w:rFonts w:ascii="Amiri" w:hAnsi="Amiri" w:eastAsia="Amiri" w:cs="Amiri"/>
          <w:color w:val="111111"/>
          <w:sz w:val="28"/>
          <w:sz w:val="28"/>
          <w:szCs w:val="28"/>
          <w:rtl w:val="true"/>
          <w:lang w:bidi="ar-SA"/>
        </w:rPr>
        <w:t>بسم الله الرّحمن الرّحيم، وبه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لاشكّ في أنَّ ما قام به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 عظيم في طمس ومحق موجة الإلحاد والكفر المتمثّلة بالغلاة ومَنْ على شاكلتهم كان متزامناً مع أصعب الفترات الّتي واجهت الإسلام عموماً، ومذهب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فلم يألوا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جهداً في مواجهتهم بكافّة الوسائل المتاحة، فأعلنوا للملأ البراءة منهم ومن معتقداتهم، وجاهروا بتكفيرهم، ولعنهم، وأمروا شيعتهم بالتبريء والابتعاد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وتلقّى الشيعة تلك الأوامر الشريفة بالقبول والامتثال، فأعلنوا بكتبهم البراءة منهم، وأفتوا بحرمة مخالطتهم، وأجمعوا على نجاستهم وعدم جواز تزويجهم، ولم يورثوهم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وبطبيعة الحال إنّ ردود الأفعال الصادرة من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العملية منها والروائيّة، وكذلك ما صدر من أتباعهم يرسم صورة الأوضاع المضطربة في ذلك العصر، وبالتالي فهي تنعكس قهراً على الموروث الروائي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سلباً وإيجاباً، فكان للرجاليين الحظّ الأوفر في رصد تلك الظروف الّتي تلقّى بها الرواة الأحاديث، حتى ميّز الخبيث من الطيب، وهذّبت كتبنا المعتمدة من الكذب والتدليس، واندرس الغلاة فلم يبقَ لهم أثر ولا عين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المشكلة لم تنته بعد، فإنّ من الرواة بعض الشخصيات المعروفة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المتهمة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أثارت جدلاً في أوساط العلماء بسبب ما ورد في حقّهم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مدح وذم، فإنّ الممارس يعرف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محكومين بظروف تحتّم عليهم </w:t>
      </w:r>
    </w:p>
    <w:p>
      <w:pPr>
        <w:pStyle w:val="BookText"/>
        <w:rPr/>
      </w:pPr>
      <w:r>
        <w:rPr>
          <w:rFonts w:ascii="IRNazanin" w:hAnsi="IRNazanin" w:eastAsia="IRNazanin"/>
          <w:color w:val="111111"/>
          <w:sz w:val="28"/>
          <w:sz w:val="28"/>
          <w:szCs w:val="28"/>
          <w:rtl w:val="true"/>
          <w:lang w:bidi="fa-IR"/>
        </w:rPr>
        <w:t>التكلّم عن مثل هؤلاء بأشكال مختلفة رعاية لمصالح شتى، كما يظهر ذلك بمراجعة النصوص الواردة فيهم، حيث كان لكلّ واحدٍ من هؤلاء أتباع وجماعة يدافعون، وجماعة أخرى يقدحون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فتمييز ما كان بداعي بيان الواقع عمّا كان يصدر لمصالح أخرى إنّما يتمّ بمعرفة حال الشخص من خلال أقوال الرجاليين الذين تعرّفوا على حقيقة أحوال هؤلاء اعتماداً على أساتيذهم كابراً عن كابر، ولم يكونوا مقيّدين في الإفصاح عن حقيقة أحوال هؤلاء بما 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يتقيّدون به في أعصارهم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أوّلاً من أنْ نعرف حقيقة الشخص من خلال كلمات الرجاليين، ثمَّ بعد ذلك نميّز حال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كان لقول الرجالي حاجة ملحّة تفرضها طبيعة الظروف المضطربة المتزامنة لتلقّي الرواة لأحاديث أهل بيت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وكيف ما كان فالبحث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الماثل أمام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الضوء على جملة من الموارد الّتي وقع الخلاف فيها بين الرجاليين، ابتداءً من تحديد اصطلاح الغلوّ الذي تعرّضتُ إليه في الفصل الأوَّل، ومروراً بدلالة الغلوّ على القدح الّتي تعرّضت إليها في الفصل الثاني، وانتهاءً بوجوه العمل بروايات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البحث من ثلاثة فصول، تسبقها مقدّمة تبرز أهمّيّة أقوال الرجاليين، مع ملحق بأسماء المتهمين بالغلوّ، وأسماء مؤلّفي كتب الرّدّ على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الموسوي البكّاء </w:t>
      </w:r>
      <w:bookmarkStart w:id="177" w:name="pg9058_87549"/>
    </w:p>
    <w:p>
      <w:pPr>
        <w:pStyle w:val="Heading3"/>
        <w:numPr>
          <w:ilvl w:val="2"/>
          <w:numId w:val="1"/>
        </w:numPr>
        <w:rPr/>
      </w:pPr>
      <w:bookmarkStart w:id="178" w:name="__RefHeading___Toc2364836_2870459653"/>
      <w:bookmarkStart w:id="179" w:name="_Toc61"/>
      <w:bookmarkEnd w:id="177"/>
      <w:bookmarkEnd w:id="178"/>
      <w:r>
        <w:rPr>
          <w:rtl w:val="true"/>
        </w:rPr>
        <w:t>الفصل الأوَّل</w:t>
      </w:r>
      <w:bookmarkEnd w:id="179"/>
    </w:p>
    <w:p>
      <w:pPr>
        <w:pStyle w:val="Heading4"/>
        <w:numPr>
          <w:ilvl w:val="3"/>
          <w:numId w:val="1"/>
        </w:numPr>
        <w:rPr/>
      </w:pPr>
      <w:bookmarkStart w:id="180" w:name="__RefHeading___Toc2364838_2870459653"/>
      <w:bookmarkStart w:id="181" w:name="_Toc62"/>
      <w:bookmarkEnd w:id="180"/>
      <w:r>
        <w:rPr>
          <w:rtl w:val="true"/>
        </w:rPr>
        <w:t>الغلوّ لغة</w:t>
      </w:r>
      <w:bookmarkEnd w:id="181"/>
    </w:p>
    <w:p>
      <w:pPr>
        <w:pStyle w:val="BookText"/>
        <w:rPr/>
      </w:pPr>
      <w:r>
        <w:rPr>
          <w:rFonts w:ascii="Amiri" w:hAnsi="Amiri" w:eastAsia="Amiri" w:cs="Amiri"/>
          <w:color w:val="111111"/>
          <w:sz w:val="28"/>
          <w:sz w:val="28"/>
          <w:szCs w:val="28"/>
          <w:rtl w:val="true"/>
          <w:lang w:bidi="ar-SA"/>
        </w:rPr>
        <w:t>الغلوّ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 في الدين والأمر يغلو 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غلوت في الأمر غلوّاً إذا جاوزت فيه الحدّ وأفرطت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والغلوّ في الدين أي التشدّد فيه ومجاوزة الحدّ</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 في الدين غلوّاً من باب 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تصلّب وتشدّد حتى تجاوز الحدّ والمقدار</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364840_2870459653"/>
      <w:bookmarkStart w:id="183" w:name="_Toc63"/>
      <w:bookmarkEnd w:id="182"/>
      <w:r>
        <w:rPr>
          <w:rtl w:val="true"/>
        </w:rPr>
        <w:t>الغلو اصطلاحاً</w:t>
      </w:r>
      <w:bookmarkEnd w:id="183"/>
    </w:p>
    <w:p>
      <w:pPr>
        <w:pStyle w:val="BookText"/>
        <w:rPr/>
      </w:pPr>
      <w:r>
        <w:rPr>
          <w:rFonts w:ascii="Amiri" w:hAnsi="Amiri" w:eastAsia="Amiri" w:cs="Amiri"/>
          <w:color w:val="111111"/>
          <w:sz w:val="28"/>
          <w:sz w:val="28"/>
          <w:szCs w:val="28"/>
          <w:rtl w:val="true"/>
          <w:lang w:bidi="ar-SA"/>
        </w:rPr>
        <w:t>يبدو أنّ الغلو كمصطلح له معناه وأبعاده وخلفياته عبر التأريخ، فلابد من ضبطه أولاً ليعرف الداخل فيه والخارج عنه لئلا يُرمى البريء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الغلوّ عند علماء الجمهور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الغلوّ عند علماء الإماميّة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364842_2870459653"/>
      <w:bookmarkStart w:id="185" w:name="_Toc64"/>
      <w:bookmarkEnd w:id="184"/>
      <w:r>
        <w:rPr>
          <w:rtl w:val="true"/>
        </w:rPr>
        <w:t>المقام الأوَّل</w:t>
      </w:r>
      <w:r>
        <w:rPr>
          <w:rtl w:val="true"/>
        </w:rPr>
        <w:t xml:space="preserve">: </w:t>
      </w:r>
      <w:r>
        <w:rPr>
          <w:rtl w:val="true"/>
        </w:rPr>
        <w:t>في الغلوّ عند علماء الجمهور</w:t>
      </w:r>
      <w:bookmarkEnd w:id="185"/>
    </w:p>
    <w:p>
      <w:pPr>
        <w:pStyle w:val="BookText"/>
        <w:rPr/>
      </w:pPr>
      <w:r>
        <w:rPr>
          <w:rFonts w:ascii="Amiri" w:hAnsi="Amiri" w:eastAsia="Amiri" w:cs="Amiri"/>
          <w:color w:val="111111"/>
          <w:sz w:val="28"/>
          <w:sz w:val="28"/>
          <w:szCs w:val="28"/>
          <w:rtl w:val="true"/>
          <w:lang w:bidi="ar-SA"/>
        </w:rPr>
        <w:t>أمَّا الكلام في المقام الأوَّل</w:t>
      </w:r>
    </w:p>
    <w:p>
      <w:pPr>
        <w:pStyle w:val="BookText"/>
        <w:rPr/>
      </w:pPr>
      <w:r>
        <w:rPr>
          <w:rFonts w:ascii="Amiri" w:hAnsi="Amiri" w:eastAsia="Amiri" w:cs="Amiri"/>
          <w:color w:val="111111"/>
          <w:sz w:val="28"/>
          <w:sz w:val="28"/>
          <w:szCs w:val="28"/>
          <w:rtl w:val="true"/>
          <w:lang w:bidi="ar-SA"/>
        </w:rPr>
        <w:t>فلتحقيق المعنى المصطلح عليه ينبغي التعرّض فيه أوَّلاً لعمدة أقوال أئمَّة أهل الجرح والتعديل عند الجمهور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الحافظ الذهبي في ترجمة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الشيعي إذا لم يكفّر الشيخين أبا </w:t>
      </w:r>
    </w:p>
    <w:p>
      <w:pPr>
        <w:pStyle w:val="BookText"/>
        <w:rPr/>
      </w:pPr>
      <w:r>
        <w:rPr>
          <w:rFonts w:ascii="Amiri" w:hAnsi="Amiri" w:eastAsia="Amiri" w:cs="Amiri"/>
          <w:color w:val="111111"/>
          <w:sz w:val="28"/>
          <w:sz w:val="28"/>
          <w:szCs w:val="28"/>
          <w:rtl w:val="true"/>
          <w:lang w:bidi="ar-SA"/>
        </w:rPr>
        <w:t>بكر وعمر ولم يتبرّأ منهما تقبل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وصف أبان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شيعي جلد، لكنه صدوق فلنا صدقه وعليه بدعته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إلى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فلقائل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ساغ توثيق مبتدع؟ وحدّ الثقة العدالة والإتقان، فكيف يكون عدلا وهو صاحب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البدعة على ضربين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صغرى كالتشيّع بلا غلوّ، وغلوّ التشيّع، وهذه كثيرة في التابعين وتابعيهم مع الدين والورع والصدق، فلو ردّ حديث هؤلاء لذهبت جملة الآثار النبوية، وهذه مفسدة بيّنة، ثُمَّ بدعة كبرى كالرفض الكامل، والغلوّ فيه والحطّ على أبي بكر وعمر، والدعاء إلى ذلك، فهذا النوع لا يحتجّ بهم ولا كرامة، ولا استحضر من هذا النوع رجلاً صادقاً ولا مأموناً، بل الكذب شعارهم والتقيّة والنفاق دثارهم، فكيف يقبل نقل من هذا حاله، حاشا 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فالغالي في زمان السلف وعرفهم، هو من تكلّم في عثمان والزبير وطلحة ومعاوية وطائفة ممّن حارب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وتعرّض لسبّهم، والغالي في زماننا هو الذي يكفّر هؤلاء السادة ، ويتبرّأ من الشيخين أيضاً ، فهذا ضالّ معثر كذّاب</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التزم الذهبي بما أفاده جليّاً، فذكر في ميزانه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التابعين أدرك أنساً، إلّا أنّ أبا عوانة الوضّاح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ماحفظ عن الرجل شتم أصلاً، فأين الغلو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فرّق ابن حجر العسقلاني في مقدّمة فتح الباري بين التشيّع والرفض، والغلوّ في الرفض، بما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التشيّع هو محبة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وتفضيله على الصحابة فمَنْ قدّمه على أبي بكر وعمر فهو رافضي غال في التشيّع، ومَنْ لم يقدّمه عليهما فهو شيعي، </w:t>
      </w:r>
    </w:p>
    <w:p>
      <w:pPr>
        <w:pStyle w:val="BookText"/>
        <w:rPr/>
      </w:pPr>
      <w:r>
        <w:rPr>
          <w:rFonts w:ascii="Amiri" w:hAnsi="Amiri" w:eastAsia="Amiri" w:cs="Amiri"/>
          <w:color w:val="111111"/>
          <w:sz w:val="28"/>
          <w:sz w:val="28"/>
          <w:szCs w:val="28"/>
          <w:rtl w:val="true"/>
          <w:lang w:bidi="ar-SA"/>
        </w:rPr>
        <w:t>فإذا ذكر الشيعي سبب التقدّم على الشيخين، أو صرّح ببغضهما فهو غال في الرفض، ومن كان يعتقد بالرجعة فأشدّ غلوّاً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محمّد بن عقيل معقّباً على كلام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معنى كلامه هذا أنّ جميع محبيّ عليّ المقدّمين له على الشيخين روافض، وأنّ محبيه المقدّمين له على من سوى الشيخين شيعة، وكلا الطائفتين مجروح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فجملة كبيرة من الصحابة الكرام كالمقداد وزيد بن أرقم، وسلمان، وأبي ذر، وخباب، وجابر، وعثمان بن حنيف، وأبي الهيثم بن التيهان، وخزيمة بن ثابت، وقيس بن سعد، وأبي الطفيل عامر بن واثلة، والعباس بن عبد المطلب، وبنيه، وبني هاشم كافَّة، وبني المطّلب كافّة وكثير غيرهم، كلَّهم روافض لتفضيلهم عليّاً على الشيخين ومحبتهم له ويلحق بهؤلاء من التابعين وتابعي التابعين من أكابر الأئمَّة وصفوة الأمة من لا يحصى عددهم وفيهم قرناء الكتاب، وجرح عدالة هؤلاء هو والله قاصمة الظهر</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حجر –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كنت أستشكل توثيقهم الناصبي غالباً، وتوهينهم الشيعة مطلقاً، ولا سيّما أنَّ علياً ورد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يحبّه إلّا مؤمن ولا يبغضه إلّا منافق، ثُمَّ ظهر لي في الجواب عن ذلك أنّ البغض ها هنا مقيّد بسببٍ وهو كونه نصر النبي صلى الله عليه وسلم؛ لأنَّ من الطبع البشري بغض مَنْ وقعت منه إساءة في حق المبغض والحبّ بعكسه، وذلك ما يرجع إلى أمور الدنيا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في حب عليٍ وبغضه ليس على العموم، فقد أحبّه من أفرط فيه حتّى ادعى أنَّه نبي أو أنّه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إفكهم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ورد في حقّ عليّ من ذلك قد ورد مثله في حقّ </w:t>
      </w:r>
    </w:p>
    <w:p>
      <w:pPr>
        <w:pStyle w:val="BookText"/>
        <w:rPr/>
      </w:pPr>
      <w:r>
        <w:rPr>
          <w:rFonts w:ascii="Amiri" w:hAnsi="Amiri" w:eastAsia="Amiri" w:cs="Amiri"/>
          <w:color w:val="111111"/>
          <w:sz w:val="28"/>
          <w:sz w:val="28"/>
          <w:szCs w:val="28"/>
          <w:rtl w:val="true"/>
          <w:lang w:bidi="ar-SA"/>
        </w:rPr>
        <w:t>الأنصار، وأجاب عنه العلماء إنّ بغضهم لأجل النصر كان ذلك علامة نفاقه، وبالعكس فكذا يقال في حقّ عليّ وأيضاً فأكثر من يوصف بالنصب يكون مشهوراً بصدق اللهجة والتمسّك بأمور الديانة بخلاف مَنْ يوصف بالرفض، فإنَّ غالبهم كاذب ولا يتورّع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أنّ الناصبة اعتقدوا أنَّ علياً رضي الله عنه قتل عثمان أو كان أعان عليه فكان بغضهم له ديانة بزعمهم، ثُمَّ انضاف إلى ذلك أنَّ منهم من قُتلت أقاربه في حروب عليّ</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وبنتيجة هذه الفروق التي ذكرها ابن حجر لمراتب التشيّع، يتبيّن أنّ الذين روى عنهم من الشيعة ممّن يقدّمون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أبى بكر وعمر لا يتجاوزون أصابع اليد الواحدة، كما تؤيّد ذلك الإحصاءات التي أجراها بعض النقّاد لأحاديث البخاري</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وجميع المتّهمين بالتشيّع بين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كتب أهل السنّة المؤلّفة في التراجم وأحوال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يتجاوزون خمسة عشر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ويتّسع التشيّع عندهم لكل من يحبّ علياً أو ينتقد خصومه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وجدوا شخصاً معتدلاً في تقديره للحوادث، ومنصفاً في عرضها، أو وجدوه ينتقد سيرة بعض الخلفاء والحكّام الأمويين، اتّهموه بالتشيّع، ووقفوا موقف المتحفّظ من مروياته، وقد يُتّهم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إماميّاً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بالتشيّع أو الرفض أو الغلوّ لمجرّد أنّه يروي فضيلة لعليّ، أو حديثاً حسناً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وتؤيّد ذلك الشواهد الكثيرة الّتي تجدها في كتبهم فينبغي التعرّض لبعض منها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العجلي في ترجمة جابر بن يزيد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ضعيفاً يغلو في التشيّع وكان </w:t>
      </w:r>
    </w:p>
    <w:p>
      <w:pPr>
        <w:pStyle w:val="BookText"/>
        <w:rPr/>
      </w:pPr>
      <w:r>
        <w:rPr>
          <w:rFonts w:ascii="Amiri" w:hAnsi="Amiri" w:eastAsia="Amiri" w:cs="Amiri"/>
          <w:color w:val="111111"/>
          <w:sz w:val="28"/>
          <w:sz w:val="28"/>
          <w:szCs w:val="28"/>
          <w:rtl w:val="true"/>
          <w:lang w:bidi="ar-SA"/>
        </w:rPr>
        <w:t>يدلّس</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الجوزجاني في ترجمة الحسين بن الحسن الأشقر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من الشتّامين للخيرة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حبان في ترجمة الحارث بن عبد الله الهمداني الأعور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التشيّع واهياً في الحديث</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 في ترجمة عبد الله بن شريك العامري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التشيّع يروي عن الأثبات ما لايشبه حديث الثقات، فالتنكب عن حديثه أولى من الاحتجاج به، وقد كان مع ذلك مختاريّاً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ضعفاء العقيلي في ترجمة عبد النور بن عبد الله المسمعي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الرفض، ويضع الحديث، خبيثاً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فيه أيضاً في ترجمة سفيان بن اللّيل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ممّن يغلو في الرفض ولا يصحّ حديثه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الأوائل للطبراني في باب أوّل من يَرد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سفيان بن اللّيل، عن الحسن بن علي بن أبي طالب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w:t>
      </w:r>
    </w:p>
    <w:p>
      <w:pPr>
        <w:pStyle w:val="BookText"/>
        <w:rPr/>
      </w:pPr>
      <w:r>
        <w:rPr>
          <w:rFonts w:ascii="Amiri" w:hAnsi="Amiri" w:eastAsia="Amiri" w:cs="Amiri"/>
          <w:color w:val="111111"/>
          <w:sz w:val="28"/>
          <w:sz w:val="28"/>
          <w:szCs w:val="28"/>
          <w:rtl w:val="true"/>
          <w:lang w:bidi="ar-SA"/>
        </w:rPr>
        <w:t>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يَرد على حوضي أهل بيتي ومن أحبّني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ضعيف جداً، ففيه السري متروك، وسفيان بن اللّيل كان ممّن يغلو في الرفض، ولا يصحّ حديثه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 في ترجمة أبي عروبة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الإمام محدّث حرّان الحسين بن محمّد بن أبي معشر مودود السلمي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نبلاء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 كان عارفاً بالرجال والحديث، ومع ذلك مفتي أهل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ابن عساكر في ترجمة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عروبة غالياً في التشيّع شديد الميل على بني أميّة،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أحبَّ الشيخين فليس بغال، بلى من تكلّم فيهما فهو غال مغتر، فإنْ كفّرهما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باللﻫ جاز عليه التكفير واللّعنة، وأبو عروبة فمن أين جاءه التشيّع المفرط ؟ نعم، قد يكون ينال من ظلمة بني أمية كالوليد وغيره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الميزان للذهبي في أثناء حديثه عن محمد بن جرير بن يزيد الطبري المتوفى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فقد قال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صادقٌ، فيه تشيّع يسير، وموالاة لا تضرّ</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ذلك أنَّ الموالاة الّتي تبلغ إعطاء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الأفضليّة على غيره تمنع من قبول مروياته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الجرح والتعديل للرازي في ترجمة إسماعيل بن سلمان الأزرق التميمي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الشيعة الغلاة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إعطائه صفة الغلوّ في التشيّع هو روايته لحديث الطائر المشوي، وإلّا فهو مجهول في كتب الرجال، وليس فيها ما يشير إلى تشيّعه فضلاً عن غلوّه في التشيّع</w:t>
      </w:r>
      <w:r>
        <w:rPr>
          <w:rStyle w:val="FootnoteAnchor"/>
          <w:rtl w:val="true"/>
        </w:rPr>
        <w:footnoteReference w:id="172"/>
      </w:r>
      <w:r>
        <w:rPr>
          <w:rFonts w:ascii="Amiri" w:hAnsi="Amiri" w:eastAsia="Amiri" w:cs="Amiri"/>
          <w:color w:val="111111"/>
          <w:sz w:val="28"/>
          <w:sz w:val="28"/>
          <w:szCs w:val="28"/>
          <w:rtl w:val="true"/>
          <w:lang w:bidi="ar-SA"/>
        </w:rPr>
        <w:t xml:space="preserve">، وهذا ما نبّه عليه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 العامّة فلان شيعي أو يتشيّع أعمّ من الإماميّة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يؤيّد أنَّهم كانوا لا يتحمّلون من الراوي ما يرويه في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الحافظ عبد الله بن محمّد بن عثمان الواسطي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الأعلام في عصره، كان يدرّس عدداً من تلاميذه، فاتّفق له أنْ أملى عليهم حديث الطائر المشوي، فلم يتحمّلوا منه ذلك، بل وثبوا عليه فأقاموه من مكانه، وغسلوا موضعه، فلزم بيته ولم يحدّث أحداً بعد ذلك، ولذا قلّ حديثه عند الواسطيين كما نصّ على ذلك في تذكرة الحفّاظ</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على ذلك ما ذكره الذهبي في ترجمة عبّاد بن يعقوب الأسدي الرواجني الكوفي، أنَّه من غلاة الشيعة ورؤوس البدع، لكنّه صادق في الحديث، ممّن روى عنه البخاري حديثاً واحداً، ورواه غيره من محدّثي السنّة، وورد لعباد بن يعقوب ذكر في بعض أسانيد البخاري، وتعرّض للنقد والطعن عليه، لروايته عنه، بحجّة أنَّه كان داعية إلى الرفض، مع اعترافهم بأنّه كان صدوقاً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خزيمة إذا حدّث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الثقة في روايته المتهم في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مصدر لهم في تشيّعه </w:t>
      </w:r>
    </w:p>
    <w:p>
      <w:pPr>
        <w:pStyle w:val="BookText"/>
        <w:rPr/>
      </w:pPr>
      <w:r>
        <w:rPr>
          <w:rFonts w:ascii="IRNazanin" w:hAnsi="IRNazanin" w:eastAsia="IRNazanin"/>
          <w:color w:val="111111"/>
          <w:sz w:val="28"/>
          <w:sz w:val="28"/>
          <w:szCs w:val="28"/>
          <w:rtl w:val="true"/>
          <w:lang w:bidi="fa-IR"/>
        </w:rPr>
        <w:t>وغلّوه في الرفض إلّا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أعدل من أن يدخل الجنة طلحة والزبير، لأنّهما بايعا علياً، ثمَّ نكثا بيعته وقاتلاه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جماعة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رأيتم معاوية على منبري فاقتلوه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إذا وصفوا شخصاً بأنّه شيعيّ، ووثّقوه في الوقت نفسه فمن المستبعد أنْ يكون شيعيّاً إمامياً إلّا إذا كان يخفي ذلك عنهم، لأنّهم يتنصّلون عن توثيق الإمامي عادة، ويعتبرون الرافضي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مستحلاً للكذب</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التحقيق في معيار الانتماء المذهبي ليس أمراً هيّن الحصول، ولا يشخّص إلّا من أصحاب البصيرة الثاقبة العارفين بهذه المعايير؛ لأنَّ عناصر الانتماء والانتساب إلى المذهب وعدمها لا يمكن حصرها إلّا بواسطة سلسلة من المعايير والملاكات الموجودة في الكتب القديمة، وآراء مترجمي علماء الرجال من العامّة والخاصّة حيال العلماء الماضين، والّتي تحكي بنوع ما تشيّع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الكثير من النصوص الإشارات الخاطفة، وربّما الخاطئة لتشيّع أفراد مجهولين، إمّا لمصاحبتهم للأئمّة عليهم السلام، أو لمحبتهم، أو لروايتهم لفضائلهم، أو لاعتدالهم، أو لعدم نصبهم،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نُسب إلى التشيّع ثلّة كبيرة من علماء ورواة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سبيل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منهم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الحسين بن محمّد السلمي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الأشقر الفزاز الكوفي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بذيمة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مجد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أستاذ البخاري وأبي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غراب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جبير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النحوي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عوف سويد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وغيرهم الكثير ممَّن تزخر بهم كتب العامة، فراجع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ذكرنا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أولويات أُسس الجرح والتعديل لرواة الحديث عند أغلب علماء الجمهور هو البغض والمحبّة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فضائلهم وتقديمهم على من سواهم، سواء أكان على مستوى الراوي أم كان على مستوى الرواية، أمّا من حيث الراوي فهم يسقطونه من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بكونه شيعيّاً غالياً،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بشتم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بكذّاب خبيث زائغ لا يصحّ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وهلمّ جرّاً، وأمّا من حيث الرواية فهي تسقط عن الاعتبار بمجرّد ذكرها لمنقبة أو فضيلة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فترمى بأنواع التّهم من الوضع والكذب والتدليس والغلو، وبالتالي يسقطون راويها عن الاعتبار تارة بكونه غالياً في التشيع، أو يتشيّع، أو فيه ميل للتشيّع أو الرفض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الغلو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أكثر استعمالاتهم للفظ الغلو واشتقاقاتﻫ ما يكون وصفاً لصيقاً دائماً للتشيّع أو الرفض، فهو يحلّ حيث ما حلّا، والغرض منه بيان شدّة الميل والاعتقاد بالتشيّع والرفض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يطلقونه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الشيعة بصورة أشمل وبدائرة أوسع وسواء أكان المرمي به ثقة أم كان ضعيفاً أم كان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يطلقونه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يروي فضيلة لعلي عليه السلام، أو رذيلة لخصومه، وإنْ لم يكن إماميّاً كما مرّت شواهده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الغلو عندهم أعم مطلقاً من مفهومه عند علماء الإماميّة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جرح الجمهور للرواة بالغلو في التشيّع والرفض،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التعصّب والنصب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فيمن ينبغي أنْ يتوقّف في قبول قوله في الجرح من كان بينه وبين من جرحه عداوة سببها الاختلاف في الاعتقاد، فإنَّ الحاذق إذا تأمل ثلب أبي إسحاق الجوزجاني لأهل الكوفة رأى العجب</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لشدّة انحرافه في النصب وشهرة أهلها بالتشيّع فتراه لا يتوقف في جرح من ذكره منهم بلسان ذلقة وعبارة طلقة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أسد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أعظم شيء على الشيعة هو حمل فرق الغلاة عليهم وإضافتها عليهم، وأستطيع أنْ أثبت بأنّ تلك الفرق الضالة </w:t>
      </w:r>
      <w:bookmarkStart w:id="186" w:name="pg9058_87559"/>
    </w:p>
    <w:p>
      <w:pPr>
        <w:pStyle w:val="BookText"/>
        <w:rPr/>
      </w:pPr>
      <w:bookmarkEnd w:id="186"/>
      <w:r>
        <w:rPr>
          <w:rFonts w:ascii="IRNazanin" w:hAnsi="IRNazanin" w:eastAsia="IRNazanin"/>
          <w:color w:val="111111"/>
          <w:sz w:val="28"/>
          <w:sz w:val="28"/>
          <w:szCs w:val="28"/>
          <w:rtl w:val="true"/>
          <w:lang w:bidi="fa-IR"/>
        </w:rPr>
        <w:t xml:space="preserve">آزرتهم السياسة، وسهلت لهم الطرق ليصلوا إلى غايات في نفوسهم من الوقيعة في الشيعة، والحطّ من كرامة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لم يستطيعوا النيل من عقائدهم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دخول الغلاة في صفوف الشيعة حركة سياسيّة، أوجدتها عوامل من جهة، والفتك بالإسلام من جهة أخرى</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السيد محمد بن عقيل سببين آخرين</w:t>
      </w:r>
      <w:r>
        <w:rPr>
          <w:rStyle w:val="FootnoteAnchor"/>
          <w:rtl w:val="true"/>
        </w:rPr>
        <w:footnoteReference w:id="181"/>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الأهواء والمطامع الدنيويّة وما يكون سبباً للمنافسة في المراتب والتقرّب والرجاء لما في أيدي القوم فتزلّفوا إليهم بذلك لينالوا بِرّهم وتِبرهم وليحوزوا شرف الانتماء ، إذ بذلك يتسابق الناس إلى توثيقهم والرواية عنهم ويتّخذونهم أئمّة وأساتذة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 عند الناس قديماً وحديثاً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بطش الأعداء، ونكاية أذنابهم، ووشايات حفدتهم؛ إذ هم أهل الدولة والصولة فاحترسوا بما ارتكبوه من القتل والعرقبة والضرب وثلب العرض وجرح العدالة واللّعن والسبّ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الفائدة ينتهي البحث في المقام الأوَّل</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364844_2870459653"/>
      <w:bookmarkStart w:id="188" w:name="_Toc65"/>
      <w:bookmarkEnd w:id="187"/>
      <w:r>
        <w:rPr>
          <w:rtl w:val="true"/>
        </w:rPr>
        <w:t>المقام الثاني</w:t>
      </w:r>
      <w:r>
        <w:rPr>
          <w:rtl w:val="true"/>
        </w:rPr>
        <w:t xml:space="preserve">: </w:t>
      </w:r>
      <w:r>
        <w:rPr>
          <w:rtl w:val="true"/>
        </w:rPr>
        <w:t>في الغلو عند الإماميّة</w:t>
      </w:r>
      <w:bookmarkEnd w:id="188"/>
    </w:p>
    <w:p>
      <w:pPr>
        <w:pStyle w:val="Heading5"/>
        <w:numPr>
          <w:ilvl w:val="4"/>
          <w:numId w:val="1"/>
        </w:numPr>
        <w:rPr/>
      </w:pPr>
      <w:bookmarkStart w:id="189" w:name="__RefHeading___Toc2364846_2870459653"/>
      <w:bookmarkStart w:id="190" w:name="_Toc66"/>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والبحث فيه في عدّة مواقف</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364848_2870459653"/>
      <w:bookmarkStart w:id="192" w:name="_Toc67"/>
      <w:bookmarkEnd w:id="191"/>
      <w:r>
        <w:rPr/>
        <w:t>1</w:t>
      </w:r>
      <w:r>
        <w:rPr>
          <w:rtl w:val="true"/>
        </w:rPr>
        <w:t xml:space="preserve">- </w:t>
      </w:r>
      <w:r>
        <w:rPr>
          <w:rtl w:val="true"/>
        </w:rPr>
        <w:t xml:space="preserve">موقف أهل البيت </w:t>
      </w:r>
      <w:r>
        <w:rPr>
          <w:rtl w:val="true"/>
        </w:rPr>
        <w:t>(</w:t>
      </w:r>
      <w:r>
        <w:rPr>
          <w:rtl w:val="true"/>
        </w:rPr>
        <w:t>علیهم السلام</w:t>
      </w:r>
      <w:r>
        <w:rPr>
          <w:rtl w:val="true"/>
        </w:rPr>
        <w:t xml:space="preserve">) </w:t>
      </w:r>
      <w:r>
        <w:rPr>
          <w:rtl w:val="true"/>
        </w:rPr>
        <w:t>من الغلوّ والغلاة</w:t>
      </w:r>
      <w:bookmarkEnd w:id="19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تنوّعت ادّعاءات الغلاة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الادّعاء لهم بالربوبيّة، والنبوّة، والعلم بالغيب لهم بنحو الاستقلال من دون إلهام، والقول بالتناسخ والتفويض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أورد العلّامة المجلسي</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كبيرة من الروايات في ذم الغلاة وتفسيقهم وتكفيرهم اخترنا بعضاً منها، تمهيداً لتحقيق المعنى الاصطلاحي للغلوّ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عن يعقوب بن يزيد، عن ابن أبي عمير، عن جعفر بن عثمان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محمّد ابرأ ممّن يزعم أنا أرباب،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ابرأ ممّن يزعم أنّا أنبياء،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عن محمّد بن الحسين والحسن بن موسى، عن صفوان بن يحيى، عن ابن مسكان، عمّن حدّثه من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المغيرة بن سعيد، إنّه كان يكذب على أبي فأذاقه الله حرّ الحديد، لعن الله من قال فينا مالا نقوله في أنفسنا، ولعن الله من أزالنا عن العبودية لله الذي خلقنا وإليه مآبنا ومعادنا وبيده نواصينا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عن محمّد بن عيسى بن عبيد، عن يونس،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لبشّار الشعيري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 عنّي لعنك الله، والله لا يظلّني وإيّاك سقف بيت أبداً، فلما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قال بما قالت اليهود، ألا قال بما قالت النصارى، ألا قال بما قالت المجوس، أو بما قالت الصابئة، والله ما صغر الله تصغير هذا الفاجر أحد، إنّه شيطان ابن شيطان خرج من البحر ليغوي أصحابي وشيعتي فاحذروه، وليبلّغ الشاهد الغائب أنّي عبد الله بن عبد الله عبد قنّ ابن أمة، ضمتني الأصلاب والأرحام، وأنّي لميت وأنّي لمبعوث، ثُمَّ موقوف، ثُمَّ مسؤول والله لأُسألن عمّا قال فيَّ هذا الكذّاب وادعاه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ويله ماله أرعبه الله، فلقد أمن على </w:t>
      </w:r>
    </w:p>
    <w:p>
      <w:pPr>
        <w:pStyle w:val="BookText"/>
        <w:rPr/>
      </w:pPr>
      <w:r>
        <w:rPr>
          <w:rFonts w:ascii="Amiri" w:hAnsi="Amiri" w:eastAsia="Amiri" w:cs="Amiri"/>
          <w:color w:val="111111"/>
          <w:sz w:val="28"/>
          <w:sz w:val="28"/>
          <w:szCs w:val="28"/>
          <w:rtl w:val="true"/>
          <w:lang w:bidi="ar-SA"/>
        </w:rPr>
        <w:t>فراشه، وأفزعني وأقلقني عن رقادي، أو تدرون أنّي لِمَ أقول ذلك؟ أقول ذلك لاستقرّ في قبري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محمّد الفضل بن شاذان في بعض كتبه أنّ من الكذّابين المشهورين ابن بابا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إلى الله من الفهري، والحسن بن محمّد بن بابا القمي، فابرأ منهما، فإنّي محذّرك</w:t>
      </w:r>
    </w:p>
    <w:p>
      <w:pPr>
        <w:pStyle w:val="BookText"/>
        <w:rPr/>
      </w:pPr>
      <w:r>
        <w:rPr>
          <w:rFonts w:ascii="Amiri" w:hAnsi="Amiri" w:eastAsia="Amiri" w:cs="Amiri"/>
          <w:color w:val="111111"/>
          <w:sz w:val="28"/>
          <w:sz w:val="28"/>
          <w:szCs w:val="28"/>
          <w:rtl w:val="true"/>
          <w:lang w:bidi="ar-SA"/>
        </w:rPr>
        <w:t>وجميع موالي وإنّي ألعنهما، عليهما لعنة الله، مستأكلين يأكلان بنا الناس، فتّانين مؤذيين آذاهما الله وأركسهما في الفتنة ركساً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ابن بابا أنّي بعثته نبياً وأنّه باب، ويله لعنه الله، سخر منه الشيطان فأغواه، فلعن الله من قبل منه ذلك، يا محمّد إنْ قدرت أنْ تشدخ رأسه بحجر فافعل فإنّه قد آذاني آذاه الله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فرقة بنبوّة محمّد بن نصير الفهري النميري، وذلك أنّه ادعى أنّه نبي رسول، وأنّ علي بن محمّد العسكري أرسله، وكان يقول بالتناسخ والغلو في أبي الحسن عليه السلام، ويقول فيه بالربوبية،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بإباحة المحارم، ويحلّل نكاح الرجال بعضهم بعضاً في أدبارهم،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الفاعل والمفعول به أحد الشهوات والطيبات، إنَّ الله لم يحرم شيئاً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موسى بن الحسن بن فرات يقوّي أسبابه ويعضده، وذكر أنّه رأى بعض الناس محمد بن نصير عياناً وغلام له على ظهره وأنّه عاتبه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اللّذات وهو من التواضع لله وترك التجبر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 الناس فيه بعده فرقاً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خرج عن صاحب الزمان صلوات الله عليه رداً على الغلاة من التوقيع جواباً لكتابٍ كُتب إليه على يدي محمّد بن علي بن هلال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تعالى الله عزّ وجل عمّا يصفون، سبحانه وبحمده، ليس نحن شركاءه في علمه، </w:t>
      </w:r>
    </w:p>
    <w:p>
      <w:pPr>
        <w:pStyle w:val="BookText"/>
        <w:rPr/>
      </w:pPr>
      <w:r>
        <w:rPr>
          <w:rFonts w:ascii="Amiri" w:hAnsi="Amiri" w:eastAsia="Amiri" w:cs="Amiri"/>
          <w:color w:val="111111"/>
          <w:sz w:val="28"/>
          <w:sz w:val="28"/>
          <w:szCs w:val="28"/>
          <w:rtl w:val="true"/>
          <w:lang w:bidi="ar-SA"/>
        </w:rPr>
        <w:t>ولا في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يعلم الغيب غيره كما قال في محكم كتابه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وجميع آبائي من الأوّلين آدم ونوح وإبراهيم وموسى وغيرهم من النبيين ومن الآخرين محمّد رسول الله وعلي بن أبي طالب والحسن والحسين وغيرهم ممّن مضى من الأئمّة صلوات الله عليهم أجمعين إلى مبلغ أيامي ومنتهى عصري عبيد الله عزّ وجل،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ذِكْرِي فَإِنَّ لَهُ مَعِيشَةً ضَنكاً وَنَحْشُرُهُ يَوْمَ الْقِيَامَةِ أَعْمَى قَالَ رَبِّ لِمَ حَشَرْتَنِي أَعْمَى وَقَدْ كُنتُ بَصِيراً قَالَ كَذَلِكَ أَتَتْكَ آيَاتُنَا فَنَسِيتَهَا وَكَذَلِكَ الْيَوْمَ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علي قد آذانا جهلاء الشيعة، وحمقاؤهم، ومَنْ دينه جناح البعوضة أرجح منه، واشهد الله الذي لا إله إلا هو وكفى به شهيداً ومحمداً رسوله وملائكته وأنبياءه وأولياءه، وأشهدك واشهد كلّ من سمع كتابي هذا أنّي برئ إلى الله وإلى رسوله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الغيب أو نشارك الله في ملكه أو يحلّنا محلّاً سوى المحلّ الذي نصّبه الله لنا، وخلقنا له، أو يتعدى بنا عمّا قد فسرته لك وبيّنته في صدر كتابي، وأشهدكم أنّ كلّ من نتبرأ منه فإنّ الله يبرأ منه وملائكته ورسله وأولياءه، وجعلت هذا التوقيع الذي في هذا الكتاب أمانة في عنقك وعنق من سمعه أن لا يكتمه من أحد من موالي وشيعتي حتى يظهر على هذا التوقيع الكل من الموالي، لعلّ الله عزّ وجل يتلافاهم فيرجعون إلى دين الله الحق، وينتهوا عمّا لا يعلمون منتهى أمره ولا يبلغ منتهاه، فكلّ من فهم كتابي ولم يرجع إلى ما قد أمرته ونهيته فلقد حلّت عليه اللعنة من الله وممّن ذكرت من عباده الصالحين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المتوكل، عن علي، عن أبيه، عن علي بن معبد، عن الحسين بن خالد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بالتناسخ فهو كافر،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الغلاة، ألا كانوا مجوساً، ألا كانوا نصارى، ألا كانوا قدرية، ألا كانوا </w:t>
      </w:r>
    </w:p>
    <w:p>
      <w:pPr>
        <w:pStyle w:val="BookText"/>
        <w:rPr/>
      </w:pPr>
      <w:r>
        <w:rPr>
          <w:rFonts w:ascii="IRNazanin" w:hAnsi="IRNazanin" w:eastAsia="IRNazanin"/>
          <w:color w:val="111111"/>
          <w:sz w:val="28"/>
          <w:sz w:val="28"/>
          <w:szCs w:val="28"/>
          <w:rtl w:val="true"/>
          <w:lang w:bidi="fa-IR"/>
        </w:rPr>
        <w:t xml:space="preserve">مرجئة، ألا كانوا حرورية،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تقاعدوهم، ولا تصادقوهم، وابرأوا منهم برئ الله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عيسى، عن يونس بن عبد الرحمن، عن بشير الدهان،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 تزعم أنّ الزنا رجل، وأنّ الخمر رجل، وأنّ الصلاة رجل، وأنّ الصيام رجل، وأنّ الفواحش رجل، وليس هو كما تقول أنا أصل الحق وفروع الحق طاعة الله وعدونا أصل الشر وفروعهم الفواحش، وكيف يطاع من لا يعرف، وكيف يعرف من لا يطاع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العبيدي، عن ابن أبي عمير، عن هشام بن سالم، عن أبي عبد الله وذكر الغلاة،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يكذب حتّى أنّ الشيطان ليحتاج إلى كذبه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وأحمد بن الحسن بن فضال، ومحمّد بن الحسين بن أبي الخطاب، ويعقوب بن يزيد، عن الحسن بن علي بن فضال، عن داود بن أبي يزيد العطار، عمّن حدّثه من أصحابنا، عن أبي عبد الله عليه السلام في قول الله عز وجل هَلْ أُنَبِّئُكُمْ عَلَى مَن تَنَزَّلُ الشَّيَاطِينُ تَنَزَّلُ عَلَى كُلِّ أَفَّاكٍ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سعيد، وبنان، وصائد، وحمزة بن عمارة الزبيدي، والحارث الشامي، وعبد الله بن عمرو بن الحارث، وأبو الخطاب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بن عيسى، عن الحسين بن سعيد، عن ابن أبي عمير، عن مرازم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إلى الله فإنّكم فسّاق كفّار مشركون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وورد في أمالي 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محمّد بن خالد، عن العباس بن معروف، عن عبد الرحمن بن مسلم،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احذروا على شبابكم الغلاة لا يفسدونهم، فإنّ الغلاة شرّ خلق الله، يصغرون عظمة الله، ويدعون الربوبية لعباد الله، والله إنّ الغلاة شرّ من اليهود والنصارى والمجوس والذين أشركوا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إلينا يرجع الغالي فلا نقبله، وبنا يلحق المقصر فنقبله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الغالي قد اعتاد ترك الصلاة والزكاة والصيام والحج، فلا يقدر على ترك عادته، وعلى الرجوع إلى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وإنّ المقصّر إذا عرف عمل وأطاع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عن علي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 بن إبراهيم بن هاشم، عن أبيه، عن جده إبراهيم بن هاشم، عن أبي أحمد الأزدي، عن عبد الصمد بن بشير،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بريء من الغلاة كبراءة عيسى بن مريم من النصارى، اللهم اخذلهم أبداً، ولا تنصر منهم أحداً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بعض الروايات الواردة في حقّ الغلاة وإنّما أطلنا في سردها ليظهر فيها جليّاً موقف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الحازم والصارم من الغلاة كالبراءة منهم ولعنهم والدعاء عليهم، ونعتهم بالكفّار المشركين والزنادقة الفسّاق 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أنّ مثل هكذا ردود 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روائيّة وعمليّة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تنسجم إلّا مع مَنْ خرج عن ربقة الإسلام </w:t>
      </w:r>
      <w:r>
        <w:rPr>
          <w:rFonts w:eastAsia="IRNazanin" w:cs="IRNazanin"/>
          <w:color w:val="111111"/>
          <w:sz w:val="28"/>
          <w:szCs w:val="28"/>
          <w:rtl w:val="true"/>
          <w:lang w:bidi="fa-IR"/>
        </w:rPr>
        <w:t xml:space="preserve">. </w:t>
      </w:r>
      <w:bookmarkStart w:id="193" w:name="pg9058_87565"/>
    </w:p>
    <w:p>
      <w:pPr>
        <w:pStyle w:val="BookText"/>
        <w:rPr/>
      </w:pPr>
      <w:bookmarkEnd w:id="193"/>
      <w:r>
        <w:rPr>
          <w:rFonts w:ascii="IRNazanin" w:hAnsi="IRNazanin" w:eastAsia="IRNazanin"/>
          <w:color w:val="111111"/>
          <w:sz w:val="28"/>
          <w:sz w:val="28"/>
          <w:szCs w:val="28"/>
          <w:rtl w:val="true"/>
          <w:lang w:bidi="fa-IR"/>
        </w:rPr>
        <w:t>والملاحَظ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المنساق من لفظ الغلو والغلاة في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الروايات المتقدّمة هو المفهوم المساوق للقول فيهم ما لا يقولون، ويتجاوز الحدّ فيهم إلوهيّةً أو نبوّةً أو علماً بالغيب أو تناسخاً أو تفويضاً أو غيرها ممّا يوجب ترك الفرائض وفعل الإباحيات والمحرمات</w:t>
      </w:r>
      <w:r>
        <w:rPr>
          <w:rFonts w:eastAsia="IRNazanin" w:cs="IRNazanin"/>
          <w:color w:val="111111"/>
          <w:sz w:val="28"/>
          <w:szCs w:val="28"/>
          <w:rtl w:val="true"/>
          <w:lang w:bidi="fa-IR"/>
        </w:rPr>
        <w:t>.</w:t>
      </w:r>
    </w:p>
    <w:p>
      <w:pPr>
        <w:pStyle w:val="Heading5"/>
        <w:numPr>
          <w:ilvl w:val="4"/>
          <w:numId w:val="1"/>
        </w:numPr>
        <w:rPr/>
      </w:pPr>
      <w:bookmarkStart w:id="194" w:name="__RefHeading___Toc2364850_2870459653"/>
      <w:bookmarkStart w:id="195" w:name="_Toc68"/>
      <w:bookmarkEnd w:id="194"/>
      <w:r>
        <w:rPr/>
        <w:t>2</w:t>
      </w:r>
      <w:r>
        <w:rPr>
          <w:rtl w:val="true"/>
        </w:rPr>
        <w:t xml:space="preserve">- </w:t>
      </w:r>
      <w:r>
        <w:rPr>
          <w:rtl w:val="true"/>
        </w:rPr>
        <w:t>موقف بعض علمائنا المتقدمين من الغلوّ والغلاة</w:t>
      </w:r>
      <w:bookmarkEnd w:id="195"/>
    </w:p>
    <w:p>
      <w:pPr>
        <w:pStyle w:val="BookText"/>
        <w:rPr/>
      </w:pP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اعتقادنا في الغلاة والمفوّضة أنَّهم كفّار بالله تعالى، وأنَّهم أشرّ من اليهود والنصارى والمجوس والقدريّة والحروريّة ومن جميع أهل البدع والأهواء المضلّة، وأنّه ما صغر الله جلّ جلاله تصغيرهم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زرارة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رجلاً من ولد عبد الله بن سبأ يقول بالتفويض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فوّض الأمر إليهما، فخلقا، ورزقا، وأحييا، وأماتا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عدو الله، إذا رجعت إليه فاقرأ عليه الآية التي في سورة الرعد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وَهُوَ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إلى رجل فأخبرته بما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ألقمته حجراً،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فكأنّما 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فوّض الله تعالى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دينه،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Fonts w:ascii="IRNazanin" w:hAnsi="IRNazanin" w:eastAsia="IRNazanin"/>
          <w:color w:val="111111"/>
          <w:sz w:val="28"/>
          <w:sz w:val="28"/>
          <w:szCs w:val="28"/>
          <w:rtl w:val="true"/>
          <w:lang w:bidi="fa-IR"/>
        </w:rPr>
        <w:t xml:space="preserve"> وقد فوّض ذلك 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وعلامة المفوّضة والغلاة وأصنافهم نسبتهم مشايخ قم وعلماءهم إلى القول بالتقصير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الحلاجية من الغلاة دعوى التجلي</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بالعبادة مع تديّنهم بترك الصلاة وجميع الفرائض، ودعوى المعرفة بأسماء الله العظمى، ودعوى اتّباع الجن لهم، وأنّ </w:t>
      </w:r>
      <w:bookmarkStart w:id="196" w:name="pg9058_87566"/>
    </w:p>
    <w:p>
      <w:pPr>
        <w:pStyle w:val="BookText"/>
        <w:rPr/>
      </w:pPr>
      <w:bookmarkEnd w:id="196"/>
      <w:r>
        <w:rPr>
          <w:rFonts w:ascii="IRNazanin" w:hAnsi="IRNazanin" w:eastAsia="IRNazanin"/>
          <w:color w:val="111111"/>
          <w:sz w:val="28"/>
          <w:sz w:val="28"/>
          <w:szCs w:val="28"/>
          <w:rtl w:val="true"/>
          <w:lang w:bidi="fa-IR"/>
        </w:rPr>
        <w:t xml:space="preserve">الولي إذا خلص وعرف مذهبهم فهو عندهم أفضل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علاماتهم أيضاً دعوى علم الكيمياء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يعلمون منه إلّا الدغل وتنفيق الشبه والرصاص على المسلمين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معنى الغلوّ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التجاوز عن الحدّ، والخروج عن القصد، والإفراط في حق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والغلاة من المتظاهرين بالإسلام هم الذين نسبوا أمير المؤمنين والأئمّة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الألوهيّة والنبوّة، ووصفوهم من الفضل في الدين والدنيا إلى ما تجاوزوا فيه الحدّ، وخرجوا عن القصد، وهم ضلالٌ، كفارٌ، حكم فيهم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بالقتل والتحريق بالنار، وقضت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بالإكفار والخروج عن الإسلام</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2364852_2870459653"/>
      <w:bookmarkStart w:id="198" w:name="_Toc69"/>
      <w:bookmarkEnd w:id="197"/>
      <w:r>
        <w:rPr/>
        <w:t>3</w:t>
      </w:r>
      <w:r>
        <w:rPr>
          <w:rtl w:val="true"/>
        </w:rPr>
        <w:t xml:space="preserve">- </w:t>
      </w:r>
      <w:r>
        <w:rPr>
          <w:rtl w:val="true"/>
        </w:rPr>
        <w:t>موقف الفقهاء من الغلو والغلاة</w:t>
      </w:r>
      <w:bookmarkEnd w:id="198"/>
    </w:p>
    <w:p>
      <w:pPr>
        <w:pStyle w:val="BookText"/>
        <w:rPr/>
      </w:pPr>
      <w:r>
        <w:rPr>
          <w:rFonts w:ascii="Amiri" w:hAnsi="Amiri" w:eastAsia="Amiri" w:cs="Amiri"/>
          <w:color w:val="111111"/>
          <w:sz w:val="28"/>
          <w:sz w:val="28"/>
          <w:szCs w:val="28"/>
          <w:rtl w:val="true"/>
          <w:lang w:bidi="ar-SA"/>
        </w:rPr>
        <w:t>لم يختلف فقهاؤنا في موقفهم من الغلاة سواء من حيث تنقيحهم لموضوع الغلاة أم من حيث الحكم عليهم؛ لكونهم ممَّن علم منهم الإنكار لضروريات الدين، أو ممّن انطبق عليهم عنوان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وأمّا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فخارجون عن الإسلام وإن انتحلوه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الغلاة فإنّهم وإنّ أقرّوا بالشهادة إلّا إنّهم خارجون </w:t>
      </w:r>
      <w:bookmarkStart w:id="199" w:name="pg9058_87567"/>
    </w:p>
    <w:p>
      <w:pPr>
        <w:pStyle w:val="BookText"/>
        <w:rPr/>
      </w:pPr>
      <w:bookmarkEnd w:id="199"/>
      <w:r>
        <w:rPr>
          <w:rFonts w:ascii="Amiri" w:hAnsi="Amiri" w:eastAsia="Amiri" w:cs="Amiri"/>
          <w:color w:val="111111"/>
          <w:sz w:val="28"/>
          <w:sz w:val="28"/>
          <w:szCs w:val="28"/>
          <w:rtl w:val="true"/>
          <w:lang w:bidi="ar-SA"/>
        </w:rPr>
        <w:t>عن الإسلام أيضاً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الغلاة والخوارج والنواصب وغيرهم ممّن علم منهم الإنكار لضروريات الدين فلا يرثون المسلمين قولاً واحداً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الغلاة على طوائف، فمنهم من يعتقد الربوبية لأمير المؤمنين 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فيعتقد بأنّه الرّب الجليل، وأنّه الإله المجسّم الذي نزل الى الأرض، وهذه 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اعتقادهم بذلك، فلا إشكال في نجاستهم وكفرهم</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والملاحظ من موقف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وبمناسبة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وكفراً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الغلاة عندهم هم من قال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يقولون، ويتجاوز الحدّ فيهم إلوهيّةً، أو نبوّةً، أو علماً بالغيب، أو تناسخاً، أو تفويضاً، ممّن علم منهم الإنكار لضروريات الدين، أو انطبق عليهم عنوان الكفر، كما هو الملاحظ في كلماتهم</w:t>
      </w:r>
      <w:r>
        <w:rPr>
          <w:rFonts w:eastAsia="IRNazanin" w:cs="IRNazanin"/>
          <w:color w:val="111111"/>
          <w:sz w:val="28"/>
          <w:szCs w:val="28"/>
          <w:rtl w:val="true"/>
          <w:lang w:bidi="fa-IR"/>
        </w:rPr>
        <w:t>.</w:t>
      </w:r>
    </w:p>
    <w:p>
      <w:pPr>
        <w:pStyle w:val="Heading5"/>
        <w:numPr>
          <w:ilvl w:val="4"/>
          <w:numId w:val="1"/>
        </w:numPr>
        <w:rPr/>
      </w:pPr>
      <w:bookmarkStart w:id="200" w:name="__RefHeading___Toc2364854_2870459653"/>
      <w:bookmarkStart w:id="201" w:name="_Toc70"/>
      <w:bookmarkEnd w:id="200"/>
      <w:r>
        <w:rPr/>
        <w:t>4</w:t>
      </w:r>
      <w:r>
        <w:rPr>
          <w:rtl w:val="true"/>
        </w:rPr>
        <w:t xml:space="preserve">- </w:t>
      </w:r>
      <w:r>
        <w:rPr>
          <w:rtl w:val="true"/>
        </w:rPr>
        <w:t>موقف أهل الجرح والتعديل من الغلو والغلاة</w:t>
      </w:r>
      <w:bookmarkEnd w:id="20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الرجاليون فقد اختلفوا في معنى الغلو وتحديد الضابط منه ممّا ألقى هذا الاختلاف بظلاله على جرحهم وتعديلهم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متأخرو المتأخرين كالمجلسيين والوحيد ومن تابعه كالمحقّق المامقاني والسيد بحر العلوم والشيح علي الخاقاني والمحقّق الكاظمي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جعلوا متن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التعليقة أصلاً يُستشهد به </w:t>
      </w:r>
    </w:p>
    <w:p>
      <w:pPr>
        <w:pStyle w:val="BookText"/>
        <w:rPr/>
      </w:pPr>
      <w:r>
        <w:rPr>
          <w:rFonts w:ascii="Amiri" w:hAnsi="Amiri" w:eastAsia="Amiri" w:cs="Amiri"/>
          <w:color w:val="111111"/>
          <w:sz w:val="28"/>
          <w:sz w:val="28"/>
          <w:szCs w:val="28"/>
          <w:rtl w:val="true"/>
          <w:lang w:bidi="ar-SA"/>
        </w:rPr>
        <w:t>في كتبهم لردّ تضعيفات القميين وابن الغضائري في الرواة لاسيّما إذا كانت بالغلو والتفويض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اعلم إنَّ الظاهر أنّ كثيراً من القدماء سيّما القميين منهم والغضائري كانوا يعتقدون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خاصّة من الرفعة والجلالة ومرتبة معيّنة من العصمة والكمال بحسب اجتهادهم ورأيهم، وما كانوا يجوّزون التعدي عنها وكانوا يعدّون التعدي ارتفاعاً وغلواً حسب معتقدهم حتّى أنّهم جعلوا مثل نفى السهو عنهم غلواً، بل ربّما جعلوا مطلق التفويض إليهم أو التفويض الذي اختلف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سنذكر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المبالغة في معجزاتهم ونقل العجائب من خوارق العادات عنهم أو الاغراق في شأنهم واجلالهم وتنزيههم عن كثير من النقائص واظهار كثير قدرة لهم وذكر علمهم بمكنونات السماء والأرض ارتفاعاً أو مورثاً للتهمة به سيّما بجهة أنّ الغلاة كانوا مختفين في الشيعة مخلوطين بهم مدلّسين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القدماء كانوا مختلفين في المسائل الأصوليّة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كان شيء عند بعضهم فاسداً أو كفراً غلواً أو تفويضاً أو جبراً أو تشبيهاً أو غير ذلك، وكان عند آخر ممّا يجب اعتقاده، أو لا هذا ولا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منشأ جرحهم بالأمور المذكورة وجدان الرواية الظاهرة فيها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وادعاه أرباب المذاهب كونه منهم، أو روايتهم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المنشأ روايتهم المناكير عنه إلى غير ذلك فعلى هذا ربّما يحصل التأمل في جرحهم بأمثال الأمور المذكورة، وممّا ينبّه على ما ذكرنا ملاحظة ما سيذكر في تراجم كثيرة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إبراهيم بن هاشم، وأحمد بن محمّد بن نوح، وأحمد بن محمّد بن أبي نصر ومحمّد بن جعفر بن عوف، وهشام بن الحكم، والحسين بن شاذويه، والحسين بن يزيد، وسهل بن زياد، وداود بن كثير، ومحمّد بن أورمة، ونصر بن </w:t>
      </w:r>
    </w:p>
    <w:p>
      <w:pPr>
        <w:pStyle w:val="BookText"/>
        <w:rPr/>
      </w:pPr>
      <w:r>
        <w:rPr>
          <w:rFonts w:ascii="Amiri" w:hAnsi="Amiri" w:eastAsia="Amiri" w:cs="Amiri"/>
          <w:color w:val="111111"/>
          <w:sz w:val="28"/>
          <w:sz w:val="28"/>
          <w:szCs w:val="28"/>
          <w:rtl w:val="true"/>
          <w:lang w:bidi="ar-SA"/>
        </w:rPr>
        <w:t>الصباح، وإبراهيم بن عمر، وداوود بن القاسم، ومحمد بن عيسى بن عبيد، ومحمد بن سنان، ومحمد بن علي الصيرفي، ومفضل بن عمر، وصالح بن عقبة، ومعلى بن خنيس، وجعفر بن محمد بن مالك، وإسحاق بن محمد البصري، وإسحاق بن الحسن، وجعفر بن عيسى، ويونس بن عبد الرحمن، وعبد الكريم بن عمر، وغير ذلك، وسيجيء في إبراهيم بن عمر وغيره ضعف تضعيفات الغضائري،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إبراهيم بن إسحاق، وسهل بن زياد ضعف تضعيف أحمد بن محمد بن عيسى مضافاً إلى غيرهما من التراجم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w:t>
      </w:r>
      <w:r>
        <w:rPr>
          <w:rStyle w:val="FootnoteAnchor"/>
          <w:rtl w:val="true"/>
        </w:rPr>
        <w:footnoteReference w:id="191"/>
      </w:r>
      <w:r>
        <w:rPr>
          <w:rFonts w:ascii="Amiri" w:hAnsi="Amiri" w:eastAsia="Amiri" w:cs="Amiri"/>
          <w:color w:val="111111"/>
          <w:sz w:val="28"/>
          <w:sz w:val="28"/>
          <w:szCs w:val="28"/>
          <w:rtl w:val="true"/>
          <w:lang w:bidi="ar-SA"/>
        </w:rPr>
        <w:t>والغضائري ربّما ينسبان الراوي إلى الكذب، ووضع الحديث أيضاً بعد ما نسباه إلى الغلو، وكأنّه لروايته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وربّما كان غيرهما أيضاً كذلك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رميهم إلى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وللتفويض معانٍ بعضها لا تأمّل للشيعة في فساده وبعضها لا تأمّل لهم في صحته وبعضها ليس من قبيلهما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اعلم، أنّه ربما رمى بعضهم بالتفويض فلا ينبغي أنْ يتسرع بمجرد ذلك إلى القدح، إذ لعلّه قائل بالوجه الصحيح، فلا بدّ من التروي والتأمّل والرجوع إلى كلامه إن كان، إذ ليس النقل كالعيان، اللهم إلّا أنْ يُدّعى اشتهار التفويض في المعاني المنكرة فيُنزَّل عليه عند الإطلاق لكنّه مع ذلك لا يرفع الاحتمال ولا يمنع من التروي، سيّما في مثل هذا الرمي الموجب لفساد العقيدة والانحراف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الرمي بالغلو فتراهم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الطيّارة أو من أهل الارتفاع وأمثالهما، </w:t>
      </w:r>
    </w:p>
    <w:p>
      <w:pPr>
        <w:pStyle w:val="BookText"/>
        <w:rPr/>
      </w:pPr>
      <w:r>
        <w:rPr>
          <w:rFonts w:ascii="Amiri" w:hAnsi="Amiri" w:eastAsia="Amiri" w:cs="Amiri"/>
          <w:color w:val="111111"/>
          <w:sz w:val="28"/>
          <w:sz w:val="28"/>
          <w:szCs w:val="28"/>
          <w:rtl w:val="true"/>
          <w:lang w:bidi="ar-SA"/>
        </w:rPr>
        <w:t>والمراد أنّه كان غاليا فلا بدّ من التأمّل والتثبت في ذلك، فلا يجوز التسرّع في الرمي بذلك تقليداً لمن رمى، سيّما لو كان القدح من القدماء</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جعفر الخراساني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بن الحسين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أصحابنا إنْ كانت موافقة لعقائدهم خالية عمّا يوجب الغمز بزعمهم يوصفون بأنّه صحيح الرواية كما في أحمد بن إدريس، وصحيح الحديث سليم ونحوه كما في أحمد بن الحسين بن إسماعيل، وإنْ كان في رواياته ما يوجب غمزاً على زعم الباحث، كأحاديث باب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وتفسيرها من الكافي، فيقولون ما قالوا في الحسن بن عباس الحريش، وكأحاديث باب فيه نكت ونتف من التنزيل في الولاية من الكافي، يقولون ما قالوا في علي بن حسّان، وكأحاديث تدلّ على المعجزات والكرامات والأعاجيب كجُلّ الأحاديث المذكورة في كتاب الحجة من الكافي، فيقولون ما قالوا فيهم من أنّه غالٍ، وأنّه مرتفع القول، وأنّه منفرد بالغرائب، وأنّه يقول بالتفويض، وأكثر أحاديث أصول الكافي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وتضعيف جعفر بن محمد بن مالك أيضا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وكأحاديث سليم بن قيس المنتشرة في الكافي، ولما انفرد برواياته أبان يقولون بوضع الكتاب وأنّ في أحاديثه علامات الوضع، وهذا كله يوجب الوهن ممّا ذكروه وعدم الاعتماد بما قالوه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وأشكل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ذهبت إليه مدرسة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كثيراً ما يَردّ المتأخّرون طعن القدماء في رجل بالغلو بأنّهم رموه به لنقله معجزاتهم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ردّ غلط؛ فإنّ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 معجزات من ضروريات مذهب </w:t>
      </w:r>
    </w:p>
    <w:p>
      <w:pPr>
        <w:pStyle w:val="BookText"/>
        <w:rPr/>
      </w:pPr>
      <w:r>
        <w:rPr>
          <w:rFonts w:ascii="IRNazanin" w:hAnsi="IRNazanin" w:eastAsia="IRNazanin"/>
          <w:color w:val="111111"/>
          <w:sz w:val="28"/>
          <w:sz w:val="28"/>
          <w:szCs w:val="28"/>
          <w:rtl w:val="true"/>
          <w:lang w:bidi="fa-IR"/>
        </w:rPr>
        <w:t xml:space="preserve">الإمامية، وهل معجزاتهم وصلت إلينا إلّا بنقلهم؟ وإنّما مرادهم بالغلو ترك العبادة اعتماداً على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فروى أحمد بن الحسين الغضائري عن الحسن بن محمد بن بندار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مشايخي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أورمة لما طُعن عليه بالغلو بعث إليه الأشاعرة ليقتلوه، فوجدوه يصلي الليل من أوّله إلى آخره، ليالي عدّة، فتوقفوا عن اعتقادهم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فلاح السائل لعلي بن طاووس عن الحسين بن أحمد المالكي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هلال الكرخي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عمّا يقال في محمد بن سنان من أمر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هو والله علمني الطهور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وعنون الكشي جمعاً،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مروان،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العياشي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عبد الله بن مروان ، فإنّ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يمتحنون في أوقات الصلاة، ولم أحضره وقت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وعنون الكشي أيضاً الغلاة في وقت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وروى عن أحمد بن محمد بن عيسى كتبت إليه في قوم يتكلمون ويقرؤن أحاديث ينسبونها إليك وإلى آبائك،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أقاويلهم 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الصَّلَاةَ تَنْهَى عَنِ الْفَحْشَاءِ وَالْمُنْكَرِمعناها رجل، لا ركوع ولا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الزكاة معناها ذلك الرجل لا عدد درهم ولا إخراج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وأشياء من الفرائض والسنن والمعاصي تأوّلوها وصيّروها على الحدّ الذي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القدماء طعناً بالغلو ابن الغضائري، وشهر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يتسرّع إلى الجرح، فلا عبرة بطعونه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الذي وجدناه بالسبر في الذين وقفنا على كتبهم ممّن طعن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ككتاب استغاثة علي بن أحمد الكوفي، وكتاب تفسير محمد بن القاسم الاسترآبادي، وكذلك كتاب الحسن بن عباس بن حريش على نقل الكافي تسعة من أخباره في شأن إنّا </w:t>
      </w:r>
    </w:p>
    <w:p>
      <w:pPr>
        <w:pStyle w:val="BookText"/>
        <w:rPr/>
      </w:pP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كما ذكر، والرجل نقّاد، وقد قوّى ممّن ضعفه القميون جمعاً، كأحمد بن الحسين بن سعيد، والحسين بن شاذويه، والزيدين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 والنرسي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أورمة، بأنّه رأى كتبهم وأحاديثهم صحيحة</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وتابعه في ذلك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عندما يقال فلان غالٍ، يعني أنّه ممّن يترك الواجبات من الصلاة وغيرها من الأعمال، لأنّ ما يبتني عليه الغلو هو الاعتقاد بكفاية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النجاة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أفاده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يصل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عدم الحفاظ على عرضه</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وحبس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ما رواه عن السيد ابن طاووس في فلاح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عمّا يقال في محمد بن سنان من أمر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هو والله علمني الطهور، وحبس العيال، وكان متقشفاً متعبداً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استظهره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متين في مقابل ما ذهبت اليه مدرسة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إنّه لا يتمّ على إطلاقه؛ لكونه غير جامع لطوائف الغلاة كافة، ولا ينسجم مع ما مرّ من سعة مفهوم الغلّو وشموليته المنطبق على طوائف وأصناف الغلاة كافة المذكورة في الروايات، بلا فرق بين من يدعي منهم الإلوهيّة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النبوة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العلم بالغيب لهم، أو التناسخ أو التفويض، أو غيرها ممّا يوجب ترك الفرائض وفعل الإباحيات والمحرّمات اتّكالاً على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ورد في ترجمة جملة من الغلاة أنّ الرجاليين قد استعملوا الغلوّ بغير المفهوم المقيّد بطائفة أو بصنف خاص من الغلاة كما هو مختار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ترك العبادة اعتماداً على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بل بالمعنى الشامل الذي صدر عن الأئمّة في حقّ الغلاة ممّن ادّعى الإلوهيّة أو النبوّة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علمهم بالغيب، أو التفويض لهم أو التناسخ، كما هو الملاحظ في ترجمة بعض الغلاة كعبد الله بن سبأ، والمغيرة بن سعيد، ومحمد بن مقلاص أبي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نصير الفهري النميري، والحسن بن محمد بن بابا القمي، والحسن الشريعي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كما هو الملاحظ في تعداد فرق الغلاة المنحدرة منهم كالسبائية، والعليائية، والمغيرية، والخطابية، والنصيرية، وغيرها من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فتقييد دائرة مفهوم الغلوّ في المعنى الذي ذكره بلا مبرر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جُلّ ما ورد في كتب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لاسيّما كتب المتقدّمين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بملاحظة غلبة استعماله في كلام أئمة الفن من أنّ فلانا غالٍ، أو من الغلاة هو من يترك العبادة اعتماداً على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الاطلاق ينصرف إلى ما هو الشايع من الاطلاقات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تامّاً وصحيحاً، ولكنّه أمر آخر، والبحث في المفهوم سعةً وضيقاً شيء آخر، لأنّ الفرد النادر ممّا يشمله مفهوم الغلوّ، وإنْ كان لا يحمل عليه عند الإطلاق، فتأمّل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يوجه كلام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ليس في صدد بيان جهة </w:t>
      </w:r>
    </w:p>
    <w:p>
      <w:pPr>
        <w:pStyle w:val="BookText"/>
        <w:rPr/>
      </w:pPr>
      <w:r>
        <w:rPr>
          <w:rFonts w:ascii="Amiri" w:hAnsi="Amiri" w:eastAsia="Amiri" w:cs="Amiri"/>
          <w:color w:val="111111"/>
          <w:sz w:val="28"/>
          <w:sz w:val="28"/>
          <w:szCs w:val="28"/>
          <w:rtl w:val="true"/>
          <w:lang w:bidi="ar-SA"/>
        </w:rPr>
        <w:t>مفهوم الغلوّ اصطلاحاً، بل هو في مقام الردّ على المتأخرين لردّهم طعن القدماء في رجل بالغلوّ،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أجل هذا وذاك، فالأقرب هو ما تقدّم ذكره عن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تحديد مفهوم 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التجاوز عن الحدّ، والخروج عن القصد والإفراط في حقّ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كما ترى يشمل طوائف وأصناف الغلاة كافة، بلا فرق بينها بين النادر منها والغالب، وبما ينسجم مع المفهوم العام المنساق من الروايات، وكذلك مع المنساق في تراجم الرجاليين للغلاة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تقدّم ومن خلال استعراض المواقف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المفهوم المنساق من لفظ الغالي أو الغلاة في الروايات هو المفهوم الشامل لكلّ طوائف وأصناف الغلاة، بلا فرق بين من يدعي منهم الإلوهيّة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النبوة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العلم بالغيب لهم، أو التناسخ، أو التفويض، أو غيرها ممّا يوجب ترك الفرائض، وفعل الإباحيات والمحرمات اتّكالاً على ولايتهم، أو لا أقل المفهوم الذي اختاره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بملاحظة غلبة استعماله في كلام أئمة الفن، لكونه أحد معاني الغلوّ، ولا يتعدّى ليعمّ رواية الأحاديث المتضمّنة لمقامات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مختار المحقّق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الفقهاء قد حكموا بنجاسة الغلاة وكفرهم ،كما هو واضح من خلال رسائلهم العملية، وهذا لا يتناسب مع سعة مفهوم الغلو عند مدرسة المحقّق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لرواية الأحاديث المتضمّنة لمقامات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بناءً عليه فإنّ أكثر الأجلّة ليسوا بخالصين عن أمثال ذلك، فضلاً عن العوامّ، وهو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مناص من الالتزام بالمفهوم الشامل لطوائف الغلاة حصراً، دون غيرها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ما يوجد في كلمات بعضهم من أنّ الغلو هو رواية الأحاديث المتضمّنة لمقامات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تبسيط للأمور، وتسامح في التعبير، فالممارس الذي يرجع إلى الروايات الواردة بحق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ذكر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كلمات الأصحاب يفهم أنّ المراد بالغلو هو ما نبّهنا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العالية فهي خارجة تخصّصاً عن دائرة مفهوم الغلوّ لأنّها من ضروريات المذهب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الغلوّ هو ما ذهبت إليه مدرسة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والشاهد عليه ما يقع من اختلاف بين القدماء في الجرح والتعديل في بعض الرواة، وهو يكشف عن اختلافهم في تحديد ضابط مفهوم الغلو، كما يظهر في طعن القميين لأحمد بن الحسين بن سعيد ومحمد بن أورمة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نرى ابن الغضائري قد برّأهما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اختلافهم في محمد بن بحر الرهني فابن الغضائري ضعّفه بارتفاع المذهب، بينما نجد النجاشي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قريب من السلامة، ولا أدري من أين قيل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اختلافهم في الجرح والتعديل في راوٍ بالغلو كاختلافهم بغيره من الطعون والتضعيفات لا يكشف عن اختلاف المعنى المنساق والمفهوم منه كما في غيره، بل اللازم الرجوع فيه الى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الرجاليين اذا اختلفوا بالجرح والتعديل في راوٍ بالغلو بقول مطلق ولم يقيّدوه يؤخذ الغلوّ بالمعنى الذي ذكرناه، وبالتالي يرجع إلى باب التعارض بين الجرح والتعديل على اختلاف المباني في ذلك كما هو مذكور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الاختلاف بينهم بالغلو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السهو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استعمال يفهم المراد منه تبعاً للقرائن الدالّة عليه، ولا يكشف عن اختلافهم في مفهوم الغلو كما هو واضح</w:t>
      </w:r>
      <w:r>
        <w:rPr>
          <w:rFonts w:eastAsia="Amiri" w:cs="Amiri" w:ascii="Amiri" w:hAnsi="Amiri"/>
          <w:color w:val="111111"/>
          <w:sz w:val="28"/>
          <w:szCs w:val="28"/>
          <w:rtl w:val="true"/>
          <w:lang w:bidi="ar-SA"/>
        </w:rPr>
        <w:t xml:space="preserve">. </w:t>
      </w:r>
      <w:bookmarkStart w:id="202" w:name="pg9058_87576"/>
    </w:p>
    <w:p>
      <w:pPr>
        <w:pStyle w:val="Heading3"/>
        <w:numPr>
          <w:ilvl w:val="2"/>
          <w:numId w:val="1"/>
        </w:numPr>
        <w:rPr/>
      </w:pPr>
      <w:bookmarkStart w:id="203" w:name="__RefHeading___Toc2364856_2870459653"/>
      <w:bookmarkStart w:id="204" w:name="_Toc71"/>
      <w:bookmarkEnd w:id="202"/>
      <w:bookmarkEnd w:id="203"/>
      <w:r>
        <w:rPr>
          <w:rtl w:val="true"/>
        </w:rPr>
        <w:t>الفصل الثانی</w:t>
      </w:r>
      <w:r>
        <w:rPr>
          <w:rtl w:val="true"/>
        </w:rPr>
        <w:t xml:space="preserve">: </w:t>
      </w:r>
      <w:r>
        <w:rPr>
          <w:rtl w:val="true"/>
        </w:rPr>
        <w:t>في ألفاظ الذم والقدح عند أهل الجرح والتعديل</w:t>
      </w:r>
      <w:bookmarkEnd w:id="204"/>
    </w:p>
    <w:p>
      <w:pPr>
        <w:pStyle w:val="Heading4"/>
        <w:numPr>
          <w:ilvl w:val="3"/>
          <w:numId w:val="1"/>
        </w:numPr>
        <w:rPr/>
      </w:pPr>
      <w:bookmarkStart w:id="205" w:name="__RefHeading___Toc2364858_2870459653"/>
      <w:bookmarkStart w:id="206" w:name="_Toc72"/>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وهذا الفصل ينبغي البحث فيه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معاني بعض ألفاظ الذم والقدح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مدى دلالاتها على الجرح</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2364860_2870459653"/>
      <w:bookmarkStart w:id="208" w:name="_Toc73"/>
      <w:bookmarkEnd w:id="207"/>
      <w:r>
        <w:rPr>
          <w:rtl w:val="true"/>
        </w:rPr>
        <w:t>الجهة الأولى</w:t>
      </w:r>
      <w:r>
        <w:rPr>
          <w:rtl w:val="true"/>
        </w:rPr>
        <w:t xml:space="preserve">: </w:t>
      </w:r>
      <w:r>
        <w:rPr>
          <w:rtl w:val="true"/>
        </w:rPr>
        <w:t>في بيان معاني بعض ألفاظ الذم والقدح</w:t>
      </w:r>
      <w:bookmarkEnd w:id="208"/>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معرفة معاني بعض ألفاظ الجرح في كلمات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الطيّارة، أهل الارتفاع، التخليط، رواية المناكير، الضعيف،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الطيّارة وأهل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قولهم كان من اهل الطيارة ومن أهل الارتفاع وأمثالهما</w:t>
      </w:r>
      <w:r>
        <w:rPr>
          <w:rStyle w:val="FootnoteAnchor"/>
          <w:rtl w:val="true"/>
        </w:rPr>
        <w:footnoteReference w:id="197"/>
      </w:r>
      <w:r>
        <w:rPr>
          <w:rFonts w:ascii="Amiri" w:hAnsi="Amiri" w:eastAsia="Amiri" w:cs="Amiri"/>
          <w:color w:val="111111"/>
          <w:sz w:val="28"/>
          <w:sz w:val="28"/>
          <w:szCs w:val="28"/>
          <w:rtl w:val="true"/>
          <w:lang w:bidi="ar-SA"/>
        </w:rPr>
        <w:t>المراد أنّه كان غالياً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المراد به أنّه من أهل الارتفاع والغلو</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يريدون بذلك كلّه التجاوز بأهل العصمة إلى ما لا يسوغ</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المولى علي الخليلي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قولهم كان من الطيّارة وأهل الارتفاع الظاهر إشعاره بالغلو</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ترجمة سفيان بن مصعب العبدي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الطيارة هو الغلاة، وإنما سمي بها لأنها باعتبار علو رتبتهم بزعمهم الفاسد كأنهم طايرين إلى السماء</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الذي أريد من قولهم في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يطير فقصصناه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فسّره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يعتبر قوله، ولا يعتمد عليه</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في مقام بيان دلالته على الضعف، فلاحظ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للغلو مراتب ودرجات يرمى قائل كلّ واحد منها إلى الغلو، أعلاها نفى سمات الحدوث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والقول بألوهيتهم وقدمهم، ونفى إله معبود لهم، وأدناها ما أشار إليه الصدوق في عقائده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علامة الغلو أنْ ينسب مشايخ القميين وعلماؤهم إلى التقصير</w:t>
      </w:r>
      <w:r>
        <w:rPr>
          <w:rFonts w:eastAsia="IRNazanin" w:cs="IRNazanin"/>
          <w:color w:val="111111"/>
          <w:sz w:val="28"/>
          <w:szCs w:val="28"/>
          <w:rtl w:val="true"/>
          <w:lang w:bidi="fa-IR"/>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مناقشته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عندما يقال فلان غالٍ، يعني أنّه ممّن يترك الواجبات من الصلاة وغيرها من الأعمال، بل يصل الأمر الى عدم الحفاظ على عرضه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المنكر والمناكير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ما لا يفهمونه، ولم يكن موافقاً لعقولهم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صاحب الإكليل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المناكير ما يخالف الثابت بقانون الشريعة، ويأبى عنه العقول، ومن ذلك ما يبلغ حدّ الغلو والارتفاع في القول، كما في ترجمة بشار الشعيري، والحسن بن بابا، وعلي بن حسكة، ويونس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لا يبلغ الغلو، بل هو المزخرف والمتهافت، كما يروى في ترجمة جابر بن يزيد، وعبد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هذا الباب الأخبار المشتملة على الغرائب والمعجزات والكرامات، وما ينبئ عن المراتب العالية بما لا يبلغ عقولنا كنهها، ويعجز أفهامنا عن دركه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الخلط والتخليط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بالتخليط ما يكون جامعاً بين الحق والباطل، مثل روايتهم أن معرفة الإمام تكفي عن الصوم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بين التشيع من أنّ معرفة الإمام من الأركان، وبين المذهب الباطنيّة بجواز ترك الصوم والصلاة على بعض الوجوه، ومن ذلك روايتهم بما يختصّ به الشيعة مع ما اختصّ به غيرهم من الآراء الفاسدة، ومن ذلك ما رُوي في ترجمة سفيان الثوري، وسالم بن أبي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يعلم أن المناكير أعم من التخليط والغلو</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مختلط مخلط ظاهر في القدح لظهوره في فساد العقيدة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الإطلاق، فيراد أنّه مخلط في نفسه واعتقاده، كمختلط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ابن الوليد على ما حُكيَ عنه في محمّد بن جعفر بن بطة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مخلط فيما 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أنه ليس بمخلط في اعتقاده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خالفهما في ذلك الشيخ أبو 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يظهر لي بعد التتبع في كلماتهم أنّه بمعنى الخلط بمعنى المزج، ولكن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مخصوصة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الاعتقاد الصحيح بالفاسد، مثل أنْ يصير غالياً بعد الاعتقاد الصحيح، كما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 بن حاتم، كان صحيحاً، ثم 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ما ذكرنا ما ذكره الشيخ في الفهرست في ترجمته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مستقيماً، ثمّ تغيّر وأظهر القول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يختصّ الغلاة بروايته، فإنْ كانوا ممّن عرف لهم استقامته وحال غلوه، عمل بما رووه في حال الاستقامة وترك حال خطأهم، ولأجل ذلك عملت الطائفة بما رواه أبو الخطاب محمد بن أبي زينب في حال استقامته، وتركوا ما رواه في حال تخليطه</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الفهرست، في علي 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إمامياً مستقيم الطريقة، ثم خلط وأظهر مذهب المخمسة وصنف كتبا في الغلو والتخليط</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الروايات المنكرة إلى غيرها، كما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عبد العزيز، يروي المناكير وليس بغالٍ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معالم العلماء، في علي بن أحمد العقيقي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الشيخ في الفهرست في ترجمته عن ابن 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أحاديث العقيقي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ما في إسماعيل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كان مخلط الأمر في الحديث، يعرف منه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أسانيد الأخبار بالآخر، كما في محمّد 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ضعيفاً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مختلطاً فيما 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جهم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 كتاباً ذكره ابن بطة، وخلط إسناده، 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البرقي عنه، وتارة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جعفر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كتابه يختلط بكتاب أبيه، لأنَّه يروي كتاب أبيه عن أبي عبد الله عليه السلام، فرُبَّما نسب إلى أبيه، ورُبَّما 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كلا المعنيين الأخيرين ما في محمّد بن الحسن، قال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أخبرنا برواياته كلّها إلّا ما كان فيه من غلو أو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المطالب الصحيحة بغيرها، كما في المعالم في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سديد الدين، إنه مخلط لا يعتمد على تصنيفه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ما ذكر ممّا ذكره شيخنا الشهيد الثاني في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 ابن إدريس، ادعى اتفاق المخالف والمؤالف،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دعوى عريّة عن البرهان، بل البرهان قائم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المرسل إنّما يتمّ من ضابط ناقد الأحاديث، لأنّ مثل هذا الفاضل وإنْ كان غير متكرر التحقيق فإنّه لا يتحاشى في دعاويه ممّا يتطرق إليه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فيما ذكره في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رأيت أعجب ممّن يدعي إجماع المخالف والمؤالف، فيما لا يوجد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فقولهم مخلط على الإطلاق محتمل لكل من المعاني المذكورة، وليس صريحاً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ذكرنا يظهر القدح في المعنيين المذكورين، وأضعف منهما ما عن السيد السند المحسن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دعوى ظهوره في القدح، لظهوره في فساد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ينافي إطلاقه على مثل العقيقي والحلي، فإن صحة مذهبهما، بل جلالة شأنهما مما لا يستريب فيه أحد</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 منه ما في منتهى المقال ردّاً على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المراد بأمثال هذين اللفظين من لا يبالي عمن يروى وممن يأخذ يجمع بين الغث و السمين والعاطل </w:t>
      </w:r>
    </w:p>
    <w:p>
      <w:pPr>
        <w:pStyle w:val="BookText"/>
        <w:rPr/>
      </w:pPr>
      <w:r>
        <w:rPr>
          <w:rFonts w:ascii="Amiri" w:hAnsi="Amiri" w:eastAsia="Amiri" w:cs="Amiri"/>
          <w:color w:val="111111"/>
          <w:sz w:val="28"/>
          <w:sz w:val="28"/>
          <w:szCs w:val="28"/>
          <w:rtl w:val="true"/>
          <w:lang w:bidi="ar-SA"/>
        </w:rPr>
        <w:t>والثمين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صاحب توضيح المقال عقّب على صاحب منتهى المقال،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استشهد على مختاره بما لا يشهد له إذ غايته إطلاق ذلك على غير فاسد العقيدة ولا مجال لإنكاره، وأين هذا من ظهور الإطلاق؟ كما أنّ كون المبدأ الخلط الذي هو المزج لا يقتضى ما ذكره؛ فإنّ استعمال التخليط في فساد العقيدة أمر عرفي لا ينكر، ولا ينافيه كون أصل وضع اللغة على خلافه، مع أنّه لا مخالفة، إذ فساد العقيدة ربّما يكون بتخليط صحيحها بسقيمها، بل الغالب في المرتدين عن الدين أو المذهب كذلك لبعد الرجوع عن جميع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فالمرجع ظهور اللفظ في نفسه، ثمّ ملاحظة الخارج</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الضعيف والضعيف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ونرى الأكثر يفهمون منه القدح في نفس الرجل، ويحكمون به بسببه، ولا يخلو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أسباب الضعف عندهم قلّة الحافظة، وسوء الضبط، والرواية من غير إجازة، والرواية عمّن لم يلقه، واضطراب ألفاظ الرواية، وإيراد الرواية التي ظاهرها الغلو، أو التفويض، أو الجبر، أو التشبيه، وغير ذلك كما هو في كتبنا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مشحونة منها كالقرآن مع أنّ عادة المصنفين إيرادهم جميع ما رووه كما يظهر من طريقتهم مضافاً إلى ما ذكره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أسبابه رواية فاسدي العقيدة عنه وعكسه، بل وربّما كان مثل الرواية بالمعنى ونظائره سبباً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فرق بيّنٌ ظاهرٌ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بالقدح منه أضعف، وسيجئ في سهل بن زياد وقال جدّي رحمه </w:t>
      </w:r>
    </w:p>
    <w:p>
      <w:pPr>
        <w:pStyle w:val="BookText"/>
        <w:rPr/>
      </w:pPr>
      <w:r>
        <w:rPr>
          <w:rFonts w:ascii="Amiri" w:hAnsi="Amiri" w:eastAsia="Amiri" w:cs="Amiri"/>
          <w:color w:val="111111"/>
          <w:sz w:val="28"/>
          <w:sz w:val="28"/>
          <w:szCs w:val="28"/>
          <w:rtl w:val="true"/>
          <w:lang w:bidi="ar-SA"/>
        </w:rPr>
        <w:t>الله الغالب في إطلاقاتهم أنّه ضعيف في الحديث أي يروى عن كل أحد انتهى، فتأمّل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للتفويض معان لا تأمّل للشيعة في فساد بعضها، ولا في صحّة بعضها، وبعضها محلّ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التفويض في الخلق كما ذهب إليه جمع، قائلين بأن الله تعالى خلق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وفوض إليه أمر العالم فهو الخلاق للدنيا وما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بعضهم تفويض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يقولون بالتفويض إلى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من بعض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الخلق والرزق إليهم ولعله يرجع إلى الأول وورد فساده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مفاد الأخبار الواردة في اللعن عليهم إما خصوص الاعتقاد بأنهم في كمال احتياجهم مباشرين لخلق من عداهم، أو الأعم من ذلك ومن 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القائلون بأنهم الرب والله، فهم ملعونون بكل 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تقسيم الأرزاق، ولعله مما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الحصر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ذلك التفويض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الأحكام والأفعال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يثبت ما رآه حسنا، ويرد ما رآه قبيحا، فيجيز الله إثباته ورده مثل إطعام الجد السدس، وإضافة الركعتين في الرباعيات، والواحدة في المغرب، وتحريم كل مسكر عند تحريم الخمر إلى غير ذلك</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محل إشكال عندهم؛ لمنافاته ظاهر وَمَا يَنْطِقُ عَنِ الْهَوَى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والأخبار الكثيرة واردة فيه، ووجه بأنها تثبت من الوحي إلا أن الوحي تابع ومجيز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التفويض حقيقة</w:t>
      </w:r>
      <w:r>
        <w:rPr>
          <w:rFonts w:eastAsia="Amiri" w:cs="Amiri" w:ascii="Amiri" w:hAnsi="Amiri"/>
          <w:color w:val="111111"/>
          <w:sz w:val="28"/>
          <w:szCs w:val="28"/>
          <w:rtl w:val="true"/>
          <w:lang w:bidi="ar-SA"/>
        </w:rPr>
        <w:t xml:space="preserve">. </w:t>
      </w:r>
      <w:bookmarkStart w:id="209" w:name="pg9058_87583"/>
    </w:p>
    <w:p>
      <w:pPr>
        <w:pStyle w:val="BookText"/>
        <w:rPr/>
      </w:pPr>
      <w:bookmarkEnd w:id="209"/>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الإرادة بأن يريد شيئا لحسنه، ولا يريد شيئا لقبحه كإرادة تغيير القبلة فأوحى الله تعالى إليه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القول بما هو أصلح له وللخلق، وإن كان الحكم الأصلي خلافه كما في صورة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أمر الخلق، بمعنى أنّه أوجب طاعته عليهم في كلّ ما يأمر وينهى، سواء أ علموا وجه الصحّة أم لا، بل ولو كان بحسب نظرهم –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الصحّة، بل الواجب عليهم القبول على وجه التسليم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2364862_2870459653"/>
      <w:bookmarkStart w:id="211" w:name="_Toc74"/>
      <w:bookmarkEnd w:id="210"/>
      <w:r>
        <w:rPr>
          <w:rtl w:val="true"/>
        </w:rPr>
        <w:t xml:space="preserve">الجهة الثانية </w:t>
      </w:r>
      <w:r>
        <w:rPr>
          <w:rtl w:val="true"/>
        </w:rPr>
        <w:t xml:space="preserve">: </w:t>
      </w:r>
      <w:r>
        <w:rPr>
          <w:rtl w:val="true"/>
        </w:rPr>
        <w:t>في مدى دلالاتها على الجرح</w:t>
      </w:r>
      <w:bookmarkEnd w:id="211"/>
    </w:p>
    <w:p>
      <w:pPr>
        <w:pStyle w:val="BookText"/>
        <w:rPr/>
      </w:pPr>
      <w:r>
        <w:rPr>
          <w:rFonts w:ascii="Amiri" w:hAnsi="Amiri" w:eastAsia="Amiri" w:cs="Amiri"/>
          <w:color w:val="111111"/>
          <w:sz w:val="28"/>
          <w:sz w:val="28"/>
          <w:szCs w:val="28"/>
          <w:rtl w:val="true"/>
          <w:lang w:bidi="ar-SA"/>
        </w:rPr>
        <w:t xml:space="preserve">قال الشيخ والد البهائي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ألفاظ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أشبه ذلك ممّا يدلّ على كفره، فلا يكتب حديثه ولا يعتبر</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الجرح والذم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كذوب، وضَّاع، كذّاب، غالٍ، عامّي، واهٍ، لا شيء، متّهم، مجهول، مضطرب الحديث، منكره، ليّنه، متروك الحديث، مرتفع القول، مهمل، غير مسكون إلى روايته، 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وأنصّها على التوهين الكذوب الوضّاع</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القدح والجرح، فلا اشكال في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w:t>
      </w:r>
    </w:p>
    <w:p>
      <w:pPr>
        <w:pStyle w:val="BookText"/>
        <w:rPr/>
      </w:pPr>
      <w:r>
        <w:rPr>
          <w:rFonts w:ascii="Amiri" w:hAnsi="Amiri" w:eastAsia="Amiri" w:cs="Amiri"/>
          <w:color w:val="111111"/>
          <w:sz w:val="28"/>
          <w:sz w:val="28"/>
          <w:szCs w:val="28"/>
          <w:rtl w:val="true"/>
          <w:lang w:bidi="ar-SA"/>
        </w:rPr>
        <w:t>المذهب والعقيدة، كذّاب، وضّاع، غالٍ</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شبهة في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الاعتماد على مثل هذه التضعيفات كأنْ يقال فيه –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لصراحتها في تكذيب الراوي ونسبة الوضع والافتراء إليه بما يعود صريحاً إلى جارحة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عادة الأصحاب في مثل المقام على طرح روايات الذين يرد فيهم مثل ذلك، إلّا أنّ ذلك وعلى إطلاقه ممّا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ذلك استبعادنا وجود شخص لم يصدق في حياته ولو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كان للنظر في روايات أولئك، وملاحظة ظروف صدور الرواية وطبيعتها، ومدى انسجامها مع الخطوط العامّة لفقه الأئمة أهميّة فائقة قد تدعو في بعض الأحيان إلى العمل بها رغم وجود عدد من الضعفاء والمتهمين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لعلّه من أفضل التخريجات والتفاسير لعمل المشهور بروايات ورد في أسانيدها من هم كذلك</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أنّه قدحٌ مناف للعدالة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ظهر من تخصيص الضعف بالحديث عدم القدح بالمحدّث، لكنّهم ربّما فعلوا ذلك بالمقدوح، كما قالوا في محمد بن الحسن بن جمهور 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الحديث، فاسد المذهب</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قولهم مضطرب الحديث، ومختلط الحديث، وليس بنقي الحديث، وقد غمز في حديثه وليس حديثه بذلك النقي يعرف حديثه وينكر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عُدّ هذا ونحوه في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أنّها ليست بظاهرة فيه؛ إذ لا منافاة بينه وبين العدالة كما في </w:t>
      </w:r>
    </w:p>
    <w:p>
      <w:pPr>
        <w:pStyle w:val="BookText"/>
        <w:rPr/>
      </w:pPr>
      <w:r>
        <w:rPr>
          <w:rFonts w:ascii="Amiri" w:hAnsi="Amiri" w:eastAsia="Amiri" w:cs="Amiri"/>
          <w:color w:val="111111"/>
          <w:sz w:val="28"/>
          <w:sz w:val="28"/>
          <w:szCs w:val="28"/>
          <w:rtl w:val="true"/>
          <w:lang w:bidi="ar-SA"/>
        </w:rPr>
        <w:t>ضعف الحديث، لكنّها تصلح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مختلط 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القدح لظهوره في فساد العقيدة</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اعلم أنّه فرق بَيّنٌ ظاهرٌ بين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فالحكم بالقدح منه أضعف</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المعروف من ألفاظ الجرح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أنّه قدح مناف للعدالة إذا قيل على الإطلاق دون التخصيص بالحديث، لأنّ المراد في الأول أنّه ضعيف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أنّ الضعف في روايته، فلا تدلّ على القدح في الراوي مع الإضافة إلى الحديث</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العلّامة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تفصيلاً آخر في دلالة الضعف مغايراً في نتائجه لتفصيل الوحيد البهبهاني، والسيد الصدر، والمحقق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التضعيف مطلقاً كأنْ يقال فلان ضعيف لا ثمرة فيه إلّا صلوحه كشاهد على عدم الاعتماد على روايات من قيل فيه ذلك، وفي كلّ مورد لم يرد إلّا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ثبوت كذب الراوي بها، بل غايته عدم صحة الاعتماد على 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كلمة ضعيف، أو ما رادفها ليست صريحة في إرادة إثبات كذبه؛ لاحتمال عودها إلى غير ذلك ممّا يجعل أيّ معنى محتمل محتاجاً إلى قرينة تحدّده والمحتملات في هذه العبارة أربعة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منها الضعف في كيف الحديث، بمعنى أنّ أحاديث الراوي لا تنسجم مع الخطوط الكبرى للأئمّة، أو أنّه تفرّد برواية ما يرويه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منها الضعف في العقيدة، بمعنى فسادها لوقف أو فطح أو 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لعدم كونه من الإمامية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منها أنّه ينقل أحاديث أهل البيت عن الرواة مطلقاً دون أنْ يعتمد الصحاح والثقات منهم، فإنّ ذلك كان مذمة في الراوي ردحا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أنّ أحمد بن محمد بن عيسى الأشعري أخرج البرقي من قمّ لاعتماده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منها الضعف في الحديث بمعنى الوضع أو الافتراء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هذه العبارة إنّما يعتمد عليها كأساس للتضعيف المطلوب لو ظهر منها الاحتمال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لنا بإثبات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حال أصحاب الرجال إرادة الاحتمال الأخير، إذ لا معنى لإدراج الألفاظ الدالّة على غيره وهم بصدد بيان أحوال الرجال من حيث الوثاقة وعدمها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يلجأ إليه إنْ لم يكن عملهم إلّا به مع إنّنا نجدهم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أحوال الرجال، وذكروا أحياناً من الأمور ما لا ربط له بالتوثيق والتضعيف وعدمهما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أنّهم نعتوا فاسد العقيدة بالضعيف، وكذلك من لا يهتّم عمّن ينقل كما هو الحال في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النجاشي يصرّح في أول كتابه أنّه إنّما كتب كتابه لأجل إعابة العامّة علينا بعدم وجود مصنف عندنا في الرجال وأحوالهم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لو ورد توثيق لراو قيل فيه ذلك يؤخذ به، ويجعل قرينة على إرادة أحد الاحتمالات الثلاثة من العبارة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المتحصّل من كلامهم وقوع الخلاف في دلالة الضعيف والمخلط على القدح، والظاهر أنّ سبب الخلاف يرجع إلى الاختلاف في تفسير معنيهما كما مرّ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لم يظهر الخلاف بينهم في عدّ مثل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أهل الارتفاع، الطيّارة،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ألفاظ القدح والجرح اذا كانت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البعض منهم من المتأخّرين كالوحيد ومن تابعه كالمحقق المامقاني، والسيد بحر العلوم، والشيخ الخاقاني، والمحدّث النوري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استشكلوا وتأمّلوا بالجرح بتلك الألفاظ لا من جهة دلالتها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وكما سيأتي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من جهة كونها من خصوص القدماء كالقمّيين وابن الغضائري، بدعوى تسرّعهم بالطعن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رواية المعجزات وخوارق العادات والإغراق في شأنهم وتعظيمهم وتنزيههم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تصل إليها عقولهم، فهم قاصرون عن إدراك مكنون المقامات العالية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الترّوي والتأمّل بجرحهم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الكلام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نقله المولى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القدماء لاسيّما القمّيين منهم اعتقدوا منزلة خاصّة من الرفعة هو اشتباه وخلط بالمراد من الغلو والغالي في اصطلاحهم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بيانﻫ، وإلّا فالزيارة الجامعة الكبيرة التي فيها جميع مقامات الأئمّة وصفاتهم وكمالاتهم لم يروها أحد إلّا القمّيون، والشيخ رواها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والصدوق رواها معتقداً بجميع فصولها ودلالاتها في الفقيه، وقال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أقصد فيه قصد المصنّفين في إيراد جميع ما رووه، بل قصدت إلى إيراد ما أفتي به، وأحكم بصحّته، وأعتقد فيه أنّه حجّة فيما بيني وبين ربي</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هذا أولاً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ذكره الشيخ مهدي الكجوري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أنّ نسبة الغلو وسائر الأديان الباطلة والمذاهب الفاسدة ممّا لا يصحّ صدورها من مسلم إلّا بعد الثبوت، ولا يكتفى فيها بمجرّد وجدان الرواية الظاهرة منهم ونحو ذلك، فضلاً عن مثل هؤلاء الصلحاء والعلماء الآخذين أصولهم وفروعهم من آثار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كونهم محتاطين متورّعين غاية الورع، والورع الحقيقي كما يمنع المتّصف به عن أخذ ما لا يتيّقنه كذا يمنعه عن نسبة ما لا يتيّقنها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ذلك ممّا لا تأمّل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غالٍ لنفي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لنحوه، لم يكن بهذا القدح عبرة عند من ليس هذا بغلو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الإطلاق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فلا وجه للتوهين بمجرّد هذه الاحتمالات الموجبة لرفع الوثوق من توثيقهم أيضاً؛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ما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من أنّ أحمد بن محمد بن عيسى وابن الغضائري ربّما ينسبان الراوي إلى الكذب، ووضع الحديث أيضاً بعد ما نسباه إلى الغلو، وكأنّه لروايته ما يدلّ عليه، ولا يخفى ما فيه، وربّما كان غيرهما أيضاً كذلك</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الرمي بالتفويض فقد استشكل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على القدح،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الإحاطة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القدح بمجرّد رميهم إلى التفويض أيضا لعلّه لا يخلو عن إشكال</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وأجاب الشيخ الكجوري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المنساق إلى الأذهان من لفظ التفويض هو المعنى الأول والثاني، وإطلاقه على ما عداهما نادر إلّا على ما يقوله المعتزلة من أنّ العباد مستقلّون في أفعالهم، فيقال لهم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المفوّضة في مقابل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ذلك من جملة من الأخبار المطلقة الدالّة على أنّ لا جبر ولا تفويض، فإذن الظاهر من اللفظ الذم بأيّ من المعنيين كان، فذلك الإشكال لا يخلو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بنينا على رفع اليد من الظواهر باحتمال أنْ يكون المراد من اللفظ بعض المعاني المحتملة المرجوحة، لارتفع الأمان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في المقام كما نبّه عليها 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بعض الأصحاب من الرواة وغيرهم على طريقة المعتزلة في هذه المسألة الكلامية فهو حينئذ من المفوضة، ويكون مذموماً مردود القول في الشهادة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ينصرف إلى ما هو الشايع من الإطلاقات، وهو هذا المعنى ولو بملاحظة غلبة استعماله في كلام أئمة الفن، فلا يبقى إشكال في ردّ قول من يصفونه به من الرجال، فتدبر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bookmarkStart w:id="212" w:name="pg9058_87590"/>
    </w:p>
    <w:p>
      <w:pPr>
        <w:pStyle w:val="Heading3"/>
        <w:numPr>
          <w:ilvl w:val="2"/>
          <w:numId w:val="1"/>
        </w:numPr>
        <w:rPr/>
      </w:pPr>
      <w:bookmarkStart w:id="213" w:name="__RefHeading___Toc2364864_2870459653"/>
      <w:bookmarkStart w:id="214" w:name="_Toc75"/>
      <w:bookmarkEnd w:id="212"/>
      <w:bookmarkEnd w:id="213"/>
      <w:r>
        <w:rPr>
          <w:rtl w:val="true"/>
        </w:rPr>
        <w:t>الفصل الثالث</w:t>
      </w:r>
      <w:r>
        <w:rPr>
          <w:rtl w:val="true"/>
        </w:rPr>
        <w:t xml:space="preserve">: </w:t>
      </w:r>
      <w:r>
        <w:rPr>
          <w:rtl w:val="true"/>
        </w:rPr>
        <w:t>في بعض الوجوه التي استند إليها في توثيق المتهمين بالغلو ومناقشتها</w:t>
      </w:r>
      <w:bookmarkEnd w:id="214"/>
    </w:p>
    <w:p>
      <w:pPr>
        <w:pStyle w:val="BookText"/>
        <w:rPr/>
      </w:pPr>
      <w:r>
        <w:rPr>
          <w:rFonts w:ascii="Amiri" w:hAnsi="Amiri" w:eastAsia="Amiri" w:cs="Amiri"/>
          <w:color w:val="111111"/>
          <w:sz w:val="28"/>
          <w:sz w:val="28"/>
          <w:szCs w:val="28"/>
          <w:rtl w:val="true"/>
          <w:lang w:bidi="ar-SA"/>
        </w:rPr>
        <w:t>استدل بعض العلماء على توثيق بعض الرواة المعروفين المتهمين بالغلوّ بعدّة من الوجوه، اخترنا منها الأهم مع مناقشتها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من مشايخ الإجازة مشعراً بوثاقته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بحر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اعلم، إنّ الرواية من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وإنّ قلنا بأنّه ليس بثقة لكونه من مشايخ الإجازة، لوقوعه في طبقتهم، فلا يقدح في صحّة السند كغيره من المشايخ الذين لم يوثّقوا في كتب الرجال، وتُعدّ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مثل محمد بن إسماعيل البندقي، وأحمد بن محمد بن يحيى العطار، وأحمد بن محمد بن الحسن بن الوليد، وأحمد بن عبد الواحد، وابن أبي جيد، والحسين بن الحسن بن أبان، وأضرابهم لسهولة الخطب في أمر المشايخ، فإنّهم إنّما يذكرون في السند لمجرّد الاتصال والتبرك، وإلّا فالرواية من الكتب والأصول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كانت في زمان المحمدين الثلاثة ظاهرة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كالكتب الأربعة في زماننا، وذكرهم المشايخ في أوائل السند كذكر المتأخرين الطريق إليهم مع تواتر الكتب، وظهور انتسابها إلى 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يذكر تمام السند كما هو عادة القدماء، وربّما يسقط المشايخ ويقتصر على إيراد الروايات، وليس ذلك إلّا لعدم اختلاف حال السند بذكر المشايخ وإهمالهم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 التهذيب،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باستخراج ما أورده فيهما من الأخبار من أصول الأصحاب وكتبهم، وإنّ وضع المشيخة لبيان طرقه إلى أصحاب تلك الكتب </w:t>
      </w:r>
    </w:p>
    <w:p>
      <w:pPr>
        <w:pStyle w:val="BookText"/>
        <w:rPr/>
      </w:pPr>
      <w:r>
        <w:rPr>
          <w:rFonts w:ascii="Amiri" w:hAnsi="Amiri" w:eastAsia="Amiri" w:cs="Amiri"/>
          <w:color w:val="111111"/>
          <w:sz w:val="28"/>
          <w:sz w:val="28"/>
          <w:szCs w:val="28"/>
          <w:rtl w:val="true"/>
          <w:lang w:bidi="ar-SA"/>
        </w:rPr>
        <w:t>والأصول وإنْ لم يكونوا وسائط في النقل، والظاهر أنّ ما اشتمل على ذكر المشايخ من الروايات كغيره ممّا ترك فيه ذلك، وأنّه لا حاجة إلى توسطهم في النوعين معاً</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ضعيف 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كبرى فبما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المعجم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شيخوخة الإجازة لا تكشف عن وثاقة الشيخ كما لا تكشف عن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الراوي قد يروي رواية عن أحد بسماعه الرواية منه، وقد يرويها عنه بقراءتها عليه، وقد يرويها عنه لوجودها في كتاب قد أجازه شيخه أنْ يروي ذلك الكتاب عنه من دون سماع ولا قراءة، فالراوي يروي تلك الرواية عن شيخه،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فيذكر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ففائدة الإجازة هي صحّة الحكاية عن الشيخ وصدقها،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رواية الثقة عن شخص كاشفة عن وثاقته أو حسنه فهو، وإلّا فلا تثبت وثاقة الشيخ بمجرّد الاستجازة والإجازة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محمد بن الزبير القرشي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يقم دليل على وثاقة كلّ من يكون شيخ إجازة، إذ لا فرق بين أنْ يروي أحد عن آخر رواية أو روايتين وبين أنْ يروي عنه أصلا من الأصول أو كتابا من الكتب</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مناقشته بما أفاده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إنْ تمّ فإنّما يتمّ بالنسبة إلى من لم يكن بنفسه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كأحمد بن </w:t>
      </w:r>
    </w:p>
    <w:p>
      <w:pPr>
        <w:pStyle w:val="BookText"/>
        <w:rPr/>
      </w:pPr>
      <w:r>
        <w:rPr>
          <w:rFonts w:ascii="Amiri" w:hAnsi="Amiri" w:eastAsia="Amiri" w:cs="Amiri"/>
          <w:color w:val="111111"/>
          <w:sz w:val="28"/>
          <w:sz w:val="28"/>
          <w:szCs w:val="28"/>
          <w:rtl w:val="true"/>
          <w:lang w:bidi="ar-SA"/>
        </w:rPr>
        <w:t>محمد بن الحسن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مثله في نقل الأحاديث لا يكون إلّا شرفياً بحتاً، وهو إجازة كتب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الشيخ الواقع في السند صاحب كتاب يحتمل أنْ يكون الحديث مأخوذاً من كتابه، فلا سبيل إلى البناء على كونه شيخ إجازة حتى يُستغنى عن إثبات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وسهل بن زياد كان كذلك، حيث ذُكر له بعض الكتب، ككتاب التوحيد، وكتاب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الأخير رواه النجاشي بإسناده عن محمد بن يعقوب عنﻫ فاحتمال كون الروايات التي وقع في طريقها في الكافي مأخوذة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قائم لا سبيل إلى دفعه، ولا يصحّ أنْ يقاس الكليني بالشيخ الذي صرّح بأنّه إنّما يبتدئ باسم من أخذ الحديث من أصله وكتابه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أنّ مصدر الكليني في الأحاديث التي رواها عن طريق سهل لم يكن كتبه، بل بعض الكتب والأصول الأخرى التي أجاز له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دليل على أنّ تلك الكتب والأصول جميعاً كانت مشهورة متداولة بكثرة في عصر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احتمال الدسّ والتزوير فيها ضعيفاً جداً، فإنّ من الواضح أنّه 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الاعتماد على النسخة المروية عن طريق من لم تثبت وثاقتﻫ كون أصل الكتاب معروفاً ومعلوم الانتساب إلى صاحبه، بل لا بد أنّ تكون نسخه معروفة متداولة في ذلك العصر بحيث يُطمئن بعدم الدسّ والتزوير ونحوهما في تلك النسخة، فإنّه متى ما كان الكتاب كثير النسخ يضعف احتمال وقوع التغيير والتبديل في نسخته الواصلة إلى الشخص عن طريق من لم تثبت وثاقته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يعلم أن جميع الكتب التي اعتمدها أصحاب الجوامع في تآليفهم إنما كانت من هذا القبيل، أي متداولة النسخ بكثرة، بل المظنون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القرائن والشواهد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مقصود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في مقدمة الفقيه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فيه مستخرج من كتب مشهورة، عليها المعوّل وإليها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تلك الكتب كانت متداولة النسخ بحدّ يستغنى معه عن الطرق إلى نُسخها، بل مقصوده أنّها كانت كتباً مشتهرة بين الأصحاب من حيث الاعتماد عليها والأخذ بما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لزوم التأكد من صحّة نسخها من خلال طرق صحيحة أو بعض الشواهد والقرائن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محاولة تصحيح روايات سهل بن زياد في الكافي بصورة عامة من حيث كونه من مشايخ الإجازة غير تامّة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 نصر بن الصباح بأنّ رواية الأجلاء والثقات عن أحدهم تنافي انحرافه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وأعلم أنّ تصريحه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وفي ترجمة مفضل بن عمر وجابر بن يزيد الجعفي ينافي ما هو المعروف من طريقة المشايخ وديدن الأجلاء، بل جُلّ المحدّثين من الفرقة الناجية، من هجرهم الغلاة الذين هم قسم من الكفرة الطغاة، وتركهم الرواية عنهم، وما ورد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بذلك وبترك المخالطة معهم والمراودة إليهم وأخذ الحديث عنهم، مع أنّه قد أكثر في كتابه هذا من الرواية عنه في أكثر التراجم، ويظهر منه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رواية الثقات عن أحد تنافي انحرافه وضعفه، وقد أكثر عنه العياشي أيضاً، وهما من وجوه المشايخ الجلة وسناد أصحاب الرواية وعمادهم في المذهب والملة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أجلاء الطائفة عمّن هو ضعيف، أو عمّن هو معروف بالكذب </w:t>
      </w:r>
    </w:p>
    <w:p>
      <w:pPr>
        <w:pStyle w:val="BookText"/>
        <w:rPr/>
      </w:pPr>
      <w:r>
        <w:rPr>
          <w:rFonts w:ascii="Amiri" w:hAnsi="Amiri" w:eastAsia="Amiri" w:cs="Amiri"/>
          <w:color w:val="111111"/>
          <w:sz w:val="28"/>
          <w:sz w:val="28"/>
          <w:szCs w:val="28"/>
          <w:rtl w:val="true"/>
          <w:lang w:bidi="ar-SA"/>
        </w:rPr>
        <w:t>ليست بعزيزة، فقد ذكر الكشي جمعاً غير قليل من أجلاء الطائفة ممّن روى عن محمد بن سنان، كيونس بن عبد الرحمن، والحسن بن علي بن فضّال، وأحمد بن محمد بن عيسى، وأيوب بن نوح، والحسن والحسين ابني سعيد، ومحمد بن إسماعيل بن بزيع، ومحمد بن الحسين بن أبي الخطاب، ومحمد بن عبد الجبار، والفضل بن شاذان، وإبراهيم بن هاشم، والحسن بن علي الوشا، وعلي بن الحكم، وابن أبي نجران، وعمرو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فهي لاتفيد التوثيق كما 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أنّ رواية الأجلّة عن أحد لا تكشف عن حسنه ، فضلاً عن وثاقته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وهو –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أنْ يكون المراد من الغلوّ هو الغلوّ بالمعنى الذي لا يوجب الكفر وردّ الرواية، فإنّ له مراتب ودرجات يرمي قائل كلّ واحد منها إلى الغلو، أعلاها نفي سمات الحدوث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والقول بإلوهيتهم وقِدَمهم ونفى إله معبود لهم، وأدناها ما أشار إليه الصدوق في عقائده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علامة الغلو أنْ ينسب مشايخ القمّيين وعلماؤهم إلى التقصير</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وقريب منه ما أفاده العلّامة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الجرح إنْ كان عائداً إلى الغلو، فلا يكاد يخفى على النيقد البصير تقدّم الأخبار فيه على جرح علماء الرجال؛ لأنّ الغالب قوّة الظّن الحاصل منها على الظّن الحاصل من رميهم بالغلو، لوضوح أنّ القدماء كانوا يعدّون غلوّاً وارتفاعاً جملة ممّا نعدّه اليوم من ضروريات مذهب الشيعة في حقق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مبني على الخلط بالمفهوم المراد من الغلو والغالي في اصطلاح القمّيين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بيانﻫ وإلّا فالزيارة الجامعة الكبيرة التي فيها جميع مقامات الأئمة وصفاتهم وكمالاتهم لم يروها أحد إلّا القميون، والشيخ رواها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والصدوق رواها معتقداً بجميع فصولها ودلالاتها في الفقيه، وقال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أقصد فيه قصد المصنّفين في إيراد جميع ما رووه، بل قصدت إلى إيراد ما أفتي به، وأحكم بصحّته وأعتقد فيه أنّه حجّة فيما بيني وبين ربي</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أنّ الغلاة حالهم حال الفطحيّة والواقفيّة وأمثالهما بالنسبة إلى الأدلّة والكفر ملّة واحدة إلّا توهّم اشتراط الإسلام في الراوي، وفى عدم ثبوت إجماع حجّة على ذلك، بل وعدم ظهوره سيّما بالنسبة إلى مثل الغلوّ، بل لا يخفى على المتتبع في الرجال وكتب الأخبار أنّ مشايخنا القدماء ورواتهم كانوا يعتمدون على المعتمدين من الغلاة بالنسبة إلى الرجال والأخبار فلاحظ</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الشيخ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الفاسق لا بدّ في قبول خبره من التبيّن الظّني الاطمئناني بحيث يطمئن به العقلاء ولا يرتابون في العمل به والتعويل عليه وانْ لم يحصل إلى حد القطع، بل كان احتمال الكذب ضعيفاً جداً لا يلتفت إليه وهذا هو الضابط فلا بدّ من مراعاته، والله 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الفاسق الذي لا يحصل الظّن من خبره هو الذي لا يبالي في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المتحرّز عنه مطلقاً أو في الروايات فمنع حصوله منه مكابرة سيّما الفاسق بالقلب لا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 زاد الفاسق تحرّزاً عن الكذب وتحاشياً عنه زاد الوثوق بخبره والاطمئنان بقوله، </w:t>
      </w:r>
    </w:p>
    <w:p>
      <w:pPr>
        <w:pStyle w:val="BookText"/>
        <w:rPr/>
      </w:pPr>
      <w:r>
        <w:rPr>
          <w:rFonts w:ascii="Amiri" w:hAnsi="Amiri" w:eastAsia="Amiri" w:cs="Amiri"/>
          <w:color w:val="111111"/>
          <w:sz w:val="28"/>
          <w:sz w:val="28"/>
          <w:szCs w:val="28"/>
          <w:rtl w:val="true"/>
          <w:lang w:bidi="ar-SA"/>
        </w:rPr>
        <w:t>ومن هذا الباب أخبار الموثَّقين وأعاظمهم كعبد الله بن بكير وأمثاله الذين بلغوا في الاعتماد والقبول مراتب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ادّعى الكشي إجماع العصابة على تصحيح ما يصحّ عن جماعة منهم عبد الله بن بكير</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مناقشته بما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درسه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الغلو لا ينفكّ عادة عن الكذب، فإنّه مضافاً إلى أنّ الغالي بالمعنى المتقدّم يبيح المحرّمات، ومن أهونها الكذب، فالغلاة لايمكنهم الاستغناء عن الكذب في تثبيت مذهبهم وترويجه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لمن تتبع أحوالهم في كتب الرجال، فهم يكذبون وينسبون الى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الأعاجيب حتى يتمكّنوا من تثبيت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فيكاد يكون الجمع بين كون الرجل غالياً وثقة جمعاً بين متنافيين</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فسق الغلاة ليس مقتصراً على فسقهم القلبي، بل يتعدّاه إلى فسقهم بالجوارح، فقياسهم بأخبار الموثَّقين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سلّمنا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دلالة بما ذكر على وثاقتهم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الاعتماد على تضعيفات ابن الغضائري لعدم ثبوت نسبة الكتاب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خلف بن حمّاد بن ناشر بن الليث الأسدي كوفي أمره مختلط، نعرف حديثه تارة وننكره أخرى ويجوز أنْ يخرّج شاهداً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الظاهر وثاقة الرجل، فإنّ تضعيف ابن الغضائري لم </w:t>
      </w:r>
    </w:p>
    <w:p>
      <w:pPr>
        <w:pStyle w:val="BookText"/>
        <w:rPr/>
      </w:pPr>
      <w:r>
        <w:rPr>
          <w:rFonts w:ascii="Amiri" w:hAnsi="Amiri" w:eastAsia="Amiri" w:cs="Amiri"/>
          <w:color w:val="111111"/>
          <w:sz w:val="28"/>
          <w:sz w:val="28"/>
          <w:szCs w:val="28"/>
          <w:rtl w:val="true"/>
          <w:lang w:bidi="ar-SA"/>
        </w:rPr>
        <w:t>يثبت، فإنّ كون الحديث معروفاً تارة ومنكراً أخرى أمرٌ، ووثاقة الرجل أو ضعفه أمر آخر، على أنّا قد ذكرنا أنّه لم يثبت استناد الكتاب إلى ابن الغضائري، فلا معارض لتوثيق النجاشي</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مناقشة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الرجاليون حول الكتاب اختلافاً عميقا، فمن ذاهب إلى أنّه مختلق لبعض معاندي الشيعة أراد به الوقيعة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قائل بثبوت الكتاب ثبوتاً قطعياً، وأنّه حجّة ما لم يعارض توثيق الشيخ والنجاشي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ثالث بأنّ الكتاب له، وأنّه نقّاد هذا العلم، ولا يقدّم توثيق الشيخ والنجاشي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رابع بأنّ الكتاب له، غير أنّ جرحه وتضعيفه غير معتبر، لأنّه لم يكن في الجرح والتضعيف مستنداً إلى الشهادة ولا إلى القرائن المفيدة للاطمئنان، بل إلى اجتهاده في متن الحديث، فلو كان الحديث مشتملا على الغلوّ والارتفاع في حق الأئمة حسب نظره، وصف الراوي بالوضع وضعّفه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أهميّة الكتاب من الناحية العلميّة والعمليّة من خلال انعكاسه على التراث الروائي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ارتأيت تسليط بعض الضوء على الخلاف الواقع بين المؤيّدين لصحّة انتساب الكتاب لابن الغضائري، وبين النافين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أولاً التعرّض لأدلّة النافين لصحّة انتساب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بيان أدلّة المثبتين من خلال مناقشتهم لأدلّة النافين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رأس النافين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الثبت الإمام الشيخ آقا بزرك الطهراني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وأستاذ الفقهاء والمجتهدين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المعجم عدّة أمور تمثّل الأساس لدعوى عدم ثبوت نسخة الكتاب بطرق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تعرّض العلّامة له في إجازاته وذكر طرقه إلى الكتب، بل إنّ وجود هذا الكتاب في زمان النجاشي والشيخ أيضاً مشكوك فيه، فإنّ النجاشي لم يتعرّض له مع أنّه بصدد بيان الكتب التي صنّفها الإمامية، حتى أنّه يذكر ما لم يره من الكتب وإنّما سمعه من غيره أو رآه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يذكر كتاب شيخه الحسين بن عبيد الله أو ابنه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وممّا يؤكّد عدم صحّة نسبة هذا الكتاب إلى ابن الغضائري أنّ النجاشي ذكر في ترجمة الخيبري عن ابن الغضائري أنّه ضعيف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الكتاب المنسوب إليه أنّه ضعيف الحديث غالي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هذا الكتاب لذكر النجاشي ما هو الموجود أيضاً، بل إنّ الاختلاف في النقل عن هذا الكتاب كما في ترجمة صالح بن عقبة بن قيس وغيرها يؤيّد عدم ثبوته، بل توجد في عدة موارد ترجمة شخص في نسخة ولا توجد في نسخة أخرى، إلى غير ذلك من المؤيّدات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هو قصور المقتضي وعدم ثبوت هذا الكتاب في نفسه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مناقشة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اقتبسناه من كلام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انتساب كتاب الضعفاء لابن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وتصرّف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فلم أجد في من تقدّم على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ناقش أو شكك في صحّة انتساب كتاب الضعفاء إلى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ناقش بعضهم في </w:t>
      </w:r>
    </w:p>
    <w:p>
      <w:pPr>
        <w:pStyle w:val="BookText"/>
        <w:rPr/>
      </w:pPr>
      <w:r>
        <w:rPr>
          <w:rFonts w:ascii="Amiri" w:hAnsi="Amiri" w:eastAsia="Amiri" w:cs="Amiri"/>
          <w:color w:val="111111"/>
          <w:sz w:val="28"/>
          <w:sz w:val="28"/>
          <w:szCs w:val="28"/>
          <w:rtl w:val="true"/>
          <w:lang w:bidi="ar-SA"/>
        </w:rPr>
        <w:t>حجّية تضعيفاته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السيد جمال الدين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 من نقل عن هذا الكتاب فيما بأيدينا من المصادر، مروراً بتلامذته الأجلّاء 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وتقي الدين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عبد النبي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 عبد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والميرزا محمد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الشيخ محمد حفيد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مصطفى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والمولى عناية الله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والمحقق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والمولى محمد اللاهجي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سليمان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والمولى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والمولى محمد إسماعيل الخواجوئي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محسن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عبد النبي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باقر الشفتي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والملا علي 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وأبي الهدى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من أعلام الفن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فتح باب المناقشة في ثبوت كتاب الضعفاء عن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الذريعة، ووافقه في ذلك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وجود هذا الكتاب في زمان النجاشي والشيخ مشكوك فيه، فإنّ النجاشي لم يتعرض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عليه بأنّه ليس من دأب النجاشي أنْ يترجم لزملائه وأقرانه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 إنّ عدم تعرّضه لكتاب ابن الغضائري دليل على عدم ثبوته عنه، ولذلك لم يذكر الكتابين اللذين ألّفهما ابن الغضائري في فهرست الأصول والمصنّفات، مع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لهما في مقدّمة الفهرست، وأيضاً لم يذكر له كتاب التاريخ مع نقله عنه في ترجمة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أعلى الله مقامه مؤكداً لعدم صحّة النسبة من أنّ النجاشي ذكر في ترجمة الخيبري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فمحلّ نظر؛ إذ يجوز أنْ يكون مستند النجاشي فيما حكاه عن ابن الغضائري بعض كتبه الأخرى ككتاب تاريخه، أو فهرسته لأسامي المصنّفات والأصول، أو أنّه سمعه منه شفاهاً، أو يكون في نسختنا من كتاب النجاشي تحريف ويكون الصحيح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الإيعاز إلى ذلك، فكيف يجعل مثل هذا الاختلاف دليلاً على عدم صحّة كتاب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النظر أيضاً في استشهاد المحقّق التستري على وجود كتاب الضعفاء عند النجاشي بما حكاه عن ابن الغضائري في ترجمة الخيبري بن علي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النظر أنّ المذكور في كتاب النجاشي لا يطابق بلفظه ما ورد في هذا الكتاب، فكيف يشهد على استناده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أبعد كلامه عن كلام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أفاده في المعجم من أنّ اختلاف النقل عن هذا الكتاب كما في ترجمة صالح بن عقبة يؤيد عدم ثبوته،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حكاه في مجمع الرجال عن كتاب الضعفاء المنتزع من حلّ الإشكال مطابق تماماً لما أثبته العلّامة في الخلاصة وإنْ لم ينسبه إليه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هو دأبه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ذكره ابن داود عن ابن الغضائري يزيد على ما أورداه ببعض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يضرّ لجواز اعتماده على غير كتاب الضعفاء من مؤلَّفات ابن الغضائري، مضافاً إلى وقوع الخلط والتصحيف في كتاب ابن داود بصورة واسعة، فيحتمل أنْ بعض ما يوجد فيه منسوب إلى ابن الغضائري هو في الأصل من مصدر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لعدم ثبوت الكتاب من اختلاف نسخه بالزيادة والنقيصة، ووجود ترجمة في بعض النسخ وعدم وجودها في البعض الآخر، فهو إنْ صحّ لم يوجب وهناً في اعتباره، فإنّ الاختلاف بالزيادة والنقيصة شيء واقع في كثير من كتب المتقدمين، ومن أمثلته كتاب الفهرست للشيخ، فإنّه قد أرجع إليه في كتاب الرجال في ترجمة الحسين بن علي بن سفيان البزوفري، والحسين بن عبيد الله الغضائري مع أنّه لا ذكر للرجلين في النسخ الموجودة بأيدينا من الفهرست، ويبدو أنّ نسخة ابن حجر كانت مشتملة على ترجمة الغضائري حيث حكى عن الفهرست في ترجمته في لسان 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فقد تحصّل من جميع ما تقدّم أنّ الإشكال في نسبة كتاب الضعفاء إلى ابن الغضائري استناداً إلى الوجوه المتقدّمة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مجموعة من القرائن يمكن أنْ تورث الاطمئنان بصحة هذه النسخة، وهي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أحمد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أخو السيد علي ابن طاووس الذي كان صاحب مكتبة كبرى لمؤلفات أصحابنا وغيرهم في أواسط القرن السابع في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النسخة المذكورة إلى ابن الغضائري بصيغةٍ جزميّة، ثمّ عوّل على ما ورد </w:t>
      </w:r>
    </w:p>
    <w:p>
      <w:pPr>
        <w:pStyle w:val="BookText"/>
        <w:rPr/>
      </w:pPr>
      <w:r>
        <w:rPr>
          <w:rFonts w:ascii="Amiri" w:hAnsi="Amiri" w:eastAsia="Amiri" w:cs="Amiri"/>
          <w:color w:val="111111"/>
          <w:sz w:val="28"/>
          <w:sz w:val="28"/>
          <w:szCs w:val="28"/>
          <w:rtl w:val="true"/>
          <w:lang w:bidi="ar-SA"/>
        </w:rPr>
        <w:t xml:space="preserve">فيها في نقد أسانيد الروايات الواردة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علماً أنّه أحد كبار العلماء والمحقّقين،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فضلاء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في الرجال والرواية ما لا مزيد عليه، فلو لم يكن قد توفّر له من القرائن الواضحة والدلائل الكافية ما يوجب اليقين بصحّة النسخة لما اعتمد عليها، ولا سيّما أنّه لم يكن له طريق إلى مؤلّفها، وليقين مثله شأنٌ معتدّ به في حصول الاطمئنان بصحّة النسخة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مواضع في كتاب النجاشي ربّما يبدو أنّه ينظر فيها إلى كلام ابن الغضائري في كتاب الضعفاء، وقد يعبّر بنفس التعبير الوارد فيه ممّا يؤيد وجود هذا الكتاب لديه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ورد في كتاب الضعفاء والكتاب الآخر موارد روى فيها المؤلّف عن عدد من الرجال وكما يلي</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ويتبين من هذه الموارد أنّ مؤلّف كتاب الضعفاء كان في طبقة الشيخ والنجاشي مشاركاً لهما في عدد من الشيوخ، وكان له والد عارف بالرجال يناسب أنْ يحكي عنه المطالب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ممّا يقوّي احتمال كونه ابن الغضائري كما لا يخفي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في محتويات الكتاب، وملاحظة ما ورد فيه بشأن مختلف الرواة المترجمين يورث الاطمئنان بأنّ مؤلّفه كان خبيراً بأحوال الرجال، بصيراً بما قيل في حقّهم، دقيقاً في تقييمهم، وعلى اطلاع وافٍ برواياتهم وكتبهم، وهذا ممّا يبعّد احتمال أنّ يكون الكتاب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صاحب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وبملاحظة ما تقدّم من تشخيص طبقة المؤلف يتأكد كون الكتاب لابن الغضائري إذ لا يعرف في طبقته من </w:t>
      </w:r>
    </w:p>
    <w:p>
      <w:pPr>
        <w:pStyle w:val="BookText"/>
        <w:rPr/>
      </w:pPr>
      <w:r>
        <w:rPr>
          <w:rFonts w:ascii="Amiri" w:hAnsi="Amiri" w:eastAsia="Amiri" w:cs="Amiri"/>
          <w:color w:val="111111"/>
          <w:sz w:val="28"/>
          <w:sz w:val="28"/>
          <w:szCs w:val="28"/>
          <w:rtl w:val="true"/>
          <w:lang w:bidi="ar-SA"/>
        </w:rPr>
        <w:t>يشاركه في الصفات المذكورة ممّن يناسب أنْ يكون مؤلف هذا الكتاب فلاحظ</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يؤخذ بما رووه في حال استقامتهم، وترك حال غلّوهم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يختصّ الغلاة بروايته، فإنْ كانوا ممّن عُرف لهم استقامته وحال غلوّه عُمل بما رووه في حال الاستقامة وترك حال خطأهم ، ولأجل ذلك عملت الطائفة بما رواه أبو الخطاب محمد بن أبي زينب في حال استقامته ، وتركوا ما رواه في حال تخليطه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 بن حاتم بن ماهويه كان مستقيماً، ثمّ تغيّر وأظهر القول بالغلوّ، وله روايات، أخبرنا برواياته في حال الاستقامة جماعة، عن أبي جعفر محمد بن علي بن الحسين بن بابويه، عن أبيه ومحمد بن الحسن، عن عبد الله بن جعفر الحميري، عن محمد بن عيسى بن عبيد، عنه في حال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في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بن حاتم غالٍ، كذّاب، أخو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 لم يرو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بن حاتم بن ماهويه روى عنه محمد بن عيسى بن يقطين، غالٍ</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ويردّه ماذكره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طاهر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نقل قول ابن الغضائري</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طاهر بن حاتم بن ماهويه القزويني، أخو فارس، كان فاسد المذهب </w:t>
      </w:r>
    </w:p>
    <w:p>
      <w:pPr>
        <w:pStyle w:val="BookText"/>
        <w:rPr/>
      </w:pPr>
      <w:r>
        <w:rPr>
          <w:rFonts w:ascii="Amiri" w:hAnsi="Amiri" w:eastAsia="Amiri" w:cs="Amiri"/>
          <w:color w:val="111111"/>
          <w:sz w:val="28"/>
          <w:sz w:val="28"/>
          <w:szCs w:val="28"/>
          <w:rtl w:val="true"/>
          <w:lang w:bidi="ar-SA"/>
        </w:rPr>
        <w:t>ضعيفاً، وقد كانت له حال استقامة، كما كانت لأخيه، ولكنّها لا تثمر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رواياته بعد الانحراف لا تقبل، لشهادة الشيخ بأنّه غالٍ كذّاب، وكذا ما تردّد بين حال الاستقامة وحال الانحراف، إنّما الكلام في رواياته حال استقامته، والظاهر أنّها لا تقبل أيضاً، لعدم ثبوت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والاستقامة بمجرّدها لا تكفي في حجية الرواية، ولعلّه إلى ذلك أشار ابن الغضائري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لا تثمر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اعتماد ابن الوليد على رواياته حال استقامته، فهو إنْ صحّ لا يكشف عن الوثاقة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ممّن لم يستثنه ابن الوليد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نقلاً عن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استدل لوثاقة محمد بن أحمد العلوي بأمور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استثناء ابن الوليد رواياته عن روايات محمد بن أحمد بن يحيى تدلّ على توثيق ابن الوليد له، واعتماده على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 اعتماد ابن الوليد أو غيره من الأعلام المتقدّمين فضلا عن المتأخّرين على رواية شخص والحكم بصحتها لا يكشف عن وثاقة الراوي أو حسنه، وذلك لاحتمال أنّ الحاكم بالصحّة يعتمد على أصالة العدالة التي لا نقول بها، ويرى حجيّة كلّ رواية يرويها مؤمن لم يظهر منه فسق، وهذا لا يفيد من يعتبر وثاقة الراوي أو حسنه في حجيّة خبره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بالإضافة إلى تصحيح ابن الوليد وأضرابه من القدماء، الذين قد يصرّحون بصحّة رواية ما، أو يعتمدون عليها من دون تعرّض لوثاقة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الصدوق فهو يتبع شيخه في التصحيح وعدمه، كما صرّح هو نفسه بذلك،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خبر صلاة </w:t>
      </w:r>
    </w:p>
    <w:p>
      <w:pPr>
        <w:pStyle w:val="BookText"/>
        <w:rPr/>
      </w:pPr>
      <w:r>
        <w:rPr>
          <w:rFonts w:ascii="Amiri" w:hAnsi="Amiri" w:eastAsia="Amiri" w:cs="Amiri"/>
          <w:color w:val="111111"/>
          <w:sz w:val="28"/>
          <w:sz w:val="28"/>
          <w:szCs w:val="28"/>
          <w:rtl w:val="true"/>
          <w:lang w:bidi="ar-SA"/>
        </w:rPr>
        <w:t>يوم غدير خم والثواب المذكور فيه لمن صامه، فإنّ شيخنا محمد بن الحسن كان لا يصحّحه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طريق محمد بن موسى الهمداني، وكان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لم يصحّحه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يحكم بصحّته من الاخبار فهو عندنا متروك غير صحيح</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مناقشتها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استند إليها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توثيق المتهمين بالغلوّ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أغلبها من التوثيقات العامّة عند الرجاليين التي لم تثبت في نفسها، فضلاً عن أنْ تقاوم نصوص أهل الجرح في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إيراده في هذا البحث، بيد أنّه توجد بعض المتمّمات التطبيقيّة والتكميليّة عزفنا عنها توخيّاً من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الفراغ من تحريره في الليلة الأولى من شهر رجب الأصب من عام ألف وأربعمائة واثنتين وثلاثين للهجرة النبوية المباركة، على مهاجرها وآله الأطهار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تبارك وتعالى أنْ يوفّقنا لمرضاته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bookmarkStart w:id="215" w:name="pg9058_87606"/>
    </w:p>
    <w:p>
      <w:pPr>
        <w:pStyle w:val="Heading3"/>
        <w:numPr>
          <w:ilvl w:val="2"/>
          <w:numId w:val="1"/>
        </w:numPr>
        <w:rPr/>
      </w:pPr>
      <w:bookmarkStart w:id="216" w:name="__RefHeading___Toc2364866_2870459653"/>
      <w:bookmarkStart w:id="217" w:name="_Toc76"/>
      <w:bookmarkEnd w:id="215"/>
      <w:bookmarkEnd w:id="216"/>
      <w:r>
        <w:rPr>
          <w:rtl w:val="true"/>
        </w:rPr>
        <w:t>نتائج البحث</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معنى الغلوّ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أكثر استعمالاتهم للفظ الغلوّ واشتقاقاته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وصفاً لصيقاً دائماً للتشيع أو الرفض، فهو يحلّ حيثما حلّ لفظ التشيع أو الرفض، والغرض منه بيان شدة الميل والاعتقاد بالتشيع والرفض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يطلقونه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الشيعة بصورة أشمل وبدائرة أوسع، وسواء أكان المرمي به ثقة أم كان ضعيفاً أم كان من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أنّهم يطلقونه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 من يروي فضيلة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رذيلة لخصومه وإن لم يكن إمامياً كما مرّت شواهده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الغلو عندهم أعم مطلقا من مفهومه عند علماء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أسباب جرح الجمهور للرواة بالغلوّ في التشيع والرفض،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التعصب والنصب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والمطامع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بطش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السياسية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تنوّعت ادّعاءات الغلاة في حق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الادّعاء لهم بالربوبيّة، والنبوّة، والعلم بالغيب لهم بنحو الاستقلال من دون إلهام، والقول بالتناسخ والتفويض</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المفهوم المنساق من لفظ الغلوّ والغلاة في كلمات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الروايات المتقدّمة هو المفهوم المساوق للقول فيهم ما لا يقولون، ويتجاوز الحدّ فيهم </w:t>
      </w:r>
    </w:p>
    <w:p>
      <w:pPr>
        <w:pStyle w:val="BookText"/>
        <w:rPr/>
      </w:pPr>
      <w:r>
        <w:rPr>
          <w:rFonts w:ascii="Amiri" w:hAnsi="Amiri" w:eastAsia="Amiri" w:cs="Amiri"/>
          <w:color w:val="111111"/>
          <w:sz w:val="28"/>
          <w:sz w:val="28"/>
          <w:szCs w:val="28"/>
          <w:rtl w:val="true"/>
          <w:lang w:bidi="ar-SA"/>
        </w:rPr>
        <w:t>إلوهيّةً، أو نبوّةً، أو علماً بالغيب، أو تناسخاً، أو تفويضاً، أو غيرها ممّا يوجب ترك الفرائض وفعل الإباحيّات والمحرّمات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من موقف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وبمناسبة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نجاسةً وكفراً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قال في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يقولون، ويتجاوز الحدّ فيهم إلوهيّةً، أو نبوّةً، أو علماً بالغيب، أو تناسخاً، أو تفويضاً ممّن علم منهم الإنكار لضروريات الدين، أو انطبق عليهم عنوان الكفر، كما هو الملاحظ في كلماتهم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الرجاليون في معنى الغلو وتحديد الضابط منه ممّا ألقى هذا الاختلاف بظلاله على جرحهم وتعديلهم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متأخّرو المتأخّرين كالمجلسيين، والوحيد، ومن تابعه كالمحقّق المامقاني، والسيد بحر العلوم، والشيح علي الخاقاني، والمحقّق الكاظمي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جعلوا متن الوحيد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التعليقة أصلاً يستشهد به في كتبهم لردّ تضعيفات القميين وابن الغضائري في الرواة، لاسيّما اذا كانت بالغلوّ والتفويض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أشكل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ذهبت إليه مدرسة الوحيد البهبهاني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ما يردّ المتأخّرون طعن القدماء في رجل بالغلوّ، بأنّهم رموه به لنقله معجزاتهم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ردّ غلط؛ فإنّ كونهم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 معجزات من ضروريّات مذهب الإمامية، وهل معجزاتهم وصلت إلينا إلاّ بنقلهم؟ وإنّما مرادهم بالغلو ترك العبادة اعتماداً على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أكثر القدماء طعناً بالغلوّ ابن الغضائري، وشهّر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يتسرّع إلى الجرح، فلا عبرة بطعونه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الذي وجدناه بالسبر في الذين وقفنا على كتبهم ممّن طُعن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ككتاب استغاثة علي بن احمد الكوفي، وكتاب تفسير محمد بن القاسم الاسترآبادي، وكذلك كتاب الحسن بن عباس بن حريش على </w:t>
      </w:r>
    </w:p>
    <w:p>
      <w:pPr>
        <w:pStyle w:val="BookText"/>
        <w:rPr/>
      </w:pPr>
      <w:r>
        <w:rPr>
          <w:rFonts w:ascii="Amiri" w:hAnsi="Amiri" w:eastAsia="Amiri" w:cs="Amiri"/>
          <w:color w:val="111111"/>
          <w:sz w:val="28"/>
          <w:sz w:val="28"/>
          <w:szCs w:val="28"/>
          <w:rtl w:val="true"/>
          <w:lang w:bidi="ar-SA"/>
        </w:rPr>
        <w:t xml:space="preserve">نقل الكافي تسعة من أخباره في شأن إنّا أنزلناﻫ أنّ الأمر كما ذكر، والرجل نقّاد، وقد قوّى ممّن ضعّفه القميّون جمعاً، كأحمد بن الحسين بن سعيد، والحسين بن شاذويه، والزيدين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الزرّاد، والنرسي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أورمة، بأنّه رأى كتبهم وأحاديثهم 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أفاد السيد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بحث درسﻫ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يقال فلان غالٍ، يعني أنّه ممّن يترك الواجبات من الصلاة وغيرها من الأعمال ، لأنّ ما يبتني عليه الغلوّ هو الاعتقاد بكفاية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النجاة يوم القيامة، بل يصل الأمر إلى عدم الحفاظ على عرضه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استظهره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متين في مقابل ما ذهبت إليه مدرسة الوحيد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لا يتمّ على إطلاقه؛ لكونه غير جامع لطوائف الغلاة كافة، ولا ينسجم مع ما مرّ من سعة مفهوم الغلوّ وشموليّته المنطبق على طوائف، وأصناف الغلاة كافة المذكورة في الروايات بلا فرق بين من يدعي منهم الإلوهية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النبوة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العلم بالغيب لهم، أو التناسخ، أو التفويض، أو غيرها ممّا يوجب ترك الفرائض وفعل الإباحيّات والمحرّمات اتّكالاً على ولايتهم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ورد في ترجمة جملة من الغلاة أنّ الرجاليين قد استعملوا الغلوّ بغير المفهوم المقيّد بطائفة، أو بصنف خاص من الغلاة كما هو مختار المحقّق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ترك العبادة اعتماداً على ولايتهم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بل بالمعنى الشامل الذي صدر عن الأئمة في حقّ الغلاة ممّن ادّعى الإلوهيّة، أو النبوّة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علمهم بالغيب، أو التفويض لهم، أو التناسخ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 هو ما ذكره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تحديد مفهوم الغلوّ – 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التجاوز عن الحدّ، والخروج عن القصد، والإفراط في حقّ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يوجد في كلمات بعضهم من أنّ الغلوّ هو رواية الأحاديث المتضمّنة لمقامات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تبسيط للأمور، وتسامح في التعبير، فالممارس الذي يرجع إلى الروايات الواردة بحقّ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 ذكر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كلمات الأصحاب يفهم أنّ المراد بالغلو هو ما نبّهنا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مقامات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العالية فهي خارجة تخصّصاً عن دائرة مفهوم الغلوّ؛ لأنّها من ضروريات المذهب كما لا يخفى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الطيّارة وأهل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كلامهم وقوع الخلاف في دلالة الضعيف والمخلط على القدح؛ والظاهر أنّ سبب الخلاف يرجع إلى الاختلاف في تفسير معنيهما كما مرّ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المتحصّل من كلامهم عدم الخلاف بينهم في عدّ مثل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الغلو، أهل الارتفاع، الطيّارة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ألفاظ القدح اذا كانت مطلقة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المتأخّرين كالوحيد ومن تابعه، كالمحقّق المامقاني، والسيد بحر العلوم، والشيخ الخاقاني، والمحدّث النوري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استشكلوا وتأملوا بالجرح بتلك الألفاظ، ولاسيّما إذا كانت من القدماء كالقمّيين وابن الغضائري، بدعوى تسرّعهم بالطعن، أو أنّ رواية المعجزات وخوارق العادات، والإغراق في شأنهم، وتعظيمهم، وتنزيههم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تصل إليها عقولهم، فهم قاصرون عن إدراك مكنون المقامات العالية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التروي والتأمّل بجرحهم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غالٍ لنفي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لنحوه، لم يكن بهذا القدح عبرة عند </w:t>
      </w:r>
    </w:p>
    <w:p>
      <w:pPr>
        <w:pStyle w:val="BookText"/>
        <w:rPr/>
      </w:pPr>
      <w:r>
        <w:rPr>
          <w:rFonts w:ascii="Amiri" w:hAnsi="Amiri" w:eastAsia="Amiri" w:cs="Amiri"/>
          <w:color w:val="111111"/>
          <w:sz w:val="28"/>
          <w:sz w:val="28"/>
          <w:szCs w:val="28"/>
          <w:rtl w:val="true"/>
          <w:lang w:bidi="ar-SA"/>
        </w:rPr>
        <w:t>من ليس هذا بغلوّ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الإطلاق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نحو ذلك، فهو قدح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الرمي بالتفويض فقد استشكل المحقّق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القدح بمجرّد رميهم إلى التفويض أيضاً لعلّه لا 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المنساق إلى الأذهان من لفظ التفويض هو المعنى الأول والثاني، وإطلاقه على ما عداهما نادر إلّا على ما يقوله المعتزلة من أنّ العباد مستقلّون في أفعالهم فيقال لهم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المفوّضة في مقابل الجبريّة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 الأصحاب من الرواة وغيرهم على طريقة المعتزلة في هذه المسألة الكلامية، فهو حينئذ من المفوّضة، ويكون مذموماً، مردود القول في الشهادة والرواية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بعض الوجوه التي استند إليها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توثيق المتهمين بالغلوّ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أغلبها من التوثيقات العامّة عند الرجاليين التي لم تثبت، فضلاً عن أنْ تقاوم نصوص أهل الجرح في الغلاة</w:t>
      </w:r>
      <w:r>
        <w:rPr>
          <w:rFonts w:eastAsia="Amiri" w:cs="Amiri" w:ascii="Amiri" w:hAnsi="Amiri"/>
          <w:color w:val="111111"/>
          <w:sz w:val="28"/>
          <w:szCs w:val="28"/>
          <w:rtl w:val="true"/>
          <w:lang w:bidi="ar-SA"/>
        </w:rPr>
        <w:t xml:space="preserve">. </w:t>
      </w:r>
      <w:bookmarkStart w:id="218" w:name="pg9058_87611"/>
    </w:p>
    <w:p>
      <w:pPr>
        <w:pStyle w:val="Heading3"/>
        <w:numPr>
          <w:ilvl w:val="2"/>
          <w:numId w:val="1"/>
        </w:numPr>
        <w:rPr/>
      </w:pPr>
      <w:bookmarkStart w:id="219" w:name="__RefHeading___Toc2364868_2870459653"/>
      <w:bookmarkStart w:id="220" w:name="_Toc77"/>
      <w:bookmarkEnd w:id="218"/>
      <w:bookmarkEnd w:id="219"/>
      <w:r>
        <w:rPr>
          <w:rtl w:val="true"/>
        </w:rPr>
        <w:t>ملحق و فيه</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المتهمين بالغلو</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مؤلفي كتب الرّدّ على الغلاة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الرواة الذين اتهموا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واشتقاقاته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بن بشار المروزي الكلثومي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سعيد الأهوازي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أبو العباس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بن كلثوم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السياري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هلال العبرتائي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محمد بن أحمد البصري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مهران بن أبي نصر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إسماعيل المنقري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خرزاذ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شمعون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بن عثمان سجادة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محمد بن بابا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شاذويه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السعدي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علي الخواتيمي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يزيد النوفلي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بن بشار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الخواتيمي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بن محمد بن أبي الحسن الماوردي البصري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خيبري بن علي الطحّان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الربيع بن زكريا الورّاق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عبد الله الديلمي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سهل الهمداني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بن عقبة بن قيس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طاهر بن حاتم بن ماهويه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عبد الله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بن صدقة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حماد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سبأ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القاسم الحارثي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القاسم الحضرمي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الرحمان الأصم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يحيى الدهقان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أحمد أبو القاسم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حسّان بن كثير الهاشمي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حسكة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الخراذيني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الله بن عمران القرشي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يحيى الدهقان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فرات البغدادي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بن حاتم بن ماهويه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فرات بن الأحنف العبدي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الحسن بن علي بن يقطين الأسدي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الربيع الصحاف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محمد الأصفهاني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الخطاب الأسدي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أسلم الطبري الجبليّ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أورمة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بحر الرهني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بشير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جمهور العمي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سعيد الكوفي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بن شمون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الكرماني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الحسين سعيد الصائع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سليمان الديلمي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سنان ابو جعفر الزاهري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صدقة العنبري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إبراهيم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عيسى بن عبيد اليقطيني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فرات الجعفي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الفضيل الأزدي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منصور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عيسى السّمان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السريعي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نصر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نصير النميري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خنيس أبو عبدالله الأسدي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معلى بن راشد البصري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منخل بن جميل الأسدي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سعدان الحنّاط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مياح المدائني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الصباح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بهمن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ظبيان الكوفي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الطرناني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الرحمان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المغازي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الرواة الذين اتهموا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الارتفاع، أو الارتفاع بالمذهب،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إسحاق الأحمري النهاوندي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المكفوف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الزرقاء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السمهري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بشير البرقي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خدّاش المهري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حمّاد الأزدي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بن محمد القزويني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 بن حاتم الفهري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الشعراني اليقطيني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جعفر الكمنداني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السوّاق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أصحاب الكتب والمسائل في الرّد على 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إسحاق بن الحسن بن بكران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علي بن إسحاق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دندان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موسى الأصم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عبيد الله الغضائري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بن أبي خلف الأشعري القمّي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العباس الخراذيني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مهزيار الأهوازي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حمزة الجعفري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أورمة القمّي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عيسى السّمان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عبد الرحمن الأسدي </w:t>
      </w:r>
      <w:r>
        <w:rPr>
          <w:rFonts w:eastAsia="Amiri" w:cs="Amiri" w:ascii="Amiri" w:hAnsi="Amiri"/>
          <w:color w:val="111111"/>
          <w:sz w:val="28"/>
          <w:szCs w:val="28"/>
          <w:rtl w:val="true"/>
          <w:lang w:bidi="ar-SA"/>
        </w:rPr>
        <w:t xml:space="preserve">. </w:t>
      </w:r>
      <w:bookmarkStart w:id="221" w:name="pg9058_87618"/>
    </w:p>
    <w:p>
      <w:pPr>
        <w:pStyle w:val="Heading3"/>
        <w:numPr>
          <w:ilvl w:val="2"/>
          <w:numId w:val="1"/>
        </w:numPr>
        <w:rPr/>
      </w:pPr>
      <w:bookmarkStart w:id="222" w:name="__RefHeading___Toc2364870_2870459653"/>
      <w:bookmarkStart w:id="223" w:name="_Toc78"/>
      <w:bookmarkEnd w:id="221"/>
      <w:bookmarkEnd w:id="222"/>
      <w:r>
        <w:rPr>
          <w:rtl w:val="true"/>
        </w:rPr>
        <w:t>مصادر البحث</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المفيد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أحوال الرجال، الجوزجاني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إكليل المنهج في تحقيق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بن محمد طاهر الخراساني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شكور بن محمود الحاجي أمرير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دار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والمذاهب الأربعة، للشيخ أسد حيدر،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 دار الكتاب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الثالثة المصحّحة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السيستاني، الطبعة الأولى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ﻫ، دار المؤرخ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بحوث في شرح مناسك الحج للسيد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أمجد رياض والشيخ نزار يوسف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فقه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العروة الوثقى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الشيخ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اعتقادات الإمامية،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التنقيح في شرح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بحث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على منهج المقال للوحيد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منقّحة ومزيدة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السيد محمد رضا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النشر الثقافة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الاعتدال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هدى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الحديث والمحدِّثين، هاشم معروف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ومنقّحة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 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الباز للنشر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أحمد الباز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ضعفاء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المعطي أمين 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 للذهبي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التاسعة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النجاة في الإمامة والصلاة، لعلي محمد فتح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الاسلام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للوحيد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سماء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هدى الكلباسي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ولّي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الرجال، الشيخ محمد تقي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الرجال للمحقّق السيد محسن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إسماعيليان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 في فضائل سلمان،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 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مقباس الهداية، المامقاني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طرائف المقال، 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من تنقيح المقال في علم الرجال للمامقاني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للشيخ عبد الله المامقاني، 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ﻫ مطبعة ستارة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الإنجاب الصناعيّة محمد رضا السيستاني،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 دار المؤرّخ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الشيح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الأخيار إلى أصول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البهائي العاملي،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 مجمع الذخائر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العتب الجميل على أهل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عقيل الهدف للإعلام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العباس احمد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للشيخ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المطلب،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الخاقاني، الشيخ علي الخاقاني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الإعلام الإسلامي،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مكتب الإعلام الإسلامي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مصطفى بن الحسين الحسيني التفريشي،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صاحب المعالم، الطبعة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سيد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بحر العلوم،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حسين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آفتاب،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 طهران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سبيل الهداية في علم الدراية، المولى علي الخليلي الرازي النجفي، الطبعة الأولى، تحقيق السيد محمود المقدس الغريفي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للسيد الأستاذ محمد رضا السيستاني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المقال أبو علي الحائري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المقال في علم الرجال، الملا علي 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مولوي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 مير داماد محمد باقر الحسيني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الوحيد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الشيح مهدي الكجوري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رحمان ستايش،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ﻫ،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يحضره الفقيه،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الطبعة الثانية،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9058_87625"/>
      <w:bookmarkStart w:id="225" w:name="pg9058_87625"/>
      <w:bookmarkEnd w:id="225"/>
    </w:p>
    <w:p>
      <w:pPr>
        <w:pStyle w:val="Heading2"/>
        <w:numPr>
          <w:ilvl w:val="1"/>
          <w:numId w:val="1"/>
        </w:numPr>
        <w:rPr/>
      </w:pPr>
      <w:bookmarkStart w:id="226" w:name="pg9058_87625"/>
      <w:bookmarkStart w:id="227" w:name="__RefHeading___Toc2364872_2870459653"/>
      <w:bookmarkStart w:id="228" w:name="_Toc79"/>
      <w:bookmarkEnd w:id="226"/>
      <w:bookmarkEnd w:id="227"/>
      <w:r>
        <w:rPr>
          <w:rtl w:val="true"/>
        </w:rPr>
        <w:t xml:space="preserve">رسالة فی حرمة الغلیان فی شهر رمضان </w:t>
      </w:r>
      <w:r>
        <w:rPr>
          <w:rtl w:val="true"/>
        </w:rPr>
        <w:t xml:space="preserve">- </w:t>
      </w:r>
      <w:r>
        <w:rPr>
          <w:rtl w:val="true"/>
        </w:rPr>
        <w:t>الشيخ محمد عزالدين الكرباسي و الشيخ حيدر عزالدين الكرباسي</w:t>
      </w:r>
      <w:bookmarkEnd w:id="228"/>
    </w:p>
    <w:p>
      <w:pPr>
        <w:pStyle w:val="Heading3"/>
        <w:numPr>
          <w:ilvl w:val="2"/>
          <w:numId w:val="1"/>
        </w:numPr>
        <w:rPr/>
      </w:pPr>
      <w:bookmarkStart w:id="229" w:name="__RefHeading___Toc2364874_2870459653"/>
      <w:bookmarkStart w:id="230" w:name="_Toc80"/>
      <w:bookmarkEnd w:id="229"/>
      <w:r>
        <w:rPr>
          <w:rtl w:val="true"/>
        </w:rPr>
        <w:t>اشارة</w:t>
      </w:r>
      <w:bookmarkEnd w:id="230"/>
    </w:p>
    <w:p>
      <w:pPr>
        <w:pStyle w:val="BookText"/>
        <w:rPr/>
      </w:pPr>
      <w:r>
        <w:rPr>
          <w:rFonts w:ascii="IRNazanin" w:hAnsi="IRNazanin" w:eastAsia="IRNazanin"/>
          <w:color w:val="111111"/>
          <w:sz w:val="28"/>
          <w:sz w:val="28"/>
          <w:szCs w:val="28"/>
          <w:rtl w:val="true"/>
          <w:lang w:bidi="fa-IR"/>
        </w:rPr>
        <w:t>أول رسالة صنفت فی مفطریة التتن</w:t>
      </w:r>
    </w:p>
    <w:p>
      <w:pPr>
        <w:pStyle w:val="BookText"/>
        <w:rPr/>
      </w:pPr>
      <w:r>
        <w:rPr>
          <w:rFonts w:ascii="IRNazanin" w:hAnsi="IRNazanin" w:eastAsia="IRNazanin"/>
          <w:color w:val="111111"/>
          <w:sz w:val="28"/>
          <w:sz w:val="28"/>
          <w:szCs w:val="28"/>
          <w:rtl w:val="true"/>
          <w:lang w:bidi="fa-IR"/>
        </w:rPr>
        <w:t>من رشحات فخر الفقهاء والمجتهدین الشیخ محمدإبراهیم الکرباسی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الإشارات</w:t>
      </w:r>
      <w:r>
        <w:rPr>
          <w:rFonts w:eastAsia="IRNazanin" w:cs="IRNazanin"/>
          <w:color w:val="111111"/>
          <w:sz w:val="28"/>
          <w:szCs w:val="28"/>
          <w:rtl w:val="true"/>
          <w:lang w:bidi="fa-IR"/>
        </w:rPr>
        <w:t>)(</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عزالدين الكرباسي و الشيخ حيدر عزالدين الكرباسي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9058_87627"/>
      <w:bookmarkStart w:id="232" w:name="pg9058_87627"/>
      <w:bookmarkEnd w:id="232"/>
    </w:p>
    <w:p>
      <w:pPr>
        <w:pStyle w:val="BookText"/>
        <w:rPr/>
      </w:pPr>
      <w:bookmarkStart w:id="233" w:name="pg9058_87627"/>
      <w:bookmarkEnd w:id="233"/>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234" w:name="__RefHeading___Toc2364876_2870459653"/>
      <w:bookmarkStart w:id="235" w:name="_Toc81"/>
      <w:bookmarkEnd w:id="234"/>
      <w:r>
        <w:rPr>
          <w:rtl w:val="true"/>
        </w:rPr>
        <w:t>مقدمة التحقيق</w:t>
      </w:r>
      <w:bookmarkEnd w:id="235"/>
    </w:p>
    <w:p>
      <w:pPr>
        <w:pStyle w:val="BookText"/>
        <w:rPr/>
      </w:pPr>
      <w:r>
        <w:rPr>
          <w:rFonts w:ascii="Amiri" w:hAnsi="Amiri" w:eastAsia="Amiri" w:cs="Amiri"/>
          <w:color w:val="111111"/>
          <w:sz w:val="28"/>
          <w:sz w:val="28"/>
          <w:szCs w:val="28"/>
          <w:rtl w:val="true"/>
          <w:lang w:bidi="ar-SA"/>
        </w:rPr>
        <w:t>الحمد لله الذي جعل الدّين منهاجاً للوصول إليه، والصلاة و السلام على من جعله مرشداً ومشيراً لذاته وعلى آله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الفقه من أشرف العلوم الإنسانيّة، لكونه العلم الوحيد الذي يتكفّل ببيان المنهج والسلوك الذي يستطيع به الإنسان أنْ يصل به إلى ربّه، وهذا المنهج والسلوك يضمّ عدّة مسائل وأحكام تسمّى الشريعة، وبما أنّ الشريعة الإسلاميّة خاتمة الشرائع الإلهية لذلك تحتّم أنّ تتسع قوانينها وأحكامها بمقدار ما تتسع له حدود الزمان والمكان من الوجود البشري، فالشريعة الإسلامية هي الشريعة التي ارتضاها الله سبحانه وتعالى وكلّفنا بها عن طريق الرسول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قاد سفينة الشريعة بعد غياب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وعجّل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العلماء الأعلام الذين نصّبهم الإمام من بعده، واستطاعوا أنْ يستنبطوا الأحكام من أصولها وقواعدها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إلى ما أشرنا إليه من أنّ هذه الشريعة خاتمة الشرائع، ولاستيعابها جميع ما يحتاج إليه البشر من الأحكام الإلهية، فلا بُدّ أنْ تكون جامعة للمتجدّدات، ومعالجة للموضوعات الحديثة، فمن هنا تولّدت عندنا مسائل مستحدثة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إمّا </w:t>
      </w:r>
    </w:p>
    <w:p>
      <w:pPr>
        <w:pStyle w:val="BookText"/>
        <w:rPr/>
      </w:pPr>
      <w:r>
        <w:rPr>
          <w:rFonts w:ascii="Amiri" w:hAnsi="Amiri" w:eastAsia="Amiri" w:cs="Amiri"/>
          <w:color w:val="111111"/>
          <w:sz w:val="28"/>
          <w:sz w:val="28"/>
          <w:szCs w:val="28"/>
          <w:rtl w:val="true"/>
          <w:lang w:bidi="ar-SA"/>
        </w:rPr>
        <w:t>لم تكن موجودة أو كانت موجودة، ولكنْ طرأت عليها في المرحلة الفعليّة بعض التطورات التي أوجبت أنْ يُنظر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والرسالة التي بين يدي القارئ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الغِليان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تعالج مسألة مهمة، جذورها موجودة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فمصنّفها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المسألة عن طريق السبر والتتبع التاريخي لكلمات الفقهاء، وإقامة الأدلّة على المفطريّة مع نقد وإبطال ما استند إليه القائلون بعدم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لأهميّة المسألة تلك تمَّ تحقيق هذه الرسالة آملين من الله تعالى أنْ يتقبّله منّا، ويجعله ذخراً لنا يوم لا ينفع مال ولا بنون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النهج المتعارف في مقدّمات تحقيق المخطوطات جعلنا مقدّمتنا هذه في أربعة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تتعلّق بموضوع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مختصرة عن حياة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 تتعلق بالرسالة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في التحقيق والنسخة المعتمدة</w:t>
      </w:r>
      <w:r>
        <w:rPr>
          <w:rFonts w:eastAsia="Amiri" w:cs="Amiri" w:ascii="Amiri" w:hAnsi="Amiri"/>
          <w:color w:val="111111"/>
          <w:sz w:val="28"/>
          <w:szCs w:val="28"/>
          <w:rtl w:val="true"/>
          <w:lang w:bidi="ar-SA"/>
        </w:rPr>
        <w:t xml:space="preserve">. </w:t>
      </w:r>
      <w:bookmarkStart w:id="236" w:name="pg9058_87629"/>
    </w:p>
    <w:p>
      <w:pPr>
        <w:pStyle w:val="Heading3"/>
        <w:numPr>
          <w:ilvl w:val="2"/>
          <w:numId w:val="1"/>
        </w:numPr>
        <w:rPr/>
      </w:pPr>
      <w:bookmarkStart w:id="237" w:name="__RefHeading___Toc2364878_2870459653"/>
      <w:bookmarkStart w:id="238" w:name="_Toc82"/>
      <w:bookmarkEnd w:id="236"/>
      <w:bookmarkEnd w:id="237"/>
      <w:r>
        <w:rPr>
          <w:rtl w:val="true"/>
        </w:rPr>
        <w:t>الفصل الأول</w:t>
      </w:r>
      <w:r>
        <w:rPr>
          <w:rtl w:val="true"/>
        </w:rPr>
        <w:t xml:space="preserve">: </w:t>
      </w:r>
      <w:r>
        <w:rPr>
          <w:rtl w:val="true"/>
        </w:rPr>
        <w:t>أبحاث تتعلق بموضوع الرسالة</w:t>
      </w:r>
      <w:bookmarkEnd w:id="238"/>
    </w:p>
    <w:p>
      <w:pPr>
        <w:pStyle w:val="Heading4"/>
        <w:numPr>
          <w:ilvl w:val="3"/>
          <w:numId w:val="1"/>
        </w:numPr>
        <w:rPr/>
      </w:pPr>
      <w:bookmarkStart w:id="239" w:name="__RefHeading___Toc2364880_2870459653"/>
      <w:bookmarkStart w:id="240" w:name="_Toc83"/>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وفيه مطالب خمسة</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2364882_2870459653"/>
      <w:bookmarkStart w:id="242" w:name="_Toc84"/>
      <w:bookmarkEnd w:id="241"/>
      <w:r>
        <w:rPr>
          <w:rtl w:val="true"/>
        </w:rPr>
        <w:t>المطلب الأول</w:t>
      </w:r>
      <w:r>
        <w:rPr>
          <w:rtl w:val="true"/>
        </w:rPr>
        <w:t xml:space="preserve">: </w:t>
      </w:r>
      <w:r>
        <w:rPr>
          <w:rtl w:val="true"/>
        </w:rPr>
        <w:t>في بيان معنى جملة من الكلمات تتعلق بالمقام</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النباتات الأمريكيّة المهد، مأخوذ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تاباغو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اسم جزيرة في خليج المكسيك وجد فيها ونقل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التبغ، تركية معربة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ومعناها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له التَّنْبَك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نبات التبغ، يُدخّن ورقه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النارجيلة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آلة يدخن بها التنباك، يدور الماء في قاعدتها المليئة بالماء، فيخفّف الماء من حدته، ويقال لها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الغِليان أو القِليان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النارجيلة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الغليون أو القليون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يُعدّ القِليان والقليون شيئاً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الأخضر الرطب من سعف النّخل، وتتن الشطب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التبغ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والشطب أيضاً آلة يُحرق فيها التبغ عند شربه، لها أنبوب قصير ورأس مجوف صغير، استعملت في العراق وتركيا، يُقال لها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2364884_2870459653"/>
      <w:bookmarkStart w:id="244" w:name="_Toc85"/>
      <w:bookmarkEnd w:id="243"/>
      <w:r>
        <w:rPr>
          <w:rtl w:val="true"/>
        </w:rPr>
        <w:t>المطلب الثاني</w:t>
      </w:r>
      <w:r>
        <w:rPr>
          <w:rtl w:val="true"/>
        </w:rPr>
        <w:t xml:space="preserve">: </w:t>
      </w:r>
      <w:r>
        <w:rPr>
          <w:rtl w:val="true"/>
        </w:rPr>
        <w:t>موقف العلماء من التبغ</w:t>
      </w:r>
      <w:bookmarkEnd w:id="244"/>
    </w:p>
    <w:p>
      <w:pPr>
        <w:pStyle w:val="BookText"/>
        <w:rPr/>
      </w:pPr>
      <w:r>
        <w:rPr>
          <w:rFonts w:ascii="Amiri" w:hAnsi="Amiri" w:eastAsia="Amiri" w:cs="Amiri"/>
          <w:color w:val="111111"/>
          <w:sz w:val="28"/>
          <w:sz w:val="28"/>
          <w:szCs w:val="28"/>
          <w:rtl w:val="true"/>
          <w:lang w:bidi="ar-SA"/>
        </w:rPr>
        <w:t>اختلف العلماء منذ ظهور التبغ في حرمته وجوازه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ذهب إلى حرمة شربه، وألّفوا في تحريمه مجموعة من الرسائل</w:t>
      </w:r>
      <w:r>
        <w:rPr>
          <w:rFonts w:eastAsia="Amiri" w:cs="Amiri" w:ascii="Amiri" w:hAnsi="Amiri"/>
          <w:color w:val="111111"/>
          <w:sz w:val="28"/>
          <w:szCs w:val="28"/>
          <w:rtl w:val="true"/>
          <w:lang w:bidi="ar-SA"/>
        </w:rPr>
        <w:t xml:space="preserve">. </w:t>
      </w:r>
      <w:bookmarkStart w:id="245" w:name="pg9058_87630"/>
    </w:p>
    <w:p>
      <w:pPr>
        <w:pStyle w:val="BookText"/>
        <w:rPr/>
      </w:pPr>
      <w:bookmarkEnd w:id="245"/>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جوَّزه، بل كان يشربه بنفسه، بل له مكانة رفيعة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أنّ أحد علماء قزوين حرّر رسالة في حرمة الغليان، وأرسلها إلى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فأرسل المجلسي له سفرة مملوءة من التنباك؛ لكونه خير عوض للرسالة بنظره</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وفي رياض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يشربه في الصوم المستحب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المعاصرين لظهورﻫ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جماعة من علماء العصر كالمولى علي نقي، وشيخنا الشيخ فخر الدين الطريحي، والشيخ التقي الشيخ علي بن سليمان البحريني، وبعض فضلاء البحرين، وربّما تابعهم بعض المتفقّهين ذهبوا إلى تحريمه، حتى إنّ المولى علي 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كتاباً كبيراً في تحريمه، والباقي على التحليل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2364886_2870459653"/>
      <w:bookmarkStart w:id="247" w:name="_Toc86"/>
      <w:bookmarkEnd w:id="246"/>
      <w:r>
        <w:rPr>
          <w:rtl w:val="true"/>
        </w:rPr>
        <w:t>المطلب الثالث</w:t>
      </w:r>
      <w:r>
        <w:rPr>
          <w:rtl w:val="true"/>
        </w:rPr>
        <w:t xml:space="preserve">: </w:t>
      </w:r>
      <w:r>
        <w:rPr>
          <w:rtl w:val="true"/>
        </w:rPr>
        <w:t>مَنْ ألّف في مفطريّة التتن</w:t>
      </w:r>
      <w:bookmarkEnd w:id="247"/>
    </w:p>
    <w:p>
      <w:pPr>
        <w:pStyle w:val="BookText"/>
        <w:rPr/>
      </w:pPr>
      <w:r>
        <w:rPr>
          <w:rFonts w:ascii="Amiri" w:hAnsi="Amiri" w:eastAsia="Amiri" w:cs="Amiri"/>
          <w:color w:val="111111"/>
          <w:sz w:val="28"/>
          <w:sz w:val="28"/>
          <w:szCs w:val="28"/>
          <w:rtl w:val="true"/>
          <w:lang w:bidi="ar-SA"/>
        </w:rPr>
        <w:t>الرسائل المؤلَّفة في التتن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يتناول حكم التدخين من الحرمة أو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يبحث فيه عن مفطريّة التدخين للصوم، وأنّه هل يلزم بتعمّده القضاء والكفارة أو القضاء فقط أو لا يلزم شيء منهما؟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وسنقتصر على إيراد أسماء ما عثرنا عليه من الصنف الثاني فقط؛ بغية الاختصار </w:t>
      </w:r>
    </w:p>
    <w:p>
      <w:pPr>
        <w:pStyle w:val="BookText"/>
        <w:rPr/>
      </w:pPr>
      <w:r>
        <w:rPr>
          <w:rFonts w:ascii="Amiri" w:hAnsi="Amiri" w:eastAsia="Amiri" w:cs="Amiri"/>
          <w:color w:val="111111"/>
          <w:sz w:val="28"/>
          <w:sz w:val="28"/>
          <w:szCs w:val="28"/>
          <w:rtl w:val="true"/>
          <w:lang w:bidi="ar-SA"/>
        </w:rPr>
        <w:t>ومراعاة لموضوع الرسالة،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المؤلَّفة في مفطرية التتن وعدمها بحسب ما عثرنا عليه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في عدم مفطريّته واثنتان في المفطريّة،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للشيخ محمد تقي بن محمد رحيم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ردَّ فيها على بعض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الظاهر إنّ هذه أول رسالة أُلّفت في حكم الغليان عموماً، وفي عدم مفطريّته 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الأوهام في حليّة شرب الغليان في شهر رمضان، للشيخ الميرزا محمد تقي ابن الميرزا علي محمد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والد الشيخ النوري صاحب المستدرك، ومن تلامذة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للشيخ محمد إبراهيم بن الشيخ محمد حسن الكرباسي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الإشارات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الرسالة التي بين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الإسلاك في حكم دخان التنباك، وأنّه لا يضرّ بالصوم، للميرزا محمد بن عبد الوهاب بن داود الهمداني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إفساد الغليان للصوم، للميرزا أبي المعالي بن محمد إبراهيم الكرباسي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البشارات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التدخين والصيام، للسيد محمود ابن السيد كمال الدين المقدَّس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 </w:t>
      </w:r>
      <w:bookmarkStart w:id="248" w:name="pg9058_87632"/>
    </w:p>
    <w:p>
      <w:pPr>
        <w:pStyle w:val="Heading3"/>
        <w:numPr>
          <w:ilvl w:val="2"/>
          <w:numId w:val="1"/>
        </w:numPr>
        <w:rPr/>
      </w:pPr>
      <w:bookmarkStart w:id="249" w:name="__RefHeading___Toc2364888_2870459653"/>
      <w:bookmarkStart w:id="250" w:name="_Toc87"/>
      <w:bookmarkEnd w:id="248"/>
      <w:bookmarkEnd w:id="249"/>
      <w:r>
        <w:rPr>
          <w:rtl w:val="true"/>
        </w:rPr>
        <w:t>الفصل الثاني</w:t>
      </w:r>
      <w:r>
        <w:rPr>
          <w:rtl w:val="true"/>
        </w:rPr>
        <w:t xml:space="preserve">: </w:t>
      </w:r>
      <w:r>
        <w:rPr>
          <w:rtl w:val="true"/>
        </w:rPr>
        <w:t xml:space="preserve">نبذة مختصرة عن حياة المصنّف </w:t>
      </w:r>
      <w:r>
        <w:rPr>
          <w:rtl w:val="true"/>
        </w:rPr>
        <w:t>(</w:t>
      </w:r>
      <w:r>
        <w:rPr>
          <w:rtl w:val="true"/>
        </w:rPr>
        <w:t>قدس سره</w:t>
      </w:r>
      <w:r>
        <w:rPr>
          <w:rtl w:val="true"/>
        </w:rPr>
        <w:t>)</w:t>
      </w:r>
      <w:bookmarkEnd w:id="250"/>
    </w:p>
    <w:p>
      <w:pPr>
        <w:pStyle w:val="Heading4"/>
        <w:numPr>
          <w:ilvl w:val="3"/>
          <w:numId w:val="1"/>
        </w:numPr>
        <w:rPr/>
      </w:pPr>
      <w:bookmarkStart w:id="251" w:name="__RefHeading___Toc2364890_2870459653"/>
      <w:bookmarkStart w:id="252" w:name="_Toc88"/>
      <w:bookmarkEnd w:id="251"/>
      <w:r>
        <w:rPr/>
        <w:t>1</w:t>
      </w:r>
      <w:r>
        <w:rPr>
          <w:rtl w:val="true"/>
        </w:rPr>
        <w:t xml:space="preserve">- </w:t>
      </w:r>
      <w:r>
        <w:rPr>
          <w:rtl w:val="true"/>
        </w:rPr>
        <w:t>اسمه وكنيته</w:t>
      </w:r>
      <w:bookmarkEnd w:id="252"/>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واللام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واُشتهر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الإشارات</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2364892_2870459653"/>
      <w:bookmarkStart w:id="254" w:name="_Toc89"/>
      <w:bookmarkEnd w:id="253"/>
      <w:r>
        <w:rPr/>
        <w:t>2</w:t>
      </w:r>
      <w:r>
        <w:rPr>
          <w:rtl w:val="true"/>
        </w:rPr>
        <w:t xml:space="preserve">- </w:t>
      </w:r>
      <w:r>
        <w:rPr>
          <w:rtl w:val="true"/>
        </w:rPr>
        <w:t>الإطراء عليه</w:t>
      </w:r>
      <w:bookmarkEnd w:id="254"/>
    </w:p>
    <w:p>
      <w:pPr>
        <w:pStyle w:val="BookText"/>
        <w:rPr/>
      </w:pPr>
      <w:r>
        <w:rPr>
          <w:rFonts w:ascii="Amiri" w:hAnsi="Amiri" w:eastAsia="Amiri" w:cs="Amiri"/>
          <w:color w:val="111111"/>
          <w:sz w:val="28"/>
          <w:sz w:val="28"/>
          <w:szCs w:val="28"/>
          <w:rtl w:val="true"/>
          <w:lang w:bidi="ar-SA"/>
        </w:rPr>
        <w:t>أثنى عليه ومدحه كلّ من ذكره من أصحاب التراجم، والإجازات، وغيرهم بعبارات بليغة فائقة عالية المضامين، تكشف عن بعض ما حواه المترجَّم له من علم وفضل وأخلاق ومزايا، نتطيّب بذكر كلمات اثنين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ملا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زميله في الدراسة، قال فيما قال عند تقريظه كتاباً للمترجم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تصنيف مولانا الإمام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الأكمل المعظّم المبجَّل</w:t>
      </w:r>
    </w:p>
    <w:p>
      <w:pPr>
        <w:pStyle w:val="BookText"/>
        <w:rPr/>
      </w:pPr>
      <w:r>
        <w:rPr>
          <w:rFonts w:ascii="Amiri" w:hAnsi="Amiri" w:eastAsia="Amiri" w:cs="Amiri"/>
          <w:color w:val="111111"/>
          <w:sz w:val="28"/>
          <w:sz w:val="28"/>
          <w:szCs w:val="28"/>
          <w:rtl w:val="true"/>
          <w:lang w:bidi="ar-SA"/>
        </w:rPr>
        <w:t>وواحد الدهرِ فريدِ العصرِ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الأئمةِ العظيمِ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تلك الأبيات الرائعة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الروضات، الذي كان تلميذاً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كتابه الروضات</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الحقيقة مركز العلوم والحكم والآثار، ومركز دائرة الفضلاء والنبلاء </w:t>
      </w:r>
      <w:bookmarkStart w:id="255" w:name="pg9058_87633"/>
    </w:p>
    <w:p>
      <w:pPr>
        <w:pStyle w:val="BookText"/>
        <w:rPr/>
      </w:pPr>
      <w:bookmarkEnd w:id="255"/>
      <w:r>
        <w:rPr>
          <w:rFonts w:ascii="Amiri" w:hAnsi="Amiri" w:eastAsia="Amiri" w:cs="Amiri"/>
          <w:color w:val="111111"/>
          <w:sz w:val="28"/>
          <w:sz w:val="28"/>
          <w:szCs w:val="28"/>
          <w:rtl w:val="true"/>
          <w:lang w:bidi="ar-SA"/>
        </w:rPr>
        <w:t xml:space="preserve">الأخيار، وقطب الشيعة الذي عليه منها المدار في هذه الأعصار </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364894_2870459653"/>
      <w:bookmarkStart w:id="257" w:name="_Toc90"/>
      <w:bookmarkEnd w:id="256"/>
      <w:r>
        <w:rPr/>
        <w:t>3</w:t>
      </w:r>
      <w:r>
        <w:rPr>
          <w:rtl w:val="true"/>
        </w:rPr>
        <w:t xml:space="preserve">- </w:t>
      </w:r>
      <w:r>
        <w:rPr>
          <w:rtl w:val="true"/>
        </w:rPr>
        <w:t>مراحل حياته</w:t>
      </w:r>
      <w:bookmarkEnd w:id="257"/>
    </w:p>
    <w:p>
      <w:pPr>
        <w:pStyle w:val="BookText"/>
        <w:rPr/>
      </w:pPr>
      <w:r>
        <w:rPr>
          <w:rFonts w:ascii="Amiri" w:hAnsi="Amiri" w:eastAsia="Amiri" w:cs="Amiri"/>
          <w:color w:val="111111"/>
          <w:sz w:val="28"/>
          <w:sz w:val="28"/>
          <w:szCs w:val="28"/>
          <w:rtl w:val="true"/>
          <w:lang w:bidi="ar-SA"/>
        </w:rPr>
        <w:t xml:space="preserve">ولد المترجَم له في مساء يوم الخميس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ربيع الآخر من سنة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نقسِّم حياة المترجَم له إلى مراحل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ولادته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تاريخ عودته من الحج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خلال هذه المرحلة أولاً على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وفاته سنة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xml:space="preserve">ﻫ انتقل إلى بيت الحكيم البيدآبادي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أوصاه والد المترجَم له بتربيته بعدﻫ، ودرس عنده وعند الشيخ محمد علي بن مظفر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بلوغه سافر إلى بيت الله الحرام، ثمّ آب عائداً إلى العراق في طريقه إلى 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بقاؤه في العراق بعد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عودته إلى أصفهان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علمَ بنبأ وفاة استاذه ومربيه الحكيم البيدآبادي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الرجوع، وقرّر البقاء في العراق لتحصيل العلم عند أساطين الإمامية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فدرسَ في كربلاء المقدَّسة عند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 الرياض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النجف الأشرف عند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وحضر فترة عند المقدّس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المقدّسة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قمّ، فدرس عند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إلى كاشان وتتلمذ هناك على يد الشيخ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عاد إلى بلده أصفهان</w:t>
      </w:r>
      <w:r>
        <w:rPr>
          <w:rFonts w:eastAsia="Amiri" w:cs="Amiri" w:ascii="Amiri" w:hAnsi="Amiri"/>
          <w:color w:val="111111"/>
          <w:sz w:val="28"/>
          <w:szCs w:val="28"/>
          <w:rtl w:val="true"/>
          <w:lang w:bidi="ar-SA"/>
        </w:rPr>
        <w:t xml:space="preserve">. </w:t>
      </w:r>
      <w:bookmarkStart w:id="258" w:name="pg9058_87634"/>
    </w:p>
    <w:p>
      <w:pPr>
        <w:pStyle w:val="BookText"/>
        <w:rPr/>
      </w:pPr>
      <w:bookmarkEnd w:id="258"/>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عودته إلى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واشتغل هناك بالتدريس، والتصنيف، والتأليف، وإقامة الجماعة، والوعظ والإرشاد، وغير ذلك من الأمور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وفاة المحقّق القمي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تسلَّم خلالها مقاليد الفتيا والزعامة، وجلس على سدّة المرجعية مدة ثلاثين عاماً، وكان رجوع أكثر العباد من جميع البلاد إليه في المبدء والمعاد، وقد انتهت إليه رئاسة المذهب والملة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نهض بأعباء المرجعية مع شدة الاحتياط والورع والتقوى والصلاح</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364896_2870459653"/>
      <w:bookmarkStart w:id="260" w:name="_Toc91"/>
      <w:bookmarkEnd w:id="259"/>
      <w:r>
        <w:rPr/>
        <w:t>4</w:t>
      </w:r>
      <w:r>
        <w:rPr>
          <w:rtl w:val="true"/>
        </w:rPr>
        <w:t xml:space="preserve">- </w:t>
      </w:r>
      <w:r>
        <w:rPr>
          <w:rtl w:val="true"/>
        </w:rPr>
        <w:t>مكانة المترجَم الفقهيّة والأصوليّة</w:t>
      </w:r>
      <w:bookmarkEnd w:id="260"/>
    </w:p>
    <w:p>
      <w:pPr>
        <w:pStyle w:val="BookText"/>
        <w:rPr/>
      </w:pPr>
      <w:r>
        <w:rPr>
          <w:rFonts w:ascii="Amiri" w:hAnsi="Amiri" w:eastAsia="Amiri" w:cs="Amiri"/>
          <w:color w:val="111111"/>
          <w:sz w:val="28"/>
          <w:sz w:val="28"/>
          <w:szCs w:val="28"/>
          <w:rtl w:val="true"/>
          <w:lang w:bidi="ar-SA"/>
        </w:rPr>
        <w:t xml:space="preserve">إن سيرة العقلاء على الرجوع إلى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وكصغرى لهذه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نراهم يرجعون في التقييم إلى من لهم الخبرة في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رأينا في بيان مكانة المترجَم الفقهيّة والأصوليّة أنْ نورد جزءاً ممّا قرّظ به الشيخ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فقهياً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وشيئاً ممّا ذكره المترجم له في خاتمة الإشارات في التحريض والترغيب في الكتاب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الأكبر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 مقرّظاً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شوارع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فوجدته تحقيقات تبهر العقول، وتدقيقات لا يأتي بها إلّا من جمع بين المعقول والمنقول، فيا له من كتاب قَصُرتْ عن إدراكه الأفكار، وعجزت عن الإتيان بمثله أرباب البصائر والأنظار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مدحه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261" w:name="pg9058_87635"/>
    </w:p>
    <w:p>
      <w:pPr>
        <w:pStyle w:val="BookText"/>
        <w:rPr/>
      </w:pPr>
      <w:bookmarkEnd w:id="26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المترجَم في خاتمة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التحريض والترغيب للكتاب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كنز أُودع فيه نقود الحقائق، وفرائد درر الدقايق، ومعادن جواهر اللطائف ممّا لا يوجد في غيره من السوالف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وهو بحرٌ بلا ساحل؛ فإنّي قد مخضت لكم فيه من زبد الحق ما لا يتمكن منه إلّا من أيّده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وصف 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2364898_2870459653"/>
      <w:bookmarkStart w:id="263" w:name="_Toc92"/>
      <w:bookmarkEnd w:id="262"/>
      <w:r>
        <w:rPr/>
        <w:t>5</w:t>
      </w:r>
      <w:r>
        <w:rPr>
          <w:rtl w:val="true"/>
        </w:rPr>
        <w:t xml:space="preserve">- </w:t>
      </w:r>
      <w:r>
        <w:rPr>
          <w:rtl w:val="true"/>
        </w:rPr>
        <w:t>وفاته ومدفنه</w:t>
      </w:r>
      <w:bookmarkEnd w:id="263"/>
    </w:p>
    <w:p>
      <w:pPr>
        <w:pStyle w:val="BookText"/>
        <w:rPr/>
      </w:pPr>
      <w:r>
        <w:rPr>
          <w:rFonts w:ascii="Amiri" w:hAnsi="Amiri" w:eastAsia="Amiri" w:cs="Amiri"/>
          <w:color w:val="111111"/>
          <w:sz w:val="28"/>
          <w:sz w:val="28"/>
          <w:szCs w:val="28"/>
          <w:rtl w:val="true"/>
          <w:lang w:bidi="ar-SA"/>
        </w:rPr>
        <w:t xml:space="preserve">تُوفِّي في الساعة الرابعة من صباح يوم الخميس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من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ﻫ</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 جثمانه الطاهر ليلة الجمعة في مقبرة اشتراها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بلده إصفهان قبل سنة من رحيله ولها قصّة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الآن مزار مشهور</w:t>
      </w:r>
      <w:r>
        <w:rPr>
          <w:rFonts w:eastAsia="Amiri" w:cs="Amiri" w:ascii="Amiri" w:hAnsi="Amiri"/>
          <w:color w:val="111111"/>
          <w:sz w:val="28"/>
          <w:szCs w:val="28"/>
          <w:rtl w:val="true"/>
          <w:lang w:bidi="ar-SA"/>
        </w:rPr>
        <w:t xml:space="preserve">. </w:t>
      </w:r>
      <w:bookmarkStart w:id="264" w:name="pg9058_87636"/>
    </w:p>
    <w:p>
      <w:pPr>
        <w:pStyle w:val="Heading3"/>
        <w:numPr>
          <w:ilvl w:val="2"/>
          <w:numId w:val="1"/>
        </w:numPr>
        <w:rPr/>
      </w:pPr>
      <w:bookmarkStart w:id="265" w:name="__RefHeading___Toc2364900_2870459653"/>
      <w:bookmarkStart w:id="266" w:name="_Toc93"/>
      <w:bookmarkEnd w:id="264"/>
      <w:bookmarkEnd w:id="265"/>
      <w:r>
        <w:rPr>
          <w:rtl w:val="true"/>
        </w:rPr>
        <w:t>الفصل الثالث</w:t>
      </w:r>
      <w:r>
        <w:rPr>
          <w:rtl w:val="true"/>
        </w:rPr>
        <w:t xml:space="preserve">: </w:t>
      </w:r>
      <w:r>
        <w:rPr>
          <w:rtl w:val="true"/>
        </w:rPr>
        <w:t>أبحاث تتعلق بالرسالة</w:t>
      </w:r>
      <w:bookmarkEnd w:id="266"/>
    </w:p>
    <w:p>
      <w:pPr>
        <w:pStyle w:val="Heading4"/>
        <w:numPr>
          <w:ilvl w:val="3"/>
          <w:numId w:val="1"/>
        </w:numPr>
        <w:rPr/>
      </w:pPr>
      <w:bookmarkStart w:id="267" w:name="__RefHeading___Toc2364902_2870459653"/>
      <w:bookmarkStart w:id="268" w:name="_Toc94"/>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وفيه مطالب ثلاثة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2364904_2870459653"/>
      <w:bookmarkStart w:id="270" w:name="_Toc95"/>
      <w:bookmarkEnd w:id="269"/>
      <w:r>
        <w:rPr>
          <w:rtl w:val="true"/>
        </w:rPr>
        <w:t>المطلب الأوَّل</w:t>
      </w:r>
      <w:r>
        <w:rPr>
          <w:rtl w:val="true"/>
        </w:rPr>
        <w:t xml:space="preserve">: </w:t>
      </w:r>
      <w:r>
        <w:rPr>
          <w:rtl w:val="true"/>
        </w:rPr>
        <w:t>هوية الرسالة، وما يتعلّق بتصنيفها</w:t>
      </w:r>
      <w:bookmarkEnd w:id="270"/>
    </w:p>
    <w:p>
      <w:pPr>
        <w:pStyle w:val="Heading5"/>
        <w:numPr>
          <w:ilvl w:val="4"/>
          <w:numId w:val="1"/>
        </w:numPr>
        <w:rPr/>
      </w:pPr>
      <w:bookmarkStart w:id="271" w:name="__RefHeading___Toc2364906_2870459653"/>
      <w:bookmarkStart w:id="272" w:name="_Toc96"/>
      <w:bookmarkEnd w:id="271"/>
      <w:r>
        <w:rPr/>
        <w:t>1</w:t>
      </w:r>
      <w:r>
        <w:rPr>
          <w:rtl w:val="true"/>
        </w:rPr>
        <w:t xml:space="preserve">- </w:t>
      </w:r>
      <w:r>
        <w:rPr>
          <w:rtl w:val="true"/>
        </w:rPr>
        <w:t>مصنّفها</w:t>
      </w:r>
      <w:bookmarkEnd w:id="272"/>
    </w:p>
    <w:p>
      <w:pPr>
        <w:pStyle w:val="BookText"/>
        <w:rPr/>
      </w:pPr>
      <w:r>
        <w:rPr>
          <w:rFonts w:ascii="Amiri" w:hAnsi="Amiri" w:eastAsia="Amiri" w:cs="Amiri"/>
          <w:color w:val="111111"/>
          <w:sz w:val="28"/>
          <w:sz w:val="28"/>
          <w:szCs w:val="28"/>
          <w:rtl w:val="true"/>
          <w:lang w:bidi="ar-SA"/>
        </w:rPr>
        <w:t xml:space="preserve">مصنّفها هو الشيخ محمّد إبراهيم بن محمّد حسن الكرباسي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الإشارات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ويدلّنا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قد أشار في موضعين من الرسالة إلى ما حرَّره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لما أمكن هذا القبول منهم عادة وفيه الغُنية كما حقّقناه في الإشارات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فما ذكرناه في الإشارات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جملة ممّن تَرْجَم له أو تعرَّض لمصنفاته بأنَّ له رسالة في مفطرية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بأقوال أربعة منهم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تلميذه صاحب الروضات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ترجمته من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قد كتبه في حياته الشريفة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إنّ لهذا الشيخ الجليل من 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ورسالة في تفطير التتن للصيام</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73" w:name="pg9058_87637"/>
    </w:p>
    <w:p>
      <w:pPr>
        <w:pStyle w:val="BookText"/>
        <w:rPr/>
      </w:pPr>
      <w:bookmarkEnd w:id="27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كتابه أعيان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ورسالة في تفطير دخان التتن للصائم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كتابه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رسالة في تفطير شرب التتن للصيام للحاج محمّد إبراهيم ابن الحاج محمّد حسن الكلباسي الأصفهاني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حفيده في البدر التمام وصاحب الروضات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في تفطيره للصيام جماعة منهم الحاج محمد إبراهيم الكرباسي</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الكرام البررة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تصانيف نافعة هامّة في الفقه والأصول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ورسالة في تفطير شرب التتن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الكرباسي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خاندان 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مؤلفات ومصنّفات حاجي 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ايست در حرمت كشيدن قليان در ايام ماه مبارك رمضان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2364908_2870459653"/>
      <w:bookmarkStart w:id="275" w:name="_Toc97"/>
      <w:bookmarkEnd w:id="274"/>
      <w:r>
        <w:rPr/>
        <w:t>2</w:t>
      </w:r>
      <w:r>
        <w:rPr>
          <w:rtl w:val="true"/>
        </w:rPr>
        <w:t xml:space="preserve">- </w:t>
      </w:r>
      <w:r>
        <w:rPr>
          <w:rtl w:val="true"/>
        </w:rPr>
        <w:t>سبب التأليف</w:t>
      </w:r>
      <w:bookmarkEnd w:id="275"/>
    </w:p>
    <w:p>
      <w:pPr>
        <w:pStyle w:val="BookText"/>
        <w:rPr/>
      </w:pPr>
      <w:r>
        <w:rPr>
          <w:rFonts w:ascii="Amiri" w:hAnsi="Amiri" w:eastAsia="Amiri" w:cs="Amiri"/>
          <w:color w:val="111111"/>
          <w:sz w:val="28"/>
          <w:sz w:val="28"/>
          <w:szCs w:val="28"/>
          <w:rtl w:val="true"/>
          <w:lang w:bidi="ar-SA"/>
        </w:rPr>
        <w:t>نعتقد أنّ أهم أسباب تأليف الرسالة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غير واحد من العلماء ممن يرى عدم مفطرية التتن في إصفهان بالخصوص مضافاً إلى بعض ممَّن في النجف الأشرف وكربلاء المقدَّسة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من المسائل الّتي لم تبحث عند المتقدّمين، فهي من المسائل </w:t>
      </w:r>
      <w:bookmarkStart w:id="276" w:name="pg9058_87638"/>
    </w:p>
    <w:p>
      <w:pPr>
        <w:pStyle w:val="BookText"/>
        <w:rPr/>
      </w:pPr>
      <w:bookmarkEnd w:id="276"/>
      <w:r>
        <w:rPr>
          <w:rFonts w:ascii="Amiri" w:hAnsi="Amiri" w:eastAsia="Amiri" w:cs="Amiri"/>
          <w:color w:val="111111"/>
          <w:sz w:val="28"/>
          <w:sz w:val="28"/>
          <w:szCs w:val="28"/>
          <w:rtl w:val="true"/>
          <w:lang w:bidi="ar-SA"/>
        </w:rPr>
        <w:t>الفتيّة الّتي تحتاج إلى مَن ينقّحها ويستخرج خباياها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سبق رسالة يُبيَّن فيها حجج المفطريّة وفساد ما استند إليه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صاحبيَ تينك الرسالتين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المفطرية، وما حوته تانك الرسالتان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محمّد شاه القاجاري من المصنّف تأليف رسالة في حكم الغليون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يدلّنا على ذلك قوله 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فوق رأسي قهرمان السلطان</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2364910_2870459653"/>
      <w:bookmarkStart w:id="278" w:name="_Toc98"/>
      <w:bookmarkEnd w:id="277"/>
      <w:r>
        <w:rPr/>
        <w:t>3</w:t>
      </w:r>
      <w:r>
        <w:rPr>
          <w:rtl w:val="true"/>
        </w:rPr>
        <w:t xml:space="preserve">- </w:t>
      </w:r>
      <w:r>
        <w:rPr>
          <w:rtl w:val="true"/>
        </w:rPr>
        <w:t>اسم الرسالة وموضوعها</w:t>
      </w:r>
      <w:bookmarkEnd w:id="278"/>
    </w:p>
    <w:p>
      <w:pPr>
        <w:pStyle w:val="BookText"/>
        <w:rPr/>
      </w:pPr>
      <w:r>
        <w:rPr>
          <w:rFonts w:ascii="Amiri" w:hAnsi="Amiri" w:eastAsia="Amiri" w:cs="Amiri"/>
          <w:color w:val="111111"/>
          <w:sz w:val="28"/>
          <w:sz w:val="28"/>
          <w:szCs w:val="28"/>
          <w:rtl w:val="true"/>
          <w:lang w:bidi="ar-SA"/>
        </w:rPr>
        <w:t>لم يعنون المصنف الرسالة بعنوان خاص، ككثير من الرسائل الّتي يكتفي مصنفوها بعنونتها ببيان 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طبعت في حياتهم على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عن الرسالة بألفاظ وتعابير تصبّ في معنى واحد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تفطير دخان التتن للصائم</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تفطير شرب التتن للصيّام</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إبطال التوتون الصوم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روزه بودن شرب توتون</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ايست در حرمت كشيدن قليان در ايام ماه رمضان مبارك</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يحسن التنبيه عليه في المقام نسبة صاحب الأعيان</w:t>
      </w:r>
      <w:r>
        <w:rPr>
          <w:rStyle w:val="FootnoteAnchor"/>
          <w:rtl w:val="true"/>
        </w:rPr>
        <w:footnoteReference w:id="272"/>
      </w:r>
      <w:r>
        <w:rPr>
          <w:rFonts w:ascii="Amiri" w:hAnsi="Amiri" w:eastAsia="Amiri" w:cs="Amiri"/>
          <w:color w:val="111111"/>
          <w:sz w:val="28"/>
          <w:sz w:val="28"/>
          <w:szCs w:val="28"/>
          <w:rtl w:val="true"/>
          <w:lang w:bidi="ar-SA"/>
        </w:rPr>
        <w:t xml:space="preserve">رسالة للمترجَم في حرمة شرب التتن مع أنّ المترجَم لا يقول بحرمته أصلاً فضلاً عن أنْ يؤلّف فيها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279" w:name="pg9058_87639"/>
    </w:p>
    <w:p>
      <w:pPr>
        <w:pStyle w:val="BookText"/>
        <w:rPr/>
      </w:pPr>
      <w:bookmarkEnd w:id="279"/>
      <w:r>
        <w:rPr>
          <w:rFonts w:ascii="Amiri" w:hAnsi="Amiri" w:eastAsia="Amiri" w:cs="Amiri"/>
          <w:color w:val="111111"/>
          <w:sz w:val="28"/>
          <w:sz w:val="28"/>
          <w:szCs w:val="28"/>
          <w:rtl w:val="true"/>
          <w:lang w:bidi="ar-SA"/>
        </w:rPr>
        <w:t>يعلم ذلك من خاتمتها في الفائدة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هو يقول بحرمة شرب التتن لكن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ما قدّمناه فلذلك نوهنا</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2364912_2870459653"/>
      <w:bookmarkStart w:id="281" w:name="_Toc99"/>
      <w:bookmarkEnd w:id="280"/>
      <w:r>
        <w:rPr>
          <w:rtl w:val="true"/>
        </w:rPr>
        <w:t>المطلب الثاني</w:t>
      </w:r>
      <w:r>
        <w:rPr>
          <w:rtl w:val="true"/>
        </w:rPr>
        <w:t xml:space="preserve">: </w:t>
      </w:r>
      <w:r>
        <w:rPr>
          <w:rtl w:val="true"/>
        </w:rPr>
        <w:t>مضمون الرسالة</w:t>
      </w:r>
      <w:bookmarkEnd w:id="281"/>
    </w:p>
    <w:p>
      <w:pPr>
        <w:pStyle w:val="BookText"/>
        <w:rPr/>
      </w:pPr>
      <w:r>
        <w:rPr>
          <w:rFonts w:ascii="Amiri" w:hAnsi="Amiri" w:eastAsia="Amiri" w:cs="Amiri"/>
          <w:color w:val="111111"/>
          <w:sz w:val="28"/>
          <w:sz w:val="28"/>
          <w:szCs w:val="28"/>
          <w:rtl w:val="true"/>
          <w:lang w:bidi="ar-SA"/>
        </w:rPr>
        <w:t>يبحث الفقهاء عن التتن من ثلاث جهات رئيسة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شربه وعدمه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شربه عند الصوم وعدمه،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شربه مُفطراً أو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على متعمد شربه الكفارة كسائر المفطرات أو لا؟</w:t>
      </w:r>
    </w:p>
    <w:p>
      <w:pPr>
        <w:pStyle w:val="BookText"/>
        <w:rPr/>
      </w:pPr>
      <w:r>
        <w:rPr>
          <w:rFonts w:ascii="Amiri" w:hAnsi="Amiri" w:eastAsia="Amiri" w:cs="Amiri"/>
          <w:color w:val="111111"/>
          <w:sz w:val="28"/>
          <w:sz w:val="28"/>
          <w:szCs w:val="28"/>
          <w:rtl w:val="true"/>
          <w:lang w:bidi="ar-SA"/>
        </w:rPr>
        <w:t>وهناك أبحاث غير هذه إلّا إنَّها دونها في الأهميّة، من نحو جواز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الرسالة بحث المصنف عن التتن من الجهتين الثانية والثالثة إلّا إنَّه لم يبحثه بخصوصه بل في ضمن بحثه عن مطلق الدخان، لأنّ مفطريته على تقدير إنّما هي من جهة كونه دخاناً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اشتملت الرسالة على مبحثين مهمين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الدخان، من الجهتين المذكورتين في شهر رمضان وغيره من الصوم الواجب والمندوب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إنّ المقصود أوّلاً من هذه المباحث هو البحث عن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دخان الغليان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إلى ذلك المصنّف في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أنّ المقصود بالبحث أوّلاً هو الجهة الثانية فحسب دون الثالثة؛ لأنّه هو مورد سؤال الشاه أوّلاً –كما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ولأنّه تعرَّض له كفرع من الفروع لا في صلب البحث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الالتزام بهذا لا بُدَّ من توجيه قول المصنّف في المقدّمة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حرمة الغليان في شهر رمضان، وأنّه ممّا يلزم بتعمّده القضاء والكفارة بالحجّة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 بما يلتئم مع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ما سوى المقصود فهو إمّا استطراداً، أو من جهة كونه مقدّمة، أو فرعاً ونتيجة لما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تحقيق الحقّ في المسألة بَيَّن المصنف أوّلاً أغلب الآراء في المسألة، ثُمَّ استعرض أهمّ الأدلة لما اختاره ودفع أهمّ اعتراض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عن بيان أهمّ أدلّة القولين الآخرين والجواب عنها بظهورها ممّا تقدَّم، ثُمَّ ذكر بعض المسائل الفقهية المشار إلى بعضها فيما تقدّم ممّا يرتبط بالمقصد تحت عنوان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لبحثه مقدّمة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فكان الغرض من وضعها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 أهم حجّة من حجج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آراء الفقهاء في المسألة كما هو ديدن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الخاتمة فاشتملت على فائدتين تتضمّنان نصحاً وتحذيراً يتعلّقان بممارسات يرتكبها أهل العصر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بالتقوى وتحذير من التصدّي للقضاء والإفتاء لغير أهلهما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العلماء كانوا ولازالوا يعانون من انكباب الناس على الدنيا ومن حبّ الرئاسة والزعامة </w:t>
      </w:r>
      <w:bookmarkStart w:id="282" w:name="pg9058_87641"/>
    </w:p>
    <w:p>
      <w:pPr>
        <w:pStyle w:val="BookText"/>
        <w:rPr/>
      </w:pPr>
      <w:bookmarkEnd w:id="282"/>
      <w:r>
        <w:rPr>
          <w:rFonts w:ascii="Amiri" w:hAnsi="Amiri" w:eastAsia="Amiri" w:cs="Amiri"/>
          <w:color w:val="111111"/>
          <w:sz w:val="28"/>
          <w:sz w:val="28"/>
          <w:szCs w:val="28"/>
          <w:rtl w:val="true"/>
          <w:lang w:bidi="ar-SA"/>
        </w:rPr>
        <w:t>والسعي إلى تحصيل المناصب السياسيّة والاجتماعيّة بما فيها مسند الفتيا والقضاء، إلّا من عَصمه الله تعالى، وقليل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سبيل لهم في علاج تلك الأمراض الروحية منبر الوعظ والإرشاد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مفاسد الغليان ومضارّه الاقتصاديّة والصحيّة وغيرهما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2364914_2870459653"/>
      <w:bookmarkStart w:id="284" w:name="_Toc100"/>
      <w:bookmarkEnd w:id="283"/>
      <w:r>
        <w:rPr>
          <w:rtl w:val="true"/>
        </w:rPr>
        <w:t>المطلب الثالث</w:t>
      </w:r>
      <w:r>
        <w:rPr>
          <w:rtl w:val="true"/>
        </w:rPr>
        <w:t xml:space="preserve">: </w:t>
      </w:r>
      <w:r>
        <w:rPr>
          <w:rtl w:val="true"/>
        </w:rPr>
        <w:t>أهمية الرسالة ومميزاتها</w:t>
      </w:r>
      <w:bookmarkEnd w:id="284"/>
    </w:p>
    <w:p>
      <w:pPr>
        <w:pStyle w:val="BookText"/>
        <w:rPr/>
      </w:pPr>
      <w:r>
        <w:rPr>
          <w:rFonts w:ascii="Amiri" w:hAnsi="Amiri" w:eastAsia="Amiri" w:cs="Amiri"/>
          <w:color w:val="111111"/>
          <w:sz w:val="28"/>
          <w:sz w:val="28"/>
          <w:szCs w:val="28"/>
          <w:rtl w:val="true"/>
          <w:lang w:bidi="ar-SA"/>
        </w:rPr>
        <w:t>أهم المميزات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راقم سطورها من رجال الطراز الأوّل في التحقيق والتدقيق وممّن فاز بالقدح المعلّى والكأس الأوفى في الفقه وكأنّه قد زُقه زقّاً، ويكفيك شاهداً تقريظ أستاذه الشيخ الأكبر الشيخ جعفر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جمع بين المعقول والمنقول، وممّن درس العلوم بأنواعها عند أئمّة المعقول والمنقول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الإحاطة بعلوم مختلفة تؤهّل الشخص إلى التوصّل إلى وجهة نظر صحيحة وواقعيّة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تأليفها كان في الأعوام السبعة الأخيرة من حياته المباركة، ممّا يجعلها صالحة للاعتماد عليها بشكل كامل، لمعرفة آخر تطورات تحقيق المسألة عند المصنّف ووجهة نظره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أوّل رسالة صُنِّفت في مفطرية التتن، وثالثة ست في حكم التتن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نعثر على رسالة في مفطرية التتن أُلفت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لغتها هي اللغة العربية على خلاف بعض الرسائل المتقدّمة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الرسائل المختصرة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فيها على بيان أهمّ أدلّة المسألة في </w:t>
      </w:r>
    </w:p>
    <w:p>
      <w:pPr>
        <w:pStyle w:val="BookText"/>
        <w:rPr/>
      </w:pPr>
      <w:r>
        <w:rPr>
          <w:rFonts w:ascii="Amiri" w:hAnsi="Amiri" w:eastAsia="Amiri" w:cs="Amiri"/>
          <w:color w:val="111111"/>
          <w:sz w:val="28"/>
          <w:sz w:val="28"/>
          <w:szCs w:val="28"/>
          <w:rtl w:val="true"/>
          <w:lang w:bidi="ar-SA"/>
        </w:rPr>
        <w:t>الجانبين، وعلى قسم من 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تأليفها على 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بأسرع وقت وبأقل ما يفي بالمطلوب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وعلى الرغم من كونها مختصرة، وكون تصنيفها على وجه العجالة – جاءت آية في طول الباع وسعة الاطلاع، وفيما تضمّنته من مطالب شامخة وردود دامغة وأدلّة 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مرصوفة المعاني، مرصوصة المباني، دقيقة الأنظار، عميقة الأفكار، مشحونة بالتحقيقات، مملوءة بالتدقيقات، عالية المضامين، متينة البراهين، قد كثر فيها المسالك، وأنار فيها كل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التزم مصنّفها الموضوعيّة البحتة، والحياد التام، وقد نهج فيها منهجاً علميّاً متكاملاً، قارع فيه الحجّة بالحجّة والمنطق بالمنطق، وناقش فيه الأدلة على أساس من الموازين العلميّة والمقاييس المنطقيّة، ممّا جعلها على الرغم من كونها قد زادت على قرن ونصف من الزمن غضّة 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تعكس صورة واضحة عن قوّة رأي المترجَم ودقّته المتناهية، وإحاطته العلمية وقوّته في الاستدلال وتضلّعه من المباني ومهارته في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تخلو الرسالة في لغتها من بعض المؤآخذات، من الناسخ أو المصنّف، وليس هذا بغريب ممّن تقدّم عليه أو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تخلو بعض عبائر المصنّف في بعض المواضع من الغموض والتعقيد، وهو ديدن أهل المعقول والمنقول أوّلاً وآخراً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يؤخذ على المصنّف – في مجال عرض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مطلب لزوم الكفّارة على الغبار ضمن صلب البحث، مع أنّ الأنسب ذكره كفرع من الفروع حاله حال بقية المسائل الّتي ذكرت تحت عنوان فروع إنْ كان غرضه إثبات مجرّد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استظهرناه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لزوم الكفارة على الدخان معه إنْ كان مقصده إثبات لزوم القضاء والكفارة</w:t>
      </w:r>
      <w:r>
        <w:rPr>
          <w:rFonts w:eastAsia="Amiri" w:cs="Amiri" w:ascii="Amiri" w:hAnsi="Amiri"/>
          <w:color w:val="111111"/>
          <w:sz w:val="28"/>
          <w:szCs w:val="28"/>
          <w:rtl w:val="true"/>
          <w:lang w:bidi="ar-SA"/>
        </w:rPr>
        <w:t xml:space="preserve">. </w:t>
      </w:r>
      <w:bookmarkStart w:id="285" w:name="pg9058_87644"/>
    </w:p>
    <w:p>
      <w:pPr>
        <w:pStyle w:val="Heading3"/>
        <w:numPr>
          <w:ilvl w:val="2"/>
          <w:numId w:val="1"/>
        </w:numPr>
        <w:rPr/>
      </w:pPr>
      <w:bookmarkStart w:id="286" w:name="__RefHeading___Toc2364916_2870459653"/>
      <w:bookmarkStart w:id="287" w:name="_Toc101"/>
      <w:bookmarkEnd w:id="285"/>
      <w:bookmarkEnd w:id="286"/>
      <w:r>
        <w:rPr>
          <w:rtl w:val="true"/>
        </w:rPr>
        <w:t>الفصل الرابع</w:t>
      </w:r>
      <w:r>
        <w:rPr>
          <w:rtl w:val="true"/>
        </w:rPr>
        <w:t xml:space="preserve">: </w:t>
      </w:r>
      <w:r>
        <w:rPr>
          <w:rtl w:val="true"/>
        </w:rPr>
        <w:t>عملنا في التحقيق والنسخة المعتمدة</w:t>
      </w:r>
      <w:bookmarkEnd w:id="287"/>
    </w:p>
    <w:p>
      <w:pPr>
        <w:pStyle w:val="BookText"/>
        <w:rPr/>
      </w:pPr>
      <w:r>
        <w:rPr>
          <w:rFonts w:ascii="Amiri" w:hAnsi="Amiri" w:eastAsia="Amiri" w:cs="Amiri"/>
          <w:color w:val="111111"/>
          <w:sz w:val="28"/>
          <w:sz w:val="28"/>
          <w:szCs w:val="28"/>
          <w:rtl w:val="true"/>
          <w:lang w:bidi="ar-SA"/>
        </w:rPr>
        <w:t>تضمّن تحقيقنا الرسالة أعمالاً 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النص بأكمل صورة له، وذلك من 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وتقويمه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ما سقط من كلمات أو عبارات علمنا بسقوطها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السياق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الإشارة إلى ما جعل محلّها من الكلمات بوضعها بين معقوفتين، وجعل ثلاث نقاط محلّ ما لم يتّضح لنا المقصود منه، مضافاً إلى تغيير رسم بعض الكلمات إلى الرسم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ترقيم النص وتقطيعه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الحبر الأسود الغامق لتمييز ما يحتاج إلى تمييز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الرموز والمختصرات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عنونة مباحث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التهميش، وتضمّن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إضافات تضمّنت شرحاً لعبارة مغلقة أو تفسيراً لمفردة غامضة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نسمِّ الرسالة؛ لأنَّ المصنِّف نفسه لم يجعل لها اسماً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نعثر في حدود ما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نسخة واحدة للرسالة رغم حاجتنا الشديدة إلى نسخة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وتظهر شحّة نسخها من عدم ذكر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فيها الرسالة تلك، مع أنّ ذلك عادته في أغلب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عثرنا على هذه النسخة الفريدة في قرص ليزري يحمل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لمؤسّسة كاشف الغطاء العامَّة، تحمل المخطوطة فيه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الغليان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نسخها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تعدّد خط نسخها أنّها لأكثر من 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العبائر في هامشها أنّ أحد ناسخيها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المحققان</w:t>
      </w:r>
    </w:p>
    <w:p>
      <w:pPr>
        <w:pStyle w:val="BookText"/>
        <w:rPr/>
      </w:pPr>
      <w:r>
        <w:rPr>
          <w:rFonts w:ascii="Amiri" w:hAnsi="Amiri" w:eastAsia="Amiri" w:cs="Amiri"/>
          <w:color w:val="111111"/>
          <w:sz w:val="28"/>
          <w:sz w:val="28"/>
          <w:szCs w:val="28"/>
          <w:rtl w:val="true"/>
          <w:lang w:bidi="ar-SA"/>
        </w:rPr>
        <w:t>الشيخ محمد الكرباسي</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حيدر الكرباسي </w:t>
      </w:r>
      <w:bookmarkStart w:id="288" w:name="pg9058_87646"/>
    </w:p>
    <w:p>
      <w:pPr>
        <w:pStyle w:val="Heading3"/>
        <w:numPr>
          <w:ilvl w:val="2"/>
          <w:numId w:val="1"/>
        </w:numPr>
        <w:rPr/>
      </w:pPr>
      <w:bookmarkStart w:id="289" w:name="__RefHeading___Toc2364918_2870459653"/>
      <w:bookmarkStart w:id="290" w:name="_Toc102"/>
      <w:bookmarkEnd w:id="288"/>
      <w:bookmarkEnd w:id="289"/>
      <w:r>
        <w:rPr>
          <w:rtl w:val="true"/>
        </w:rPr>
        <w:t>مصادر المقدّمة</w:t>
      </w:r>
      <w:bookmarkEnd w:id="2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 علم الفقه وأطواره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كاشف الغطاء، دار العلم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إبراهيم الكِرباسي،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الكرباسي – ترجمة لخاندان 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تعريب نجله الشيخ محمّد صادق محمّد الكِرباسي، بيت العلم للنابهين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المعالي الكِلباسي،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التدخين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المقدس الغريفي، مطبعة الآداب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الكِلباسي،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للسيد ابن كمونة على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كمونة،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خاندان 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الكلباسي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مقدمة، تعليقات، إضافات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النجفي الكلباسي وعلي كرباسي زاده 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بروهش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أغا بزرك الطهراني،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الخونساري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مدرّس 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 مكتب الإعلام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بن محمّد رضا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العلماء المعرب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التنكابني،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الوهبي، انتشارات ذوي القربى، قم،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إبراهيم الكرباسي، طبعة حجريّة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إبراهيم الكِرباسي، طبعة حجريّة، بمبي، مطبعة كازار حسيني،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3937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7"/>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258" o:detectmouseclick="t"/>
                <v:stroke color="#3465a4" joinstyle="round" endcap="flat"/>
                <w10:wrap type="none"/>
              </v:shape>
            </w:pict>
          </mc:Fallback>
        </mc:AlternateConten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النسخة المعتمدة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229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60"/>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الاخیرة من النسخة المعتمدة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9058_87651"/>
      <w:bookmarkStart w:id="292" w:name="pg9058_87651"/>
      <w:bookmarkEnd w:id="29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pg9058_87651"/>
      <w:bookmarkStart w:id="294" w:name="__RefHeading___Toc2364920_2870459653"/>
      <w:bookmarkStart w:id="295" w:name="_Toc103"/>
      <w:bookmarkEnd w:id="293"/>
      <w:bookmarkEnd w:id="294"/>
      <w:r>
        <w:rPr>
          <w:rtl w:val="true"/>
        </w:rPr>
        <w:t>نَصُّ الرسالة</w:t>
      </w:r>
      <w:bookmarkEnd w:id="29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 ومنه أستعين</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الحمد لله الذي رفع العلمَ وأعمدته</w:t>
      </w:r>
      <w:r>
        <w:rPr>
          <w:rStyle w:val="FootnoteAnchor"/>
          <w:rtl w:val="true"/>
        </w:rPr>
        <w:footnoteReference w:id="275"/>
      </w:r>
      <w:r>
        <w:rPr>
          <w:rFonts w:ascii="IRNazanin" w:hAnsi="IRNazanin" w:eastAsia="IRNazanin"/>
          <w:color w:val="111111"/>
          <w:sz w:val="28"/>
          <w:sz w:val="28"/>
          <w:szCs w:val="28"/>
          <w:rtl w:val="true"/>
          <w:lang w:bidi="fa-IR"/>
        </w:rPr>
        <w:t>، ووضع الجهلَ وأجندته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لقول ملك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سَبْعَ بَقَرَاتٍ سِمَانٍ يَأْكُلُهُنَّ سَبْعٌ 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جمع أفعل فعلاء ولا يجمع على فعال ولكن استعمل هنالك رعاية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والصلاة على من 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جميع أنبيائه حتّى تمنّى أولو العزم منهم أنْ يصير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أمّته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نوح، إبراهيم، عيسى، موسى،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لاحظ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w:t>
      </w:r>
    </w:p>
    <w:p>
      <w:pPr>
        <w:pStyle w:val="BookText"/>
        <w:rPr/>
      </w:pPr>
      <w:r>
        <w:rPr>
          <w:rFonts w:ascii="Amiri" w:hAnsi="Amiri" w:eastAsia="Amiri" w:cs="Amiri"/>
          <w:color w:val="111111"/>
          <w:sz w:val="28"/>
          <w:sz w:val="28"/>
          <w:szCs w:val="28"/>
          <w:rtl w:val="true"/>
          <w:lang w:bidi="ar-SA"/>
        </w:rPr>
        <w:t>كتاب طبقات الأنبياء والرسل والأئمة 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وعلى</w:t>
      </w:r>
    </w:p>
    <w:p>
      <w:pPr>
        <w:pStyle w:val="BookText"/>
        <w:rPr/>
      </w:pPr>
      <w:r>
        <w:rPr>
          <w:rFonts w:ascii="Amiri" w:hAnsi="Amiri" w:eastAsia="Amiri" w:cs="Amiri"/>
          <w:color w:val="111111"/>
          <w:sz w:val="28"/>
          <w:sz w:val="28"/>
          <w:szCs w:val="28"/>
          <w:rtl w:val="true"/>
          <w:lang w:bidi="ar-SA"/>
        </w:rPr>
        <w:t>عترته الطاهرة الّذين هم بعده أفضل بريّته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لَزِمَ عليَّ أنْ أحرّر عجالةً</w:t>
      </w:r>
      <w:r>
        <w:rPr>
          <w:rStyle w:val="FootnoteAnchor"/>
          <w:rtl w:val="true"/>
        </w:rPr>
        <w:footnoteReference w:id="277"/>
      </w:r>
      <w:r>
        <w:rPr>
          <w:rFonts w:ascii="Amiri" w:hAnsi="Amiri" w:eastAsia="Amiri" w:cs="Amiri"/>
          <w:color w:val="111111"/>
          <w:sz w:val="28"/>
          <w:sz w:val="28"/>
          <w:szCs w:val="28"/>
          <w:rtl w:val="true"/>
          <w:lang w:bidi="ar-SA"/>
        </w:rPr>
        <w:t>، حسب ما يسعني الزمان</w:t>
      </w:r>
      <w:r>
        <w:rPr>
          <w:rStyle w:val="FootnoteAnchor"/>
          <w:rtl w:val="true"/>
        </w:rPr>
        <w:footnoteReference w:id="278"/>
      </w:r>
      <w:r>
        <w:rPr>
          <w:rFonts w:ascii="Amiri" w:hAnsi="Amiri" w:eastAsia="Amiri" w:cs="Amiri"/>
          <w:color w:val="111111"/>
          <w:sz w:val="28"/>
          <w:sz w:val="28"/>
          <w:szCs w:val="28"/>
          <w:rtl w:val="true"/>
          <w:lang w:bidi="ar-SA"/>
        </w:rPr>
        <w:t>، ولا يسعني إلّا أقلُّ ما يتّضح به البيان</w:t>
      </w:r>
      <w:r>
        <w:rPr>
          <w:rStyle w:val="FootnoteAnchor"/>
          <w:rtl w:val="true"/>
        </w:rPr>
        <w:footnoteReference w:id="279"/>
      </w:r>
      <w:r>
        <w:rPr>
          <w:rFonts w:ascii="Amiri" w:hAnsi="Amiri" w:eastAsia="Amiri" w:cs="Amiri"/>
          <w:color w:val="111111"/>
          <w:sz w:val="28"/>
          <w:sz w:val="28"/>
          <w:szCs w:val="28"/>
          <w:rtl w:val="true"/>
          <w:lang w:bidi="ar-SA"/>
        </w:rPr>
        <w:t>، لأنّ فوق رأسي قَهرمان</w:t>
      </w:r>
      <w:r>
        <w:rPr>
          <w:rStyle w:val="FootnoteAnchor"/>
          <w:rtl w:val="true"/>
        </w:rPr>
        <w:footnoteReference w:id="280"/>
      </w:r>
      <w:r>
        <w:rPr>
          <w:rFonts w:ascii="IRNazanin" w:hAnsi="IRNazanin" w:eastAsia="IRNazanin"/>
          <w:color w:val="111111"/>
          <w:sz w:val="28"/>
          <w:sz w:val="28"/>
          <w:szCs w:val="28"/>
          <w:rtl w:val="true"/>
          <w:lang w:bidi="fa-IR"/>
        </w:rPr>
        <w:t>السلطان</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الغليان</w:t>
      </w:r>
      <w:r>
        <w:rPr>
          <w:rStyle w:val="FootnoteAnchor"/>
          <w:rtl w:val="true"/>
        </w:rPr>
        <w:footnoteReference w:id="282"/>
      </w:r>
      <w:r>
        <w:rPr>
          <w:rFonts w:ascii="Amiri" w:hAnsi="Amiri" w:eastAsia="Amiri" w:cs="Amiri"/>
          <w:color w:val="111111"/>
          <w:sz w:val="28"/>
          <w:sz w:val="28"/>
          <w:szCs w:val="28"/>
          <w:rtl w:val="true"/>
          <w:lang w:bidi="ar-SA"/>
        </w:rPr>
        <w:t xml:space="preserve">في شهر رمضان، وأنَّه ممّا يلزم بتعمّده القضاء والكفّارة بالحجّة والبرهان، واسأل اللهَ العصمةَ من الخطل والخلل والزلل في اللسان، وأنْ ينجّيني من موبقات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بين الأقران</w:t>
      </w:r>
      <w:r>
        <w:rPr>
          <w:rStyle w:val="FootnoteAnchor"/>
          <w:rtl w:val="true"/>
        </w:rPr>
        <w:footnoteReference w:id="283"/>
      </w:r>
      <w:r>
        <w:rPr>
          <w:rFonts w:ascii="Amiri" w:hAnsi="Amiri" w:eastAsia="Amiri" w:cs="Amiri"/>
          <w:color w:val="111111"/>
          <w:sz w:val="28"/>
          <w:sz w:val="28"/>
          <w:szCs w:val="28"/>
          <w:rtl w:val="true"/>
          <w:lang w:bidi="ar-SA"/>
        </w:rPr>
        <w:t>وشدايد النيران</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القوم في الغبار والدخان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يتوقف التحقيق</w:t>
      </w:r>
      <w:r>
        <w:rPr>
          <w:rStyle w:val="FootnoteAnchor"/>
          <w:rtl w:val="true"/>
        </w:rPr>
        <w:footnoteReference w:id="285"/>
      </w:r>
      <w:r>
        <w:rPr>
          <w:rFonts w:ascii="Amiri" w:hAnsi="Amiri" w:eastAsia="Amiri" w:cs="Amiri"/>
          <w:color w:val="111111"/>
          <w:sz w:val="28"/>
          <w:sz w:val="28"/>
          <w:szCs w:val="28"/>
          <w:rtl w:val="true"/>
          <w:lang w:bidi="ar-SA"/>
        </w:rPr>
        <w:t>فيه على جمع كلمات القوم في الغبار والدخان، والتكلّم فيه</w:t>
      </w:r>
      <w:r>
        <w:rPr>
          <w:rStyle w:val="FootnoteAnchor"/>
          <w:rtl w:val="true"/>
        </w:rPr>
        <w:footnoteReference w:id="286"/>
      </w:r>
      <w:r>
        <w:rPr>
          <w:rFonts w:ascii="Amiri" w:hAnsi="Amiri" w:eastAsia="Amiri" w:cs="Amiri"/>
          <w:color w:val="111111"/>
          <w:sz w:val="28"/>
          <w:sz w:val="28"/>
          <w:szCs w:val="28"/>
          <w:rtl w:val="true"/>
          <w:lang w:bidi="ar-SA"/>
        </w:rPr>
        <w:t>حتّى يظهر فتاويهم</w:t>
      </w:r>
      <w:r>
        <w:rPr>
          <w:rStyle w:val="FootnoteAnchor"/>
          <w:rtl w:val="true"/>
        </w:rPr>
        <w:footnoteReference w:id="287"/>
      </w:r>
      <w:r>
        <w:rPr>
          <w:rFonts w:ascii="Amiri" w:hAnsi="Amiri" w:eastAsia="Amiri" w:cs="Amiri"/>
          <w:color w:val="111111"/>
          <w:sz w:val="28"/>
          <w:sz w:val="28"/>
          <w:szCs w:val="28"/>
          <w:rtl w:val="true"/>
          <w:lang w:bidi="ar-SA"/>
        </w:rPr>
        <w:t>في المقام وما في البين والبال</w:t>
      </w:r>
      <w:r>
        <w:rPr>
          <w:rStyle w:val="FootnoteAnchor"/>
          <w:rtl w:val="true"/>
        </w:rPr>
        <w:footnoteReference w:id="288"/>
      </w:r>
      <w:r>
        <w:rPr>
          <w:rFonts w:ascii="Amiri" w:hAnsi="Amiri" w:eastAsia="Amiri" w:cs="Amiri"/>
          <w:color w:val="111111"/>
          <w:sz w:val="28"/>
          <w:sz w:val="28"/>
          <w:szCs w:val="28"/>
          <w:rtl w:val="true"/>
          <w:lang w:bidi="ar-SA"/>
        </w:rPr>
        <w:t xml:space="preserve">، ثُمَّ التعرّض لأخبار الباب، حتّى </w:t>
      </w:r>
    </w:p>
    <w:p>
      <w:pPr>
        <w:pStyle w:val="BookText"/>
        <w:rPr/>
      </w:pPr>
      <w:r>
        <w:rPr>
          <w:rFonts w:ascii="Amiri" w:hAnsi="Amiri" w:eastAsia="Amiri" w:cs="Amiri"/>
          <w:color w:val="111111"/>
          <w:sz w:val="28"/>
          <w:sz w:val="28"/>
          <w:szCs w:val="28"/>
          <w:rtl w:val="true"/>
          <w:lang w:bidi="ar-SA"/>
        </w:rPr>
        <w:t>يظهر حقيقة الحال</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فإنَّ غاية ما يدلّ عليه أنّه سيثبته وهو مسلَّم، ولكن لا على أنّه جزء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يُسأل ثانياً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يلزم عليه في هذه الفهرسة الإجمالية الإشارة إلى أنّه سيبين مفطرية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الفهرسة لما هو المقصد في الرسالة، وأمّا هذا فذكره في الرسالة كان على سبيل الاستطراد حاله حال بقية التنبيهات، ولعلّه لم يجعله واحداً منها لطول البحث فيه نسبة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المقنعة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ويجتنب الصائم الرائحة الغليظة، والغبرة الّتي تصل إلى الحلق فإنَّ ذلك نقض</w:t>
      </w:r>
      <w:r>
        <w:rPr>
          <w:rStyle w:val="FootnoteAnchor"/>
          <w:rtl w:val="true"/>
        </w:rPr>
        <w:footnoteReference w:id="290"/>
      </w:r>
      <w:r>
        <w:rPr>
          <w:rFonts w:ascii="Amiri" w:hAnsi="Amiri" w:eastAsia="Amiri" w:cs="Amiri"/>
          <w:color w:val="111111"/>
          <w:sz w:val="28"/>
          <w:sz w:val="28"/>
          <w:szCs w:val="28"/>
          <w:rtl w:val="true"/>
          <w:lang w:bidi="ar-SA"/>
        </w:rPr>
        <w:t>في الصيام</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مكان فيه غبرة كثيرة، أو رائحة غليظة، فدخل حلقه من ذلك شيء، لم يكن عليه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تعمّد الكون في ذلك المكان، وله غَناء عن الكون فيه، فدخل حلقَه شيء من ذلك، وجب عليه القضاء</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صاحب 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يوجب القضاء والكفّارة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 الغبار الغليظ إلى الحلق متعمّداً مثل غبار الدقيق، أو غبار النفض وما جرى مجراه على ما تضمّنته الروايات، وفي أصحابنا من قال إنّ ذلك لا يوجب الكفارة وإنّما يوجب القضاء</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غبار الدقيق والنفض الغليظ حتى يصل الحلق يُفطِر ويجب منه القضاء والكفّارة متى تُعُمِّدَ، ولم يوافق عليه أحد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أسقطوا كلُّهم القضاءَ والكفارة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التي بيّناها في الكتاب، وطريقة الاحتياط؛ لأنّ مع ما قلنا تبرء الذمة بيقين، وفي الإخلال به خلاف</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كلام صاحب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 يُفسد الصيام ممّا يجب منه القضاء والكفارة فالأكل والشرب</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وشمّ الرائحة الغليظة التي تصل إلى الحلق</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وَقَفَ في غبرة مختاراً، فعليه القضاء بصيام يوم مكان يوم</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الوسيلة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يُفطر ويوجب الكفّارة والقضاء إنْ قصد به الإفطار، وإنْ لم يقصد به الإفطار أوجب القضاء دون الكفّارة عند قوم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وكليهما عند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الغليظ، والرائحة الغليظة إلى الحلق، وازدراد ما لا يؤكل مثل الخرزة والجواهر والفضة</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يُفسد الصوم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القضاء مع الكفّارة،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إلى جوف الصائم مع ذكره للصوم عند عَمدٍ منه واختيار، سواء كان بأكل، أو بشرب، أو شم، أو ازدراد لما لا يؤكل في العادة</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بدليل الإجماع، وطريقة الاحتياط، واليقين ببراءة الذمة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السرائر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غبار النفض فالّذي يقوى في نفسي أنّه يوجب القضاء دون الكفارة إذا تعمّد الكون في تلك البقعة من غير ضرورة، فأمّا إذا كان مضطراً إلى الكون في تلك البقعة، وتحفّظ، واحتاط في التحفّظ، فلا شيء عليه من قضاء وغيره؛ لأنَّ الأصل براءة الذمّة من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أصحابنا في ذلك خلاف، والقضاء مُجمع عليه</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كلام </w:t>
      </w:r>
    </w:p>
    <w:p>
      <w:pPr>
        <w:pStyle w:val="BookText"/>
        <w:rPr/>
      </w:pPr>
      <w:r>
        <w:rPr>
          <w:rFonts w:ascii="IRNazanin" w:hAnsi="IRNazanin" w:eastAsia="IRNazanin"/>
          <w:color w:val="111111"/>
          <w:sz w:val="28"/>
          <w:sz w:val="28"/>
          <w:szCs w:val="28"/>
          <w:rtl w:val="true"/>
          <w:lang w:bidi="fa-IR"/>
        </w:rPr>
        <w:t>صاحب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ممّا يوجب القضاء والكفارة إيصال غبار النفض وشبهه إلى الحلق، وأوجب الكفارة والقضاء بإيصال الغبار إلى الحلق</w:t>
      </w:r>
      <w:r>
        <w:rPr>
          <w:rStyle w:val="FootnoteAnchor"/>
          <w:rtl w:val="true"/>
        </w:rPr>
        <w:footnoteReference w:id="3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موضع الحاجة من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الشرايع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إيصال الغبار إلى الحلق خلاف، والأظهر التحريم وفساد الصوم</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القضاء والكفّارة بسبعة أشياء</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وعدَّ منها إيصال الغبار إلى الحلق</w:t>
      </w:r>
      <w:r>
        <w:rPr>
          <w:rStyle w:val="FootnoteAnchor"/>
          <w:rtl w:val="true"/>
        </w:rPr>
        <w:footnoteReference w:id="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الشرايع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النافع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الإمساك عن إيصال الغبار الغليظ إلى الحلق متعدّياً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الكفارة والقضاء بإيصال الغبار إلى الحلق</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وإيصال الغبار الغليظ مثل غبار النفض والدقيق إلى الحلق، قال الشيخ في الجمل والمبسوط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يفسد، وخالف الجمهور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أخبارنا رواية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سألته عن الصائم يتدخّن بعود أو بغير ذلك فتدخل الدخنة إلى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الصائم يُدخل الغبار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أوصل في جوفه ما ينافي الصوم فكان مفسداً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ما رواه سليمان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 رائحة غليظة، أو كنس بيتاً، فدخل في أنفه وحلقه غبار، فإنَّ ذلك له فطر، مثل الأكل والشرب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فيها ضعف؛ لأنّا لا نعلم القائل، وليس الغبار كالأكل والشرب ولا كابتلاع الحصى والبرد</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الكفارة بإيصال الغبار الغليظ إلى الحلق والدقيق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الشيخ في الخلاف والمبسوط، ولعلَّ مستنده رواية سليمان بن جعفر الجعفري،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وحلقه الغبار، فعليه صوم شهرين متتابعين؛ فإنَّ ذلك له فطر مثل الأكل والشرب والنكاح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الرواية ضعف من حيث جهل المسموع منه، لكنّا بيّنا أنَّ الازدراد لما لا يُؤكل كالحصى والبرد يُفسد الصوم، فتجب به الكفّارة كما تجب بتناول المأكول </w:t>
      </w:r>
    </w:p>
    <w:p>
      <w:pPr>
        <w:pStyle w:val="BookText"/>
        <w:rPr/>
      </w:pPr>
      <w:r>
        <w:rPr>
          <w:rFonts w:ascii="Amiri" w:hAnsi="Amiri" w:eastAsia="Amiri" w:cs="Amiri"/>
          <w:color w:val="111111"/>
          <w:sz w:val="28"/>
          <w:sz w:val="28"/>
          <w:szCs w:val="28"/>
          <w:rtl w:val="true"/>
          <w:lang w:bidi="ar-SA"/>
        </w:rPr>
        <w:t>والمشروب، وربَّما كان الغبار الغليظ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قضاء ولا كفارة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الصائم يدخل الغبار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غير أنه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قال الشافعي وأبو حنيفة وأحمد ومالك، وقال 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في الغبار لزمه القضاء، ورواية عمرو بن سعيد غير منافية، لأنّا نقول بموجبها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نوجب عليه قضاءً ولا كفارة بدخول الغبار حلقه، وإنّما نوجب بإدخاله حلقه قصداً واختياراً</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الغبار الغليظ إلى الحلق اختياراً مُفسد للصوم، مثل غبار النفض والدقيق، وخالف فيه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أوصل إلى جوفه ما ينافي الصوم فكان مفسداً له، ويؤيّده ما رواه الشيخ عن سليمان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 رائحة غليظة، أو كنس بيتاً، فدخل في أنفه وحلقه غبار، فإنّ ذلك له فطر مثل الأكل والشرب والنكاح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الصائم يتدخّن بعود أو غير ذلك فتدخل الدخنة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وسألته عن الصائم يدخل الغبار في حلقه؟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محمولة على عدم تمكّن الاحتراز منه، وعلى قول السيد المرتضى ينبغي عدم الإفساد بذلك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لو كان مضطراً ودخل الغبار بغير شعور منه أو بغير اختيار، فإنّه لا يفطره إجماعاً</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بإيصال الغبار والدقيق إلى الحلق القضاء والكفارة، ذهب إليه الشيخ وأتباعه وخالف فيه الشافعي وأبو حنيفة ومالك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مفسد للصوم؛ لمنافاته له، فكان موجباً للكفارة كالأكل، ولأنّا بيّنا أن ازدراد ما لا يعتاد يوجب القضاء والكفارة، وكذا الغبار، ويؤيّده ما رواه الشيخ عن سليمان بن جعفر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وحلقه غبار فعليه صوم شهرين متتابعين، فإنَّ ذلك له فطر مثل الأكل والشرب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بهذه الرواية ضعيف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الإيصال إلى إمام، إذ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 يكون إماماً يحتمل أن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 هذه الرواية على أحكام لا تثبت على ما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الشيخ عن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الصائم يدخل الغبار حلقه؟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مسعدة بن صدقة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علياً سئل عن الذباب يدخل حلق الصائم؟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 قضاء؛ إنّه ليس بطعام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ضعيفا السند، وأيضاً فإنّا نقول بموجبهما إذ المفطر عندنا إدخال الغبار والذباب عمداً إلى الفم لا دخولهما مطلقاً، إذ قد يدخلان من غير اختيار فلا </w:t>
      </w:r>
    </w:p>
    <w:p>
      <w:pPr>
        <w:pStyle w:val="BookText"/>
        <w:rPr/>
      </w:pPr>
      <w:r>
        <w:rPr>
          <w:rFonts w:ascii="Amiri" w:hAnsi="Amiri" w:eastAsia="Amiri" w:cs="Amiri"/>
          <w:color w:val="111111"/>
          <w:sz w:val="28"/>
          <w:sz w:val="28"/>
          <w:szCs w:val="28"/>
          <w:rtl w:val="true"/>
          <w:lang w:bidi="ar-SA"/>
        </w:rPr>
        <w:t>يفطران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تعليل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ليس بطعام ينفي ما ذكرتم من الاحتمال، لأنّه لا فرق بين الطعام وغيره في عدم الإفطار بالدخول ناسياً أو من غير 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امتناع في إرادة أنّه ليس بطعام مقصود أكله وإنْ كان بعيداً، فالأولى الاعتماد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 المرتضى لم يوجب الكفارة وهو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وقف في الغبار لزمه القضاء</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الغبار الغليظ إلى الحلق اختياراً كغبار الدقيق والنفض مفسد للصوم خلافاً للجمهور؛ لأنّه أوصل إلى الجوف ما ينافي الصوم، ولأنّ سليمان بن جعفر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شمَّ رائحة غليظة، أو كنس بيتاً، فدخل في أنفه وحلقه غبار، فإنّ ذلك له فطر مثل الأكل والشرب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بإيصال الغبار الغليظ والدقيق إلى الحلق عمداً القضاء والكفارة عند علمائنا؛ لأنّه مفسد واصل إلى الجوف، فأشبه الأكل، وما رواه سليمان بن جعفر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وحلقه غبار فعليه صوم شهرين متتابعين فإنّ ذلك له فطر مثل الأكل والشرب والنكاح</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التذكرة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الإمساك عن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 إيصال الغبار الغليظ إلى الحلق، ثُمَّ أوجب القضاء والكفّارة لأجله</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موضع الحاجة من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الإمساك عن أمور وعدّ منها إيصال الغبار الغليظ إلى الحلق، ثُمَّ أوجب الكفارة المخيّرة على رأي، والقضاء مع التعمّد لأجله</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نهج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ذهبت الإماميّة إلى أنّ الغبار الغليظ من الدقيق والنفض ونحوهما إذا وصل إلى الحلق متعمّداً وجب عليه القضاء والكفّارة، وخالف الفقهاء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الفقهاء الأربعة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وخالفوا في ذلك النصّ الدال على إيجاب الكفارة بالإفطار</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الغبار الغليظ كغبار الدقيق والنفض إلى الحلق اختياراً مفسدٌ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مفطراً أو دخل بغير اختياره أو بغير شعور لم يفطر</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التحرير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في الجُمَل 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الغليظ إلى الحلق مثل غبار الدقيق وغبار النفض متعمداً مفطر فوجب القضاء والكفارة، وكذا قال في الخلاف، وعدَّ في المبسوط فيما يوجب القضاء والكفارة إيصالَ الغبار الغليظ إلى الحلق متعمّداً مثل غبار الدقيق أو غبار النفض وما جرى مجراه على ما تضمّنته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أصحابنا مَن قال إنّ ذلك لا يوجب الكفّارة، وإنّما يوجب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ويجتنب الصائم الرائحة الغليظة، والغبرة التي تصل إلى الجوف، فإنّ ذلك نقض في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تعمّد الكون في مكان فيه غبرة كثيرة، أو رائحة غليظة، وله غناء عن الكون فيه، فدخل حلقه شيء من ذلك،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في غبرة مختاراً فعليه القضاء، والظاهر أنّ الوقوف مطلقاً لا يوجب القضاء، وإنّما قصده مع إيصال الغبار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يقوى في نفسي أنّه يوجب القضاء دون الكفارة إذا تعمّد الكون في تلك البقعة من غير ضرورة، وأمّا إذا كان مضطراً إلى الكون في تلك البقعة</w:t>
      </w:r>
    </w:p>
    <w:p>
      <w:pPr>
        <w:pStyle w:val="BookText"/>
        <w:rPr/>
      </w:pPr>
      <w:r>
        <w:rPr>
          <w:rFonts w:ascii="Amiri" w:hAnsi="Amiri" w:eastAsia="Amiri" w:cs="Amiri"/>
          <w:color w:val="111111"/>
          <w:sz w:val="28"/>
          <w:sz w:val="28"/>
          <w:szCs w:val="28"/>
          <w:rtl w:val="true"/>
          <w:lang w:bidi="ar-SA"/>
        </w:rPr>
        <w:t>وتحفّظ واحتاط في التحفظ فلا شيء عليه من قضاء وغيره؛ لأنّ الأصل براءة الذمة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أصحابنا في ذلك خلاف، والقضاء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الأوّل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أنّ ازدراد كلّ شيء يفسد الصوم ويجب به القضاء والكفارة، والغبار من هذا الباب، وما رواه سليمان بن جعفر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تمضمض الصائم في شهر رمضان، أو استنشق متعمداً، أو شمَّ رائحة غليظة، أو كنس بيتاً، فدخل في أنفه وحلقه غبار، فعليه صوم شهرين متتابعين؛ فإنّ ذلك له فطر، مثل الأكل </w:t>
      </w:r>
    </w:p>
    <w:p>
      <w:pPr>
        <w:pStyle w:val="BookText"/>
        <w:rPr/>
      </w:pPr>
      <w:r>
        <w:rPr>
          <w:rFonts w:ascii="Amiri" w:hAnsi="Amiri" w:eastAsia="Amiri" w:cs="Amiri"/>
          <w:color w:val="111111"/>
          <w:sz w:val="28"/>
          <w:sz w:val="28"/>
          <w:szCs w:val="28"/>
          <w:rtl w:val="true"/>
          <w:lang w:bidi="ar-SA"/>
        </w:rPr>
        <w:t>والشرب والنكاح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الآخرون بأصالة البراءة، وبما رواه عمرو بن سعيد عن الرضا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الصائم يدخل الغبار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يَبطل حكمُها مع قيام الدليل المخرِج عنها وقد بيّناه، وعمرو بن سعيد – وإنْ 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فيه قولاً، ومع ذلك فالرواية نقول بموجبها؛ لأنّ مطلق الغبار لا ينقض، وإنّما الناقض هو الغبار الغليظ، وأيضاً الغبار الغليظ إذا دخل اتفاقاً لا عن قصد ولا عن تعمّد للكون في مكانه لا ينقض، ولم يتضمّن السؤال شيئاً من ذلك</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الإمساك عن إيصال الغبار الغليظ إلى الحلق</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ثُمَّ أوجب القضاء والكفّارة بإيصال الغبار الغليظ إلى الحلق متعمداً</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توطين النفس لله تعالى على ترك ثمانية</w:t>
      </w:r>
      <w:r>
        <w:rPr>
          <w:rStyle w:val="FootnoteAnchor"/>
          <w:rtl w:val="true"/>
        </w:rPr>
        <w:footnoteReference w:id="320"/>
      </w:r>
      <w:r>
        <w:rPr>
          <w:rFonts w:ascii="Amiri" w:hAnsi="Amiri" w:eastAsia="Amiri" w:cs="Amiri"/>
          <w:color w:val="111111"/>
          <w:sz w:val="28"/>
          <w:sz w:val="28"/>
          <w:szCs w:val="28"/>
          <w:rtl w:val="true"/>
          <w:lang w:bidi="ar-SA"/>
        </w:rPr>
        <w:t>وعدَّ منها إيصال الغبار الغليظ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إفطار بسبق الغبار إلى الحلق، أو الذباب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التحفّظ من الغبار لمزاوله</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الرسالة التكليفية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أوجب الإمساك عن أمور، وعدَّ منها إيصال الغبار الغليظ إلى الحلق، وأوجب منه القضاء والكفّارة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موضع الحاجة من الرسالة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ممّا يكفي في الصوم الغبار المتعدّي</w:t>
      </w:r>
      <w:r>
        <w:rPr>
          <w:rStyle w:val="FootnoteAnchor"/>
          <w:rtl w:val="true"/>
        </w:rPr>
        <w:footnoteReference w:id="3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موضع الحاجة من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أي الغليظ عرفاً، ويفهم من الإيصال أنّ ذلك على سبيل التعمّد حيث يمكنه التحرّز منه، ولا بأس بإلحاق الدخان الّذي يحصل منه أجزاء، وكذا البخار للقِدر ونحوه به</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جامع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فوائد الشرائع</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إيصال الغبار إلى الحلق خلاف، الأظهر التحريم وفساد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الأصح، لكنْ يشترط في الفساد بالغبار أنْ يكون غليظاً عادة كغبار النفض والدقيق، فلا عبرة بالقليل، ولا بُدَّ من كونه على سبيل التعمّد حيث يمكنه التحرّز منه، فلو نسي أو لم يمكنه التحرّز منه بحال من الأحوال، فعدم الإفساد به هو المتجّه، ولا بأس بإلحاق الدخان الغليظ الّذي يحصل منه أجزاء غليظة ويتعدّى إلى الحلق به، وكذا بخار القدر </w:t>
      </w:r>
    </w:p>
    <w:p>
      <w:pPr>
        <w:pStyle w:val="BookText"/>
        <w:rPr/>
      </w:pP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r>
        <w:rPr>
          <w:rStyle w:val="FootnoteAnchor"/>
          <w:rtl w:val="true"/>
        </w:rPr>
        <w:footnoteReference w:id="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فوائد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تعليقات الإرشاد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الغليظ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الغليظ في العادة كغبار النفض والدقيق الكثير، والمفسد إيصاله إلى الحلق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تمكينه من الوصول بأنْ لا يتحفّظ عنه مع قدرته على التحفّظ، ولا يبعد إلحاق الدخان الغليظ الّذي يتحصّل منه أجزاء، وكذا بخار القدر ونحوه إذا كان غليظاً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تعليقات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تعليقات</w:t>
      </w:r>
      <w:r>
        <w:rPr>
          <w:rStyle w:val="FootnoteAnchor"/>
          <w:rtl w:val="true"/>
        </w:rPr>
        <w:footnoteReference w:id="327"/>
      </w:r>
      <w:r>
        <w:rPr>
          <w:rFonts w:ascii="Amiri" w:hAnsi="Amiri" w:eastAsia="Amiri" w:cs="Amiri"/>
          <w:color w:val="111111"/>
          <w:sz w:val="28"/>
          <w:sz w:val="28"/>
          <w:szCs w:val="28"/>
          <w:rtl w:val="true"/>
          <w:lang w:bidi="ar-SA"/>
        </w:rPr>
        <w:t>الكركي على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إيصال الغبار الغليظ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بالإيصال احترازاً عن وصول الغبار من دون فعل الصائم، فإنّه يوجب إيصاله إلى الحلق من دون اختيار إفساده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بالغليظ مشعرٌ بأنّ ما عداه غير مفسد، وهو كذلك؛ لعسر التحرّز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الغليظ في العادة كغبار النفض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إيجابه القضاء وادّعى المصنّف عليه في المختلف الإجماع، وكأنّه لم يعتد بخلاف المرتضى، فإنّه يتأتّى على قوله عدم الإفساد به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تجب به الكفّارة؟ مقتضى الأخبار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إلحاق الدخان الّذي ينفصل منه أجزاء، وكذا بخار القدر ونحوه إذا كان غليظاً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الكركي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معالم ابن 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في الأكل والشرب الغبار، وأوجب فيهما القضاء والكفّارة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غاية المرام للصيمري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إيصال الغبار الغليظ إلى الحلق متعمّداً القضاء والكفّارة عند الشيخ في الجمل والاقتصاد والخلاف، واختاره العلّامة؛ لأنّ ازدراد كلّ شيء يفسد الصوم ويجب به القضاء والكفّارة، والغبار الغليظ من هذا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ووجوب القضاء خاصّة مذهب ابن إدريس؛ لأصل البراءة من الكفارة، ولرواية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الصميري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 والأصحاب، وخالف الجمهور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أوصل إلى جوفه ما ينافي الصوم فأفسده، ويؤيّده رواية سليمان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 رائحة غليظة، أو كنس بيتاً، فدخل في أنفه وحلقه غبار، فإنّ ذلك له فطر مثل الأكل والشرب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ضعف، لأنَّ القائل غير معلوم، وليس الغبار كالأكل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مؤيّدة بعمل الأصحاب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الشيخ وغيره الغبار بالغليظ، ولم يقيّده المصنف، والأوّل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موجب للقضاء لا غير كقول التقي والعجلي، أو له والكفّارة كقول الشيخ؟ الأقوى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الرائحة الغليظة مفطرة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الرواية المذكورة، وكرّهها المفيد، وهو الأجود؛ لعدم الانفكاك عنها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لا يُفطِّر، لرواية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الصائم يتدخن بعود أو بغير ذلك فتدخل الدخنة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وسألتُه عن الصائم يدخل الغبار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الغليظ جمعاً بين الروايتين</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المسالك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إيصال الغبار إلى الحلق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الغبار بكونه غليظاً كما فعله جماعة، وورد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عدم القيد أجود؛ لأنّ الغبار المتعدّي إلى الحلق نوع من المتناولات وإنْ كان غير معتاد فيحرم ويفسد الصوم ويجب به الكفّارة سواء في ذلك الغليظ والرقيق، بل الحكم فيما غلظ من تناول المأكول إذا كان غبار ما يحرم 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اعتبر الغليظ فالمرجع فيه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العبارة أنّ ذلك وأشباهه مقيّد بالعمد والاختيار فلا شيء على الناسي ولا على ما لا يتمكّن من الاحتراز عنه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بعضُ الأصحاب الدخان الغليظ وبخار القدر ونحوه، وهو حسن </w:t>
      </w:r>
    </w:p>
    <w:p>
      <w:pPr>
        <w:pStyle w:val="BookText"/>
        <w:rPr/>
      </w:pPr>
      <w:r>
        <w:rPr>
          <w:rFonts w:ascii="IRNazanin" w:hAnsi="IRNazanin" w:eastAsia="IRNazanin"/>
          <w:color w:val="111111"/>
          <w:sz w:val="28"/>
          <w:sz w:val="28"/>
          <w:szCs w:val="28"/>
          <w:rtl w:val="true"/>
          <w:lang w:bidi="fa-IR"/>
        </w:rPr>
        <w:t>إن تحقق معها جسم</w:t>
      </w:r>
      <w:r>
        <w:rPr>
          <w:rFonts w:eastAsia="IRNazanin" w:cs="IRNazanin"/>
          <w:color w:val="111111"/>
          <w:sz w:val="28"/>
          <w:szCs w:val="28"/>
          <w:rtl w:val="true"/>
          <w:lang w:bidi="fa-IR"/>
        </w:rPr>
        <w:t>)</w:t>
      </w:r>
      <w:r>
        <w:rPr>
          <w:rStyle w:val="FootnoteAnchor"/>
          <w:rtl w:val="true"/>
        </w:rPr>
        <w:footnoteReference w:id="3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الكفّ نهاراً – كما يأتي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المتعدّي إلى الحلق غليظاً كان أو لا، بمحلّلٍ كدقيق وغيره كتراب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بالغليظ في بعض العبارت ومنها الدروس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الحلق مخرج الخاء المعجمة</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إيصال الغبار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تعمّده ذلك اختياراً كسائر المفطرات قبل الحوالة في العلّة إلى العرف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إيصال الغبار إلى الحلق اختياراً يفسد الصوم مثل غبار النفض والدقيق، وخالف فيه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إنْ كان بحيث يصدق عليه عرفاً أو لغة أكل الغبار، يكون حكمه حكم الأكل وإلّا فلا، وحينئذٍ لا يبعد الكراهية كما يشمّ لما في رواية سليمان بن جعفر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وحلقه غبار، فعليه صوم شهرين متتابعين، فإنّ ذلك مُفطر مثل الأكل والشرب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مقارنة التمضمض والاستنشاق والرائحة المكروهة، وعدم صحّة السند مع الإضمار، والاكتفاء بخصلة واحدة من الكفارة، ولرواية عمرو بن سعيد عن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الصائم يتدخن بعود أو غير ذلك فدخل الدخنة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وسألته عن الصائم يدخل الغبار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حملها المصنّف على عدم إمكان التحرّز منه، وحال الاضطرار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عدم الإفساد بذلك، أمّا لو كان مضطراً ودخل الغبار بغير شعور منه، أو بغير اختيار فإنّه لا يفطره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إلّا العمومات مع نفي البأس مطلقاً في هذه، فيمكن حمل الأولى على الكراهة، ويمكن حمل الثانية على غير الغليظ والأولى عليه، والأصل دليل قوي، وعلى تقدير الإفساد ووجوب القضاء فالظاهر عدم وجوب الكفارة إلّا مع صدق الأكل والفُطر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الصدق، ولا تفاوت في الغلظ وعدمه؛ ولهذا ما وقع الغلظ في الرواية وشبهه بالأكل، فاستغنى عن حوالته إلى العرف وتحقيقه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الدخان</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مجمع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إيصال الغبار إلى الحلق خلاف، والأظهر التحريم وفساد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قول 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قول السيد المرتضى ينبغي عدم الإفساد بذلك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القائلون بالفساد بأنّه أوصل إلى جوفه ما ينافي الصوم فكان مفسداً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رواه الشيخ عن سليمان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تمضمض الصائم في شهر </w:t>
      </w:r>
    </w:p>
    <w:p>
      <w:pPr>
        <w:pStyle w:val="BookText"/>
        <w:rPr/>
      </w:pPr>
      <w:r>
        <w:rPr>
          <w:rFonts w:ascii="Amiri" w:hAnsi="Amiri" w:eastAsia="Amiri" w:cs="Amiri"/>
          <w:color w:val="111111"/>
          <w:sz w:val="28"/>
          <w:sz w:val="28"/>
          <w:szCs w:val="28"/>
          <w:rtl w:val="true"/>
          <w:lang w:bidi="ar-SA"/>
        </w:rPr>
        <w:t>رمضان، أو استنشق متعمّداً، أوشمَّ رائحة غليظة، أو كنس بيتاً، فدخل في أنفه وحلقه غبار، فعليه صوم شهرين متتابعين، فإنّ ذلك له فُطر مثل الأكل والشرب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كون مطلق الإيصال مُفسداً، بلْ المفسد الأكل والشرب وما في معناهما، وعلى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السند باشتماله على عدّة من المجاهيل مع جهالة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باشتماله على ما أجمع الأصحاب على خلافه من ترتّب الكفارة على مجرّد المضمضة والاستنشاق وشمّ الرائحة الغليظة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معارضة بما رواه الشيخ في الموثّق عن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يتدخن بعود أو بغير ذلك، فتدخل الدخنة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لا بأس، وسألته عن الصائم يدخل الغبار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المصنّف في المعتبر التوقف في هذا الحكم، حيث قال بعد أنْ أورد رواية سليمان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فيها ضعف، لأنّا لا نعلم القائل، وليس الغبار كالأكل والشرب، ولا كابتلاع الحصى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لم يقيّد الغبار في هذا الكتاب بكونه غليظاً، وقد صرّح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ولا بأس به؛ قصراً لما خالف الأصل على موضع الوفاق إنْ تمَّ، إلّا أنَّ الاعتبار يقتضي عدم الفرق بين الغليظ وغيره؛ لأنّ الغبار هو نوع من المتناولات، فإنْ كان مفسداً للصوم أفسد قليله وكثيره، وإلّا لم يفسد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المتأخرون بالغبار الدخان الغليظ الذي يحصل منه أجزاء ويتعدّى إلى الحلق وبخار القدر ونحوهما وهو بعيد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المصنّف من وجوب القضاء </w:t>
      </w:r>
    </w:p>
    <w:p>
      <w:pPr>
        <w:pStyle w:val="BookText"/>
        <w:rPr/>
      </w:pPr>
      <w:r>
        <w:rPr>
          <w:rFonts w:ascii="Amiri" w:hAnsi="Amiri" w:eastAsia="Amiri" w:cs="Amiri"/>
          <w:color w:val="111111"/>
          <w:sz w:val="28"/>
          <w:sz w:val="28"/>
          <w:szCs w:val="28"/>
          <w:rtl w:val="true"/>
          <w:lang w:bidi="ar-SA"/>
        </w:rPr>
        <w:t>والكفارة بذلك أحد الأقوال في المسألة؛ لرواية سليمان بن جعفر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ضعيفة السند بجهالة الراوي والقائل، متروكة الظاهر من حيث اقتضاؤهما ترتّب الكفارة على مجرّد المضمضة والاستنشاق وشم الرائحة الغليظة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الشيخ في المبسوط عن بعض أصحابنا قولاً بأنّ ذلك لا يوجب الكفارة، وإنّما يوجب القضاء خاصّة، واختاره المصنّف وابن إدريس،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الأصل براءة الذمة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أصحابنا في ذلك خلاف، والقضاء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انعقد الإجماع على الوجوب، لكنّه غير ثابت، وقد تقدّم الكلام في ذلك</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اثني عشريّة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لا يتحقّق الصيام إلّا بالإمساك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إلى الحلق ومبدؤه مخرج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بعضهم بالغليظ وهو الحق، فيقضي وفاقاً 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الدخان والبخار الغليظان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عمرو بن سعيد بنفي البأس</w:t>
      </w:r>
    </w:p>
    <w:p>
      <w:pPr>
        <w:pStyle w:val="BookText"/>
        <w:rPr/>
      </w:pPr>
      <w:r>
        <w:rPr>
          <w:rFonts w:ascii="Amiri" w:hAnsi="Amiri" w:eastAsia="Amiri" w:cs="Amiri"/>
          <w:color w:val="111111"/>
          <w:sz w:val="28"/>
          <w:sz w:val="28"/>
          <w:szCs w:val="28"/>
          <w:rtl w:val="true"/>
          <w:lang w:bidi="ar-SA"/>
        </w:rPr>
        <w:t>عن الدخنة والغبار محمول على الرقيق</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الذخيرة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الإمساك عن إيصال الغبار الغليظ إلى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 في عدّة من كتبه إيصال الغبار الغليظ متعمداً إلى الحلق مفطر يوجب القضاء والكفارة، وفي المبسوط فيما يوجب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وإيصال الغبار الغليظ إلى </w:t>
      </w:r>
    </w:p>
    <w:p>
      <w:pPr>
        <w:pStyle w:val="BookText"/>
        <w:rPr/>
      </w:pPr>
      <w:r>
        <w:rPr>
          <w:rFonts w:ascii="Amiri" w:hAnsi="Amiri" w:eastAsia="Amiri" w:cs="Amiri"/>
          <w:color w:val="111111"/>
          <w:sz w:val="28"/>
          <w:sz w:val="28"/>
          <w:szCs w:val="28"/>
          <w:rtl w:val="true"/>
          <w:lang w:bidi="ar-SA"/>
        </w:rPr>
        <w:t>الحلق متعمداً مثل غبار الدقيق أو غبار النفض على ما تضمّنته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أصحابنا مَنْ قال إنّ ذلك لا يوجب الكفارة وإنما يوجب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ويجتنب الصائم الريح الغليظة، والغبرة التي تصل إلى الجوف، فإنّ ذلك نقض في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تعمّد الكون في مكان فيه غبرة كثيرة، أو رائحة غليظة، وله غناء عن الكون فيه، فدخل حلقه شيء من ذلك، وجب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في غبرة مختاراً فعليه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الوقوف مطلقاً لا يوجب القضاء، وإنّما قصده مع إيصال الغبار إلى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يقوى في نفسي أنّه يوجب القضاء دون الكفارة إذا تعمّد الكون في تلك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مضطراً إلى الكون في تلك البقعة، واحتاط في التحفّظ فلا شيء عليه من قضاء وغيره؛ لأنّ الأصل براءة الذمة من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أصحابنا في ذلك خلاف، والقضاء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قول السيد المرتضى ينبغي عدم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تقدّم منه من اشتراط الاعتياد في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المحقّق في المعتبر التردد في هذا الحكم، فإنّه قال بعد إيراد رواية سليمان الآتية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فيها ضعف، لأنّا لا نعلم القائل، وليس الغبار كالأكل والشرب ولا كابتلاع الحصى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إيصال الغبار الغليظ إلى الحلق خلاف، والأظهر التحريم وفساد الصوم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عندي عدم الإفساد؛ لصحيحة محمد بن مسلم السابقة الدالّة على حصر </w:t>
      </w:r>
    </w:p>
    <w:p>
      <w:pPr>
        <w:pStyle w:val="BookText"/>
        <w:rPr/>
      </w:pPr>
      <w:r>
        <w:rPr>
          <w:rFonts w:ascii="IRNazanin" w:hAnsi="IRNazanin" w:eastAsia="IRNazanin"/>
          <w:color w:val="111111"/>
          <w:sz w:val="28"/>
          <w:sz w:val="28"/>
          <w:szCs w:val="28"/>
          <w:rtl w:val="true"/>
          <w:lang w:bidi="fa-IR"/>
        </w:rPr>
        <w:t xml:space="preserve">ما يفطر الصائم في الأشياء الأربعة، وما رواه الشيخ عن عمرو بن سعيد في الموثّق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الصائم يتدخن بعود أو بغير ذلك، فتدخل الدخنة في حلقه؟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القائلون بالفساد بأنّه أوصل إلى جوفه ما ينافي الصوم فكان مفسداً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رواه الشيخ بإسناد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 المروزي،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 أو كنس بيتاً، فدخل في أنفه وحلقه غبار، فعليه صوم شهرين متتابعين، فإنّ ذلك له فُطر مثل الأكل والشرب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مطلق إيصال الشيء إلى الجوف مفسداً، وإنّما المفسد الأكل والشرب وما في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بجهالة الراوي وجهالة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وباشتماله على ما لم أعلم قائلاً به من الأصحاب وهو ترتّب الكفارة على مجرّد المضمضة والاستنشاق وشم الرائحة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بإحدى خصال الكفارة، مع معارضتها بأقوى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الأصحاب كالمحقّق في الشرائع لم يقيّد الغبار بكونه غليظاً، وقد صرّح الأكثر بالتقييد، وهو غير بعيد؛ قصراً للحكم على مورد الوفاق، إلّا أنّ الرواية والاعتبار الذي عوّلوا عليه يقتضيان التعميم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المتأخّرين ألحقوا بالغبار الدخانَ الغليظ الذي يحصل منه أجزاء، ويتعدّى إلى الحلق كبخار القدر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بعضهم، وهو حَسن</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الذخيرة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 الإمساك عن إيصال الغبار الغليظ إلى الحلق خلاف، والأقرب عندي أنّه غير مفسد للصوم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في الشرائع لم يقيّد الغبار بكونه غليظاً، وقد صرّح الأكثر بالتقييد، وهو غير بعيد؛ قصراً للحكم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الوقوف في الغبرة مختاراً لا يوجب القضاء خلافاً لأبي الصلاح، 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المتأخّرين ألحقوا بالغبار الدخان الغليظ الذي يحصل منه أجزاء، ويتعدّى إلى الحلق كبخار القدر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بعضهم، وهو حَسن</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المفاتيح</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الإمساك عن إيصال الغبار إلى الحلق؟ المشهور ذلك مع وجوب القضاء والكفارة به استناداً إلى رواية ضعيفة مقطوعة تدلّ على وجوبهما بتعمد المضمضة والاستنشاق أيضاً، مع أنّه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قيّده بالغليظ، ومنهم من أوجب به القضاء خاصّة، وفي المعتبر توقف في الحكم،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كالأكل والشرب، ولا كابتلاع الحصى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قول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عدم الإفساد بذلك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يتدخن بعود أو بغير ذلك، فتدخل الدخنة في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الصائم يدخل الغبار في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صريحٌ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والإرتماس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المناهج السويّة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كونه صفة للغبار وللإيصال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المراد به المتعدي عن الاعتدال أو عن العادة – أي الغليظ بالنسبة إلى الغبار الذي لا يخلو عنه الهواء عادة ولم يسمّ غباراً عرفاً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التعدّي إلى الحلق، والأول أولى معنى كما أنّ الثاني أظهر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والجار في متعلّق الشارح يحتمل التعلق بالمتعدّي والإيصال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أولى لئلا يتعيّن حمل المتعدّي على 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العدول عن الوصول إلى الإيصال كما هو لفظ عبارة المصنّف وسائر الأصحاب إيهام عدم وجوب الاحتراز عنه، وأنّه لا يفسد الصوم بتمكينه من الوصول إلى الحلق، والظاهر أنّهم يدخلونه في الإيصال، ولعلهم إنّما اختاروه احترازاً عن الوصول بلا اختيار، وليكون صريحاً في فعل التكلّف كسائر ما اعتبر الكفّ عنه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إيصال الغبار 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غليظاً كان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يعطيه إطلاق الشرائع، والتلخيص، والتبصرة، كان للإيصال أو الغبار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محلَّل كدقيق وغيره كتراب، وتقييده بالغليظ في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الدروس لا وجه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الغبار المتعدّي إلى الحلق نوع من المتناولات وإنْ كان غير معتاد، فيحرم ويفسد الصوم، ويجب به الكفارة </w:t>
      </w:r>
    </w:p>
    <w:p>
      <w:pPr>
        <w:pStyle w:val="BookText"/>
        <w:rPr/>
      </w:pPr>
      <w:r>
        <w:rPr>
          <w:rFonts w:ascii="Amiri" w:hAnsi="Amiri" w:eastAsia="Amiri" w:cs="Amiri"/>
          <w:color w:val="111111"/>
          <w:sz w:val="28"/>
          <w:sz w:val="28"/>
          <w:szCs w:val="28"/>
          <w:rtl w:val="true"/>
          <w:lang w:bidi="ar-SA"/>
        </w:rPr>
        <w:t>سواء في ذلك الغليظ والرقيق، بل الحكم فيه أغلظ من تناول المأكول إذا كان ما يحرم تناوله كذا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بأنّ المراد بالغليظ ما يسمى بالغبار عرفاً، وهو ما زاد عن الذي لا يخلو عنه الهواء فلا خلاف بين المطلق والمقيّد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الحلق مخرج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لإطباقهم على كونه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وإفساد الغبار ممّا ذكره الشيخ في كتبه، وقال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تضمّنته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وتبعه عليه الأكثر، ونسبه في التذكرة إلى علمائنا، وادعى عليه ابن زهرة الإجماع، إلّا أنّه عبّر بالشمّ الموجب لوصول شيء إلى الجوف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عليه مع ما حكيناه عن المسالك رواية سليمان بن جعفر المروزي،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شمَّ رائحة غليظة، أو كنس بيتاً، فدخل في أنفه وحلقه غبار فإنّ ذلك له فُطر مثل الأكل والشرب والنكاح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دلَّ من الأخبار على إفساد الكُحل إذا وجد طعمه كصحيحة الحلبي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الرجل يكتحل وهو صائم؟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إنّي أتخوف أنْ يدخل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وصحيحة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سأله عن المرأة تكتحل وهي صائمة،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يكن كحلاً تجد له طعماً في حلقها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يذكره جماعة من الأصحاب منهم الصدوق، وعلم الهدى، وسلّار، والشيخ في المصباح، وفي المعتبر ذكر الرواية الأولى،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فيها ضعف؛ لأنّا لا نعلم القائل، وليس الغبار كالأكل والشرب، ولا كابتلاع الحصى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العدم مع ما مرَّ من صحيحة محمد بن مسلم؛ لأنّ الغبار لا يسمّى في العرف طعاماً ولا شراباً للأصل، ورواية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عن الصائم يتدخن بعود أو بغير ذلك، فتدخل الدخنة في حلقه؟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يبطل حكمها مع قيام الدليل المخرج منها وقد بيّناه، وعمرو بن سعيد وإنْ كان ثقة إلّا أنّ فيه قولاً، ومع ذلك فالرواية نقول بموجبها؛ لأنّ مطلق الغبار لا ينقض، وإنّما الناقض هو الغبار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الغبار الغليظ إذا دخل اتفاقاً لا عن قصد ولا تعمّد للكون في مكانه لا ينقض، ولم يتضمّن السؤال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ويجتنب الصائم الرائحة الغليظة والغبرة التي تصل إلى الحلق، فإنَّ ذلك نقض في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مكان فيه غبرة كثيرة، أو رائحة غليظة، فدخل حلقه من ذلك شيء لم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في غبرة مختاراً فعليه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غبار النفض فالذي يقوى في نفسي أنّه يوجب القضاء دون الكفارة إذا تعمّد الكون في تلك البقعة من غير ضرورة، فأمّا إذا كان مضطراً إلى الكون في تلك البقعة، وتحفّظ، واحتاط في التحفّظ، فلا شيء عليه من قضاء وغيره</w:t>
      </w:r>
      <w:r>
        <w:rPr>
          <w:rFonts w:eastAsia="Amiri" w:cs="Amiri" w:ascii="Amiri" w:hAnsi="Amiri"/>
          <w:color w:val="111111"/>
          <w:sz w:val="28"/>
          <w:szCs w:val="28"/>
          <w:rtl w:val="true"/>
          <w:lang w:bidi="ar-SA"/>
        </w:rPr>
        <w:t>)</w:t>
      </w:r>
      <w:r>
        <w:rPr>
          <w:rStyle w:val="FootnoteAnchor"/>
          <w:rtl w:val="true"/>
        </w:rPr>
        <w:footnoteReference w:id="3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المناهج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والجزائري في غاية المرام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وجوب القضاء والكفارة بدخول الغبار في الأنف والحلق إلى الشيخ ومتابعيه،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شمّ ما له رائحة غليظة كالدخان وبخار القدر فقد ألحقه عامّة المتأخّرين بالغبار الغليظ</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كلام صاحب غاية المرام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دلالة كلام القوم على مفطرية التدخين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في بيان دلالة كلام من سلف من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الإغماض عمّا يرد على كثير منهم ممّا لا يتوقف صحّته وفساده على ما نحن بصدده –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المفيد</w:t>
      </w:r>
      <w:r>
        <w:rPr>
          <w:rStyle w:val="FootnoteAnchor"/>
          <w:rtl w:val="true"/>
        </w:rPr>
        <w:footnoteReference w:id="342"/>
      </w:r>
      <w:r>
        <w:rPr>
          <w:rFonts w:ascii="Amiri" w:hAnsi="Amiri" w:eastAsia="Amiri" w:cs="Amiri"/>
          <w:color w:val="111111"/>
          <w:sz w:val="28"/>
          <w:sz w:val="28"/>
          <w:szCs w:val="28"/>
          <w:rtl w:val="true"/>
          <w:lang w:bidi="ar-SA"/>
        </w:rPr>
        <w:t>أنْ يوجب القضاء بالدخان كدخان الغليان</w:t>
      </w:r>
      <w:r>
        <w:rPr>
          <w:rStyle w:val="FootnoteAnchor"/>
          <w:rtl w:val="true"/>
        </w:rPr>
        <w:footnoteReference w:id="343"/>
      </w:r>
      <w:r>
        <w:rPr>
          <w:rFonts w:ascii="Amiri" w:hAnsi="Amiri" w:eastAsia="Amiri" w:cs="Amiri"/>
          <w:color w:val="111111"/>
          <w:sz w:val="28"/>
          <w:sz w:val="28"/>
          <w:szCs w:val="28"/>
          <w:rtl w:val="true"/>
          <w:lang w:bidi="ar-SA"/>
        </w:rPr>
        <w:t>بالفحوى؛ لحكمه بالقضاء بالرائحة الغليظة، كما يلزم حكمه به إذا كان الدخان غليظاً بالفحوى لحكمه بالقضاء بالغبرة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يتبيَّن وجه الدلالة</w:t>
      </w:r>
      <w:r>
        <w:rPr>
          <w:rStyle w:val="FootnoteAnchor"/>
          <w:rtl w:val="true"/>
        </w:rPr>
        <w:footnoteReference w:id="344"/>
      </w:r>
      <w:r>
        <w:rPr>
          <w:rFonts w:ascii="Amiri" w:hAnsi="Amiri" w:eastAsia="Amiri" w:cs="Amiri"/>
          <w:color w:val="111111"/>
          <w:sz w:val="28"/>
          <w:sz w:val="28"/>
          <w:szCs w:val="28"/>
          <w:rtl w:val="true"/>
          <w:lang w:bidi="ar-SA"/>
        </w:rPr>
        <w:t>في كلام أبي الصلاح</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على الشيخ في الخلاف</w:t>
      </w:r>
      <w:r>
        <w:rPr>
          <w:rStyle w:val="FootnoteAnchor"/>
          <w:rtl w:val="true"/>
        </w:rPr>
        <w:footnoteReference w:id="346"/>
      </w:r>
      <w:r>
        <w:rPr>
          <w:rFonts w:ascii="Amiri" w:hAnsi="Amiri" w:eastAsia="Amiri" w:cs="Amiri"/>
          <w:color w:val="111111"/>
          <w:sz w:val="28"/>
          <w:sz w:val="28"/>
          <w:szCs w:val="28"/>
          <w:rtl w:val="true"/>
          <w:lang w:bidi="ar-SA"/>
        </w:rPr>
        <w:t xml:space="preserve">– نظراً إلى ما علّل حرمة الغبار به – أنْ يقول بحرمة شرب الغليان،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ما قلنا تبرء الذمة بيقين، وفي الخلاف به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ثلة منّا أفتوا بلزوم الإمساك عنه صريحاً</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هو 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منه القضاء والكفارة</w:t>
      </w:r>
      <w:r>
        <w:rPr>
          <w:rStyle w:val="FootnoteAnchor"/>
          <w:rtl w:val="true"/>
        </w:rPr>
        <w:footnoteReference w:id="350"/>
      </w:r>
      <w:r>
        <w:rPr>
          <w:rFonts w:ascii="Amiri" w:hAnsi="Amiri" w:eastAsia="Amiri" w:cs="Amiri"/>
          <w:color w:val="111111"/>
          <w:sz w:val="28"/>
          <w:sz w:val="28"/>
          <w:szCs w:val="28"/>
          <w:rtl w:val="true"/>
          <w:lang w:bidi="ar-SA"/>
        </w:rPr>
        <w:t>في الدخان</w:t>
      </w:r>
      <w:r>
        <w:rPr>
          <w:rStyle w:val="FootnoteAnchor"/>
          <w:rtl w:val="true"/>
        </w:rPr>
        <w:footnoteReference w:id="35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الدخان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يرتبط بما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عبارة النهاية بعد عبارة الخلاف ولم يشر إليها فيما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يرتبط بما تقدّم، وإنّما يرتبط ويتناسب مع كلامه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لا يرتبط بما تقدّم فلأنّ تسرية الحرمة هناك من الغبار لا الرائحة الغليظة، ومن خلال علّة الحرمة في الغبار – أعني وجود الخلاف، وأنّ المطلوب اليقين ببراءة الذمة، فحيث إنّ في المقام خلافاً أيضاً لزم تحصيل اليقين والقضاء والكفارة –في حين أنّ التسرية في الثاني من الرائحة الغليظة لا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سيّما من غليظه، ومنه دخان الغليان؛ فإنّ الأجزاء التي بها يُنقض الصوم فيه أكثر ممّا في الرائحة الغليظة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وبمثله يلزم أنْ يكون حرمته على الصائم متفقاً عليها عند صاحب الوسيلة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يلزم على الحلبي</w:t>
      </w:r>
      <w:r>
        <w:rPr>
          <w:rStyle w:val="FootnoteAnchor"/>
          <w:rtl w:val="true"/>
        </w:rPr>
        <w:footnoteReference w:id="352"/>
      </w:r>
      <w:r>
        <w:rPr>
          <w:rFonts w:ascii="Amiri" w:hAnsi="Amiri" w:eastAsia="Amiri" w:cs="Amiri"/>
          <w:color w:val="111111"/>
          <w:sz w:val="28"/>
          <w:sz w:val="28"/>
          <w:szCs w:val="28"/>
          <w:rtl w:val="true"/>
          <w:lang w:bidi="ar-SA"/>
        </w:rPr>
        <w:t xml:space="preserve">أنْ يكون الدخان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كدخان الغليان</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متفقاً عليه </w:t>
      </w:r>
    </w:p>
    <w:p>
      <w:pPr>
        <w:pStyle w:val="BookText"/>
        <w:rPr/>
      </w:pPr>
      <w:r>
        <w:rPr>
          <w:rFonts w:ascii="Amiri" w:hAnsi="Amiri" w:eastAsia="Amiri" w:cs="Amiri"/>
          <w:color w:val="111111"/>
          <w:sz w:val="28"/>
          <w:sz w:val="28"/>
          <w:szCs w:val="28"/>
          <w:rtl w:val="true"/>
          <w:lang w:bidi="ar-SA"/>
        </w:rPr>
        <w:t>حرمة، فإنّه ادّعى الإجماع على القضاء بمطلق الغبار، وبفحواه يلزم حرمة الغليان الغليظ كما سمعت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يلزم على كلام أبي المكارم في الغنية مطلقاً</w:t>
      </w:r>
      <w:r>
        <w:rPr>
          <w:rStyle w:val="FootnoteAnchor"/>
          <w:rtl w:val="true"/>
        </w:rPr>
        <w:footnoteReference w:id="355"/>
      </w:r>
      <w:r>
        <w:rPr>
          <w:rFonts w:ascii="Amiri" w:hAnsi="Amiri" w:eastAsia="Amiri" w:cs="Amiri"/>
          <w:color w:val="111111"/>
          <w:sz w:val="28"/>
          <w:sz w:val="28"/>
          <w:szCs w:val="28"/>
          <w:rtl w:val="true"/>
          <w:lang w:bidi="ar-SA"/>
        </w:rPr>
        <w:t>نظراً إلى ادعائه الإجماع على لزوم القضاء والكفارة بما يصل إلى جوف الصائم، ولا ريب في شموله لدخان الغليان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يلزم القضاء والكفارة بالدخان الغليظ على صاحب الجامع</w:t>
      </w:r>
      <w:r>
        <w:rPr>
          <w:rStyle w:val="FootnoteAnchor"/>
          <w:rtl w:val="true"/>
        </w:rPr>
        <w:footnoteReference w:id="356"/>
      </w:r>
      <w:r>
        <w:rPr>
          <w:rFonts w:ascii="IRNazanin" w:hAnsi="IRNazanin" w:eastAsia="IRNazanin"/>
          <w:color w:val="111111"/>
          <w:sz w:val="28"/>
          <w:sz w:val="28"/>
          <w:szCs w:val="28"/>
          <w:rtl w:val="true"/>
          <w:lang w:bidi="fa-IR"/>
        </w:rPr>
        <w:t>، والمعالم</w:t>
      </w:r>
      <w:r>
        <w:rPr>
          <w:rStyle w:val="FootnoteAnchor"/>
          <w:rtl w:val="true"/>
        </w:rPr>
        <w:footnoteReference w:id="357"/>
      </w:r>
      <w:r>
        <w:rPr>
          <w:rFonts w:ascii="Amiri" w:hAnsi="Amiri" w:eastAsia="Amiri" w:cs="Amiri"/>
          <w:color w:val="111111"/>
          <w:sz w:val="28"/>
          <w:sz w:val="28"/>
          <w:szCs w:val="28"/>
          <w:rtl w:val="true"/>
          <w:lang w:bidi="ar-SA"/>
        </w:rPr>
        <w:t>بالفحوى، حيث حكمَ الأول بلزومهما بمطلق غبار النفض وشبهه، والثاني بمطلق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على المحقق في مختصرَيه</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العلامة في نهج الحق</w:t>
      </w:r>
      <w:r>
        <w:rPr>
          <w:rStyle w:val="FootnoteAnchor"/>
          <w:rtl w:val="true"/>
        </w:rPr>
        <w:footnoteReference w:id="359"/>
      </w:r>
      <w:r>
        <w:rPr>
          <w:rFonts w:ascii="Amiri" w:hAnsi="Amiri" w:eastAsia="Amiri" w:cs="Amiri"/>
          <w:color w:val="111111"/>
          <w:sz w:val="28"/>
          <w:sz w:val="28"/>
          <w:szCs w:val="28"/>
          <w:rtl w:val="true"/>
          <w:lang w:bidi="ar-SA"/>
        </w:rPr>
        <w:t xml:space="preserve">أنْ يقول بإيجاب الدخان الغليظ – ولو من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والكفارة، نظراً إلى عدّه الغبار الغليظ مفطراً، وعلّل الحكم بالنصّ الدال على إيجاب الكفارة بالإفطار، ومعلوم أنّ بدخول الغبار الغليظ في الحلق لو صدق الإفطار، لصدق بدخول الدخان الغليظ فيه، فإنّ أحداً لا يعقل أن يفرّق بينهما في ذلك، ولا سيّما كلامه</w:t>
      </w:r>
      <w:r>
        <w:rPr>
          <w:rStyle w:val="FootnoteAnchor"/>
          <w:rtl w:val="true"/>
        </w:rPr>
        <w:footnoteReference w:id="360"/>
      </w:r>
      <w:r>
        <w:rPr>
          <w:rFonts w:ascii="Amiri" w:hAnsi="Amiri" w:eastAsia="Amiri" w:cs="Amiri"/>
          <w:color w:val="111111"/>
          <w:sz w:val="28"/>
          <w:sz w:val="28"/>
          <w:szCs w:val="28"/>
          <w:rtl w:val="true"/>
          <w:lang w:bidi="ar-SA"/>
        </w:rPr>
        <w:t xml:space="preserve">يعمّ لغبار الدقيق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أجزاءه </w:t>
      </w:r>
    </w:p>
    <w:p>
      <w:pPr>
        <w:pStyle w:val="BookText"/>
        <w:rPr/>
      </w:pPr>
      <w:r>
        <w:rPr>
          <w:rFonts w:ascii="Amiri" w:hAnsi="Amiri" w:eastAsia="Amiri" w:cs="Amiri"/>
          <w:color w:val="111111"/>
          <w:sz w:val="28"/>
          <w:sz w:val="28"/>
          <w:szCs w:val="28"/>
          <w:rtl w:val="true"/>
          <w:lang w:bidi="ar-SA"/>
        </w:rPr>
        <w:t>حلال دون أجزاء الدخان، فبالفحوى يعمّ حكمه للدخان في الجملة، ولا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مرَّ</w:t>
      </w:r>
      <w:r>
        <w:rPr>
          <w:rStyle w:val="FootnoteAnchor"/>
          <w:rtl w:val="true"/>
        </w:rPr>
        <w:footnoteReference w:id="362"/>
      </w:r>
      <w:r>
        <w:rPr>
          <w:rFonts w:ascii="Amiri" w:hAnsi="Amiri" w:eastAsia="Amiri" w:cs="Amiri"/>
          <w:color w:val="111111"/>
          <w:sz w:val="28"/>
          <w:sz w:val="28"/>
          <w:szCs w:val="28"/>
          <w:rtl w:val="true"/>
          <w:lang w:bidi="ar-SA"/>
        </w:rPr>
        <w:t xml:space="preserve">تتبيَّن دلالة كلامه في المختلف على لزوم القضاء والكفارة بالدخان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كدخان 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غليظاً</w:t>
      </w:r>
      <w:r>
        <w:rPr>
          <w:rStyle w:val="FootnoteAnchor"/>
          <w:rtl w:val="true"/>
        </w:rPr>
        <w:footnoteReference w:id="363"/>
      </w:r>
      <w:r>
        <w:rPr>
          <w:rFonts w:ascii="Amiri" w:hAnsi="Amiri" w:eastAsia="Amiri" w:cs="Amiri"/>
          <w:color w:val="111111"/>
          <w:sz w:val="28"/>
          <w:sz w:val="28"/>
          <w:szCs w:val="28"/>
          <w:rtl w:val="true"/>
          <w:lang w:bidi="ar-SA"/>
        </w:rPr>
        <w:t>بالفحوى، مع عدم القائل بالفصل، على أنّ تعليله في مطلق الغبار يعمّه؛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ولأنّا بيّنا أنّ ازدراد كل ما لا يعتاد يوجب القضاء والكفارة، فكذا الغبار</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 وهو يعمّ مطلق الدخان، وإنْ كان في تعليله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ككلام كثير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شتى إلّا أنّ كلامنا لا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صرّح بإلحاق الدخان بالغبار ممّن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w:t>
      </w:r>
      <w:r>
        <w:rPr>
          <w:rStyle w:val="FootnoteAnchor"/>
          <w:rtl w:val="true"/>
        </w:rPr>
        <w:footnoteReference w:id="365"/>
      </w:r>
      <w:r>
        <w:rPr>
          <w:rFonts w:ascii="IRNazanin" w:hAnsi="IRNazanin" w:eastAsia="IRNazanin"/>
          <w:color w:val="111111"/>
          <w:sz w:val="28"/>
          <w:sz w:val="28"/>
          <w:szCs w:val="28"/>
          <w:rtl w:val="true"/>
          <w:lang w:bidi="fa-IR"/>
        </w:rPr>
        <w:t>، وابنه</w:t>
      </w:r>
      <w:r>
        <w:rPr>
          <w:rStyle w:val="FootnoteAnchor"/>
          <w:rtl w:val="true"/>
        </w:rPr>
        <w:footnoteReference w:id="366"/>
      </w:r>
      <w:r>
        <w:rPr>
          <w:rFonts w:ascii="Amiri" w:hAnsi="Amiri" w:eastAsia="Amiri" w:cs="Amiri"/>
          <w:color w:val="111111"/>
          <w:sz w:val="28"/>
          <w:sz w:val="28"/>
          <w:szCs w:val="28"/>
          <w:rtl w:val="true"/>
          <w:lang w:bidi="ar-SA"/>
        </w:rPr>
        <w:t>، والشهيد الثاني</w:t>
      </w:r>
      <w:r>
        <w:rPr>
          <w:rStyle w:val="FootnoteAnchor"/>
          <w:rtl w:val="true"/>
        </w:rPr>
        <w:footnoteReference w:id="367"/>
      </w:r>
      <w:r>
        <w:rPr>
          <w:rFonts w:ascii="Amiri" w:hAnsi="Amiri" w:eastAsia="Amiri" w:cs="Amiri"/>
          <w:color w:val="111111"/>
          <w:sz w:val="28"/>
          <w:sz w:val="28"/>
          <w:szCs w:val="28"/>
          <w:rtl w:val="true"/>
          <w:lang w:bidi="ar-SA"/>
        </w:rPr>
        <w:t>، والشيخ البهائي</w:t>
      </w:r>
      <w:r>
        <w:rPr>
          <w:rStyle w:val="FootnoteAnchor"/>
          <w:rtl w:val="true"/>
        </w:rPr>
        <w:footnoteReference w:id="368"/>
      </w:r>
      <w:r>
        <w:rPr>
          <w:rFonts w:ascii="Amiri" w:hAnsi="Amiri" w:eastAsia="Amiri" w:cs="Amiri"/>
          <w:color w:val="111111"/>
          <w:sz w:val="28"/>
          <w:sz w:val="28"/>
          <w:szCs w:val="28"/>
          <w:rtl w:val="true"/>
          <w:lang w:bidi="ar-SA"/>
        </w:rPr>
        <w:t>، ونسب في المدارك الإلحاق إلى المتأخّرين</w:t>
      </w:r>
      <w:r>
        <w:rPr>
          <w:rStyle w:val="FootnoteAnchor"/>
          <w:rtl w:val="true"/>
        </w:rPr>
        <w:footnoteReference w:id="3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كالجزائري</w:t>
      </w:r>
      <w:r>
        <w:rPr>
          <w:rStyle w:val="FootnoteAnchor"/>
          <w:rtl w:val="true"/>
        </w:rPr>
        <w:footnoteReference w:id="370"/>
      </w:r>
      <w:r>
        <w:rPr>
          <w:rFonts w:ascii="Amiri" w:hAnsi="Amiri" w:eastAsia="Amiri" w:cs="Amiri"/>
          <w:color w:val="111111"/>
          <w:sz w:val="28"/>
          <w:sz w:val="28"/>
          <w:szCs w:val="28"/>
          <w:rtl w:val="true"/>
          <w:lang w:bidi="ar-SA"/>
        </w:rPr>
        <w:t>، وفي الذخيرة</w:t>
      </w:r>
      <w:r>
        <w:rPr>
          <w:rStyle w:val="FootnoteAnchor"/>
          <w:rtl w:val="true"/>
        </w:rPr>
        <w:footnoteReference w:id="371"/>
      </w:r>
      <w:r>
        <w:rPr>
          <w:rFonts w:ascii="Amiri" w:hAnsi="Amiri" w:eastAsia="Amiri" w:cs="Amiri"/>
          <w:color w:val="111111"/>
          <w:sz w:val="28"/>
          <w:sz w:val="28"/>
          <w:szCs w:val="28"/>
          <w:rtl w:val="true"/>
          <w:lang w:bidi="ar-SA"/>
        </w:rPr>
        <w:t>، والكفاية</w:t>
      </w:r>
      <w:r>
        <w:rPr>
          <w:rStyle w:val="FootnoteAnchor"/>
          <w:rtl w:val="true"/>
        </w:rPr>
        <w:footnoteReference w:id="372"/>
      </w:r>
      <w:r>
        <w:rPr>
          <w:rFonts w:ascii="Amiri" w:hAnsi="Amiri" w:eastAsia="Amiri" w:cs="Amiri"/>
          <w:color w:val="111111"/>
          <w:sz w:val="28"/>
          <w:sz w:val="28"/>
          <w:szCs w:val="28"/>
          <w:rtl w:val="true"/>
          <w:lang w:bidi="ar-SA"/>
        </w:rPr>
        <w:t>إلى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والمخالفُ السيوري</w:t>
      </w:r>
      <w:r>
        <w:rPr>
          <w:rStyle w:val="FootnoteAnchor"/>
          <w:rtl w:val="true"/>
        </w:rPr>
        <w:footnoteReference w:id="373"/>
      </w:r>
      <w:r>
        <w:rPr>
          <w:rFonts w:ascii="Amiri" w:hAnsi="Amiri" w:eastAsia="Amiri" w:cs="Amiri"/>
          <w:color w:val="111111"/>
          <w:sz w:val="28"/>
          <w:sz w:val="28"/>
          <w:szCs w:val="28"/>
          <w:rtl w:val="true"/>
          <w:lang w:bidi="ar-SA"/>
        </w:rPr>
        <w:t>، وصاحب المدارك</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والذخيرة</w:t>
      </w:r>
      <w:r>
        <w:rPr>
          <w:rStyle w:val="FootnoteAnchor"/>
          <w:rtl w:val="true"/>
        </w:rPr>
        <w:footnoteReference w:id="375"/>
      </w:r>
      <w:r>
        <w:rPr>
          <w:rFonts w:ascii="IRNazanin" w:hAnsi="IRNazanin" w:eastAsia="IRNazanin"/>
          <w:color w:val="111111"/>
          <w:sz w:val="28"/>
          <w:sz w:val="28"/>
          <w:szCs w:val="28"/>
          <w:rtl w:val="true"/>
          <w:lang w:bidi="fa-IR"/>
        </w:rPr>
        <w:t>، وهو ظاهر المقدّس</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والمتوقّفُ الصيمري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دعوى الإجماع على عدم المفطريّة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ما مرَّ بانَ أنّ مِن العجب أنْ يدّعي أحد الإجماعَ على عدم حرمة إدخال دخان الغليان في الحلق وعدم إفساده، وهل يصدر ذلك إلاَّ من غافل، أو خارج عن أهل الفن،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القول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على لزوم الاجتناب ووجوب القضاء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لزوم الاجتناب في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دخان الغليان والشطب</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w:t>
      </w:r>
    </w:p>
    <w:p>
      <w:pPr>
        <w:pStyle w:val="BookText"/>
        <w:rPr/>
      </w:pPr>
      <w:r>
        <w:rPr>
          <w:rFonts w:ascii="Amiri" w:hAnsi="Amiri" w:eastAsia="Amiri" w:cs="Amiri"/>
          <w:color w:val="111111"/>
          <w:sz w:val="28"/>
          <w:sz w:val="28"/>
          <w:szCs w:val="28"/>
          <w:rtl w:val="true"/>
          <w:lang w:bidi="ar-SA"/>
        </w:rPr>
        <w:t>مرَّ من ظهور الإجماع من الشيخ</w:t>
      </w:r>
      <w:r>
        <w:rPr>
          <w:rStyle w:val="FootnoteAnchor"/>
          <w:rtl w:val="true"/>
        </w:rPr>
        <w:footnoteReference w:id="380"/>
      </w:r>
      <w:r>
        <w:rPr>
          <w:rFonts w:ascii="Amiri" w:hAnsi="Amiri" w:eastAsia="Amiri" w:cs="Amiri"/>
          <w:color w:val="111111"/>
          <w:sz w:val="28"/>
          <w:sz w:val="28"/>
          <w:szCs w:val="28"/>
          <w:rtl w:val="true"/>
          <w:lang w:bidi="ar-SA"/>
        </w:rPr>
        <w:t>، وابني حمزة وإدريس</w:t>
      </w:r>
      <w:r>
        <w:rPr>
          <w:rStyle w:val="FootnoteAnchor"/>
          <w:rtl w:val="true"/>
        </w:rPr>
        <w:footnoteReference w:id="381"/>
      </w:r>
      <w:r>
        <w:rPr>
          <w:rFonts w:ascii="Amiri" w:hAnsi="Amiri" w:eastAsia="Amiri" w:cs="Amiri"/>
          <w:color w:val="111111"/>
          <w:sz w:val="28"/>
          <w:sz w:val="28"/>
          <w:szCs w:val="28"/>
          <w:rtl w:val="true"/>
          <w:lang w:bidi="ar-SA"/>
        </w:rPr>
        <w:t>، وصريح الغنية</w:t>
      </w:r>
      <w:r>
        <w:rPr>
          <w:rStyle w:val="FootnoteAnchor"/>
          <w:rtl w:val="true"/>
        </w:rPr>
        <w:footnoteReference w:id="382"/>
      </w:r>
      <w:r>
        <w:rPr>
          <w:rFonts w:ascii="Amiri" w:hAnsi="Amiri" w:eastAsia="Amiri" w:cs="Amiri"/>
          <w:color w:val="111111"/>
          <w:sz w:val="28"/>
          <w:sz w:val="28"/>
          <w:szCs w:val="28"/>
          <w:rtl w:val="true"/>
          <w:lang w:bidi="ar-SA"/>
        </w:rPr>
        <w:t>عموماً</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الاشتغال، والسيرة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مَنْْ اطلع على حال أهل الإسلام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إلزامهم كافّة على تركه في بلادهم ومجالسهم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والخاصّة، والعرب والعجم والروم</w:t>
      </w:r>
      <w:r>
        <w:rPr>
          <w:rStyle w:val="FootnoteAnchor"/>
          <w:rtl w:val="true"/>
        </w:rPr>
        <w:footnoteReference w:id="384"/>
      </w:r>
      <w:r>
        <w:rPr>
          <w:rFonts w:ascii="Amiri" w:hAnsi="Amiri" w:eastAsia="Amiri" w:cs="Amiri"/>
          <w:color w:val="111111"/>
          <w:sz w:val="28"/>
          <w:sz w:val="28"/>
          <w:szCs w:val="28"/>
          <w:rtl w:val="true"/>
          <w:lang w:bidi="ar-SA"/>
        </w:rPr>
        <w:t>بأصنافهم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السلاطين، والأمراء</w:t>
      </w:r>
      <w:r>
        <w:rPr>
          <w:rStyle w:val="FootnoteAnchor"/>
          <w:rtl w:val="true"/>
        </w:rPr>
        <w:footnoteReference w:id="385"/>
      </w:r>
      <w:r>
        <w:rPr>
          <w:rFonts w:ascii="Amiri" w:hAnsi="Amiri" w:eastAsia="Amiri" w:cs="Amiri"/>
          <w:color w:val="111111"/>
          <w:sz w:val="28"/>
          <w:sz w:val="28"/>
          <w:szCs w:val="28"/>
          <w:rtl w:val="true"/>
          <w:lang w:bidi="ar-SA"/>
        </w:rPr>
        <w:t>، والتّجار، والكسبة، وكلّ مَنْ كان داخلاً فيهم، وبين ظهرانيهم، وبلغت</w:t>
      </w:r>
      <w:r>
        <w:rPr>
          <w:rStyle w:val="FootnoteAnchor"/>
          <w:rtl w:val="true"/>
        </w:rPr>
        <w:footnoteReference w:id="386"/>
      </w:r>
      <w:r>
        <w:rPr>
          <w:rFonts w:ascii="Amiri" w:hAnsi="Amiri" w:eastAsia="Amiri" w:cs="Amiri"/>
          <w:color w:val="111111"/>
          <w:sz w:val="28"/>
          <w:sz w:val="28"/>
          <w:szCs w:val="28"/>
          <w:rtl w:val="true"/>
          <w:lang w:bidi="ar-SA"/>
        </w:rPr>
        <w:t>صيتُ الإسلام إليهم وأحكامه، حتى أهل القرى، والبوادي، والمزارع، حتى المميّز منهم، قديماً وحديثاً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 يسمع من أحد في عصر من الأعصار، أو صقع من الأصقاع ارتكابه مدّعياً أنّه غير مفسد، من المجتهدين ولا من الإخباريين ولا ممّن تبعهما، وإنْ غفل عنهما مَن غفل</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أنّ السيرة من الحجج القويّة القطعية بلا شك وارتياب، وفوق الإجماع لاختصاصه بمن حَصَّل العلم منهم</w:t>
      </w:r>
      <w:r>
        <w:rPr>
          <w:rStyle w:val="FootnoteAnchor"/>
          <w:rtl w:val="true"/>
        </w:rPr>
        <w:footnoteReference w:id="388"/>
      </w:r>
      <w:r>
        <w:rPr>
          <w:rFonts w:ascii="Amiri" w:hAnsi="Amiri" w:eastAsia="Amiri" w:cs="Amiri"/>
          <w:color w:val="111111"/>
          <w:sz w:val="28"/>
          <w:sz w:val="28"/>
          <w:szCs w:val="28"/>
          <w:rtl w:val="true"/>
          <w:lang w:bidi="ar-SA"/>
        </w:rPr>
        <w:t>من العلماء الأبرار، بخلافها فإنّها تعمّهم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وصحّةُ سلب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وأمّا بناءً على ما أثبتناه فحاصل الحجّة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سلب اسم الصائم عمّن شربهما، وإذا صحَّ سلبه فهذا يعني بعبارة أخرى أنّه ليس بصوم، وأنّ صورة الصوم وماهيته قد انمحتا فلم يأتِ بما هو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صفّق أثناء الصلاة أو أتى بما هو ماحٍ لصورتها، فإنّها حينئذٍ لا تقع صحيحة بسبب أنّه أتى بما هو ماحٍ لصورتها، ولذا صحَّ سلب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الوضوء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هو الفارق بين الصلاة والوضوء وما في حكمهما وبين الصوم كي يفرّق في الحكم؟</w:t>
      </w:r>
    </w:p>
    <w:p>
      <w:pPr>
        <w:pStyle w:val="BookText"/>
        <w:rPr/>
      </w:pPr>
      <w:r>
        <w:rPr>
          <w:rFonts w:ascii="Amiri" w:hAnsi="Amiri" w:eastAsia="Amiri" w:cs="Amiri"/>
          <w:color w:val="111111"/>
          <w:sz w:val="28"/>
          <w:sz w:val="28"/>
          <w:szCs w:val="28"/>
          <w:rtl w:val="true"/>
          <w:lang w:bidi="ar-SA"/>
        </w:rPr>
        <w:t>وكلتا الحجّتين ذكرهما الميرزا محمد الهمداني الكاظمي في الأسلاك في حكم دخان التنباك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الأرجح – بل المتعيّن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الاحتمال الثاني، وأنّ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نسخة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الهداية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كتاب فقهي للمصنّف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للسيرة القاطعة في ترك الغليان والشطب من أهل الإسلام، وصحّة سلب الاسم عمّن شربهما عندهم على وجه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الشرب عليه بالاشتراك اللفظي، كما أشار إليه الميرزا الذي ذُكر آنفاً، وما هو مفسد الشرب بمعناه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يقاس قوةً باحتمال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لا يخفى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شرب الغليان أو الشطب عند أهل الشرع على وجه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عمّا رواه الشيخ عن سليمان بن جعفر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تمضمض الصائم في شهر رمضان، أو استنشق متعمّداً، أو شمَّ رائحة غليظة،أو كنس بيتاً، فدخل في أنفه وحلقه غبار، فعليه صوم شهرين متتابعين؛ فإنّ ذلك له فُطر مثل الأكل والشرب والنكاح</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الاعتراضات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مضمراً مشتملاً سنده على مجهول، ومتنه على ما لا يقول به أحد كإفساد الصوم بالمضمضة، والاستنشاق، وانحصار الكفارة في الشهرين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يضرّ شيء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 سنده على المجهول فلاعتماد الجلّ عليه، وهو من أقوى أسباب الاعتبار؛ إذ مع اختلاف مشاربهم في حجّية أخبار الآحاد، وعدم قائل منهم بحجّيتها مطلقاً يحصل بعملهم به ظنّ قويّ في غاية القوّة على أنّه كان يشتمل عندهم على أسباب الاعتبار، ولولا ظهور اعتباره في الغاية لما أمكن هذا القبول منهم عادة، وفيه الغنية كما حقّقناه في الإشارات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الإضمار فلأنّ الظاهرَ من الغلبة والشيوع، وديدنِهم من عدم نقل الفُتيا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تَلْوِ الأخبار</w:t>
      </w:r>
      <w:r>
        <w:rPr>
          <w:rStyle w:val="FootnoteAnchor"/>
          <w:rtl w:val="true"/>
        </w:rPr>
        <w:footnoteReference w:id="392"/>
      </w:r>
      <w:r>
        <w:rPr>
          <w:rFonts w:ascii="Amiri" w:hAnsi="Amiri" w:eastAsia="Amiri" w:cs="Amiri"/>
          <w:color w:val="111111"/>
          <w:sz w:val="28"/>
          <w:sz w:val="28"/>
          <w:szCs w:val="28"/>
          <w:rtl w:val="true"/>
          <w:lang w:bidi="ar-SA"/>
        </w:rPr>
        <w:t>كونُ المروي عنه الإمام، وحدوثه في الأكثر في كلامهم من تجزئة الأخبار، فالظن بما ذُكر وغيره، فما ذكرناه في الإشارات</w:t>
      </w:r>
      <w:r>
        <w:rPr>
          <w:rStyle w:val="FootnoteAnchor"/>
          <w:rtl w:val="true"/>
        </w:rPr>
        <w:footnoteReference w:id="393"/>
      </w:r>
      <w:r>
        <w:rPr>
          <w:rFonts w:ascii="Amiri" w:hAnsi="Amiri" w:eastAsia="Amiri" w:cs="Amiri"/>
          <w:color w:val="111111"/>
          <w:sz w:val="28"/>
          <w:sz w:val="28"/>
          <w:szCs w:val="28"/>
          <w:rtl w:val="true"/>
          <w:lang w:bidi="ar-SA"/>
        </w:rPr>
        <w:t>يحصل بإرجاع الضمير إلى المعصوم، وفيه الكفاية عرفاً، فليس مداره على حجّية الظنّ مطلقاً، بل إنّما هو على أنّ المرجع عرفاً على ما يظهر من كلام المتكلم، وهو حاصل، فهو حينئذٍ حجّة مطلقاً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اشتماله على ما لا نقول به فلا يرفع حجّية الخبر، وإلّا لزم من اشتماله مثله عدم حجّية كلام الراوي مطلقاً</w:t>
      </w:r>
      <w:r>
        <w:rPr>
          <w:rStyle w:val="FootnoteAnchor"/>
          <w:rtl w:val="true"/>
        </w:rPr>
        <w:footnoteReference w:id="395"/>
      </w:r>
      <w:r>
        <w:rPr>
          <w:rFonts w:ascii="IRNazanin" w:hAnsi="IRNazanin" w:eastAsia="IRNazanin"/>
          <w:color w:val="111111"/>
          <w:sz w:val="28"/>
          <w:sz w:val="28"/>
          <w:szCs w:val="28"/>
          <w:rtl w:val="true"/>
          <w:lang w:bidi="fa-IR"/>
        </w:rPr>
        <w:t>، وبطلانه ظاهر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الكلام حجّة بتمامه، فبرفع حجّية جزء منه لا يلزم عدم حجّية غيره، كالعام المخصَّص، بل حاله حاله بمقضى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يمكن أنْ يكون صدور ذلك الجزء من باب التقية، أو يكون من سهو الراوي، فلا ملازمة بين بطلان الجزء وبطلان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ولمّا كانت الرواية ضعفها أكثر</w:t>
      </w:r>
      <w:r>
        <w:rPr>
          <w:rStyle w:val="FootnoteAnchor"/>
          <w:rtl w:val="true"/>
        </w:rPr>
        <w:footnoteReference w:id="396"/>
      </w:r>
      <w:r>
        <w:rPr>
          <w:rFonts w:ascii="Amiri" w:hAnsi="Amiri" w:eastAsia="Amiri" w:cs="Amiri"/>
          <w:color w:val="111111"/>
          <w:sz w:val="28"/>
          <w:sz w:val="28"/>
          <w:szCs w:val="28"/>
          <w:rtl w:val="true"/>
          <w:lang w:bidi="ar-SA"/>
        </w:rPr>
        <w:t>، ومعارضها أكثر وأقوى</w:t>
      </w:r>
      <w:r>
        <w:rPr>
          <w:rStyle w:val="FootnoteAnchor"/>
          <w:rtl w:val="true"/>
        </w:rPr>
        <w:footnoteReference w:id="397"/>
      </w:r>
      <w:r>
        <w:rPr>
          <w:rFonts w:ascii="Amiri" w:hAnsi="Amiri" w:eastAsia="Amiri" w:cs="Amiri"/>
          <w:color w:val="111111"/>
          <w:sz w:val="28"/>
          <w:sz w:val="28"/>
          <w:szCs w:val="28"/>
          <w:rtl w:val="true"/>
          <w:lang w:bidi="ar-SA"/>
        </w:rPr>
        <w:t>، تصير أقوى بالعمل</w:t>
      </w:r>
      <w:r>
        <w:rPr>
          <w:rStyle w:val="FootnoteAnchor"/>
          <w:rtl w:val="true"/>
        </w:rPr>
        <w:footnoteReference w:id="398"/>
      </w:r>
      <w:r>
        <w:rPr>
          <w:rFonts w:ascii="Amiri" w:hAnsi="Amiri" w:eastAsia="Amiri" w:cs="Amiri"/>
          <w:color w:val="111111"/>
          <w:sz w:val="28"/>
          <w:sz w:val="28"/>
          <w:szCs w:val="28"/>
          <w:rtl w:val="true"/>
          <w:lang w:bidi="ar-SA"/>
        </w:rPr>
        <w:t>إذ بذلك يصير الإشتباه أبعد، فكلّما ظهر الفساد، ولم يعتنِ به أحد، قَويت حجّيتها، ويظهر</w:t>
      </w:r>
      <w:r>
        <w:rPr>
          <w:rStyle w:val="FootnoteAnchor"/>
          <w:rtl w:val="true"/>
        </w:rPr>
        <w:footnoteReference w:id="399"/>
      </w:r>
      <w:r>
        <w:rPr>
          <w:rFonts w:ascii="Amiri" w:hAnsi="Amiri" w:eastAsia="Amiri" w:cs="Amiri"/>
          <w:color w:val="111111"/>
          <w:sz w:val="28"/>
          <w:sz w:val="28"/>
          <w:szCs w:val="28"/>
          <w:rtl w:val="true"/>
          <w:lang w:bidi="ar-SA"/>
        </w:rPr>
        <w:t>أنّ الرواية معتمدة، لبُعدِ الاشتباه جداً في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للاستدلال بالرواية على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 الأول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الخبر يدلّ على حكم الدخان الغليظ الذي أجزاؤه أكثر من الغبار المحسوس بالفحوى، فإنّه لما دلَّ على الحكم بفساد الصوم بمطلق الغبار – لاشتماله على الأجزاء الصغار المفطر جنسها</w:t>
      </w:r>
      <w:r>
        <w:rPr>
          <w:rStyle w:val="FootnoteAnchor"/>
          <w:rtl w:val="true"/>
        </w:rPr>
        <w:footnoteReference w:id="400"/>
      </w:r>
      <w:r>
        <w:rPr>
          <w:rFonts w:ascii="Amiri" w:hAnsi="Amiri" w:eastAsia="Amiri" w:cs="Amiri"/>
          <w:color w:val="111111"/>
          <w:sz w:val="28"/>
          <w:sz w:val="28"/>
          <w:szCs w:val="28"/>
          <w:rtl w:val="true"/>
          <w:lang w:bidi="ar-SA"/>
        </w:rPr>
        <w:t>– فإذا كان ذلك أكثر في الدخان الغليظ فتدلّ على إفساده بالفحوى، ولا قائل بالفصل بين الغبار والدخان بإطلاق الأول وغلظة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يدلّ بوجه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غبار الدقيق لما كان بمقتضى النص مُفطراً – مع كون الدقيق حلالاً – فيكون الدخان – مع أنّ أجزاءه حرام – لكونه</w:t>
      </w:r>
      <w:r>
        <w:rPr>
          <w:rStyle w:val="FootnoteAnchor"/>
          <w:rtl w:val="true"/>
        </w:rPr>
        <w:footnoteReference w:id="401"/>
      </w:r>
      <w:r>
        <w:rPr>
          <w:rFonts w:ascii="Amiri" w:hAnsi="Amiri" w:eastAsia="Amiri" w:cs="Amiri"/>
          <w:color w:val="111111"/>
          <w:sz w:val="28"/>
          <w:sz w:val="28"/>
          <w:szCs w:val="28"/>
          <w:rtl w:val="true"/>
          <w:lang w:bidi="ar-SA"/>
        </w:rPr>
        <w:t>أرضيته محترقة من النباتات ونحوه وهو الرماد – مفطراً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يقرر الكلام في الدخان النجس كما سمعت</w:t>
      </w:r>
      <w:r>
        <w:rPr>
          <w:rStyle w:val="FootnoteAnchor"/>
          <w:rtl w:val="true"/>
        </w:rPr>
        <w:footnoteReference w:id="402"/>
      </w:r>
      <w:r>
        <w:rPr>
          <w:rFonts w:ascii="Amiri" w:hAnsi="Amiri" w:eastAsia="Amiri" w:cs="Amiri"/>
          <w:color w:val="111111"/>
          <w:sz w:val="28"/>
          <w:sz w:val="28"/>
          <w:szCs w:val="28"/>
          <w:rtl w:val="true"/>
          <w:lang w:bidi="ar-SA"/>
        </w:rPr>
        <w:t>، فيتمّ الدلالة فيه بالفحوى، وفي غيره 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على التقريب الثالث ورفعه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نعكس الأمر، ونُثبت عدم الحرمة في الشق الآخر بعدم القول بالفصل، فنحكم بالعموم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في الشق المقابل عدم الدلالة بخلاف 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فلا يمكن العكس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التقرير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يقرّر</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الدلالة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 له فطر مثل الأكل والشرب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الدخان، فإنّ المفهوم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الغبار لمّا اشتمل على أجزاء ينافي دخولها في الحلق صحّة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يستلزم العموم، فإنّ أجزاء الدخان نوع ومن أجزاء الغبار، فإنّ الغبار تارة من الرماد أو التراب </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فأجزاء الدخان لا يخرج من</w:t>
      </w:r>
      <w:r>
        <w:rPr>
          <w:rStyle w:val="FootnoteAnchor"/>
          <w:rtl w:val="true"/>
        </w:rPr>
        <w:footnoteReference w:id="405"/>
      </w:r>
      <w:r>
        <w:rPr>
          <w:rFonts w:ascii="Amiri" w:hAnsi="Amiri" w:eastAsia="Amiri" w:cs="Amiri"/>
          <w:color w:val="111111"/>
          <w:sz w:val="28"/>
          <w:sz w:val="28"/>
          <w:szCs w:val="28"/>
          <w:rtl w:val="true"/>
          <w:lang w:bidi="ar-SA"/>
        </w:rPr>
        <w:t>أجزاء الغبار، بل ربّما يصير أجزاء الدخان في الإفساد أقوى، كما لو كان الغبار من الدقيق والدخان من أي شيء كان – فإنّ أجزاء الدخان من الرماد المحرّم أكله – فيكون أولى بالفساد، كدخان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آخران غير ما قُرِّر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الغليظ إلى الحلق متعمداً مثل الدقيق، أو غبار النفض وما جرى مجراه على ما تضمّنته الروايات</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فهو يدلّ على كراهة الروايات في البناء</w:t>
      </w:r>
      <w:r>
        <w:rPr>
          <w:rStyle w:val="FootnoteAnchor"/>
          <w:rtl w:val="true"/>
        </w:rPr>
        <w:footnoteReference w:id="408"/>
      </w:r>
      <w:r>
        <w:rPr>
          <w:rFonts w:ascii="Amiri" w:hAnsi="Amiri" w:eastAsia="Amiri" w:cs="Amiri"/>
          <w:color w:val="111111"/>
          <w:sz w:val="28"/>
          <w:sz w:val="28"/>
          <w:szCs w:val="28"/>
          <w:rtl w:val="true"/>
          <w:lang w:bidi="ar-SA"/>
        </w:rPr>
        <w:t>، فهو حجّة أخرى ولا يحتاج مثله إلى السند، فإنّ الاستفاضة نحوه من التثبت، والعادل أخبر بثبوتهما، فيكفي في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واحتمال كون الدلالة حجّة عندنا خلاف ظاهرِ الأخبار، وسَوْقِ الكلام، وبعده عن مثل هذا الكلام جِدّاً، بل مثله غير مفهوم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فيُشمّ فيه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والدلالة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بموثّقة عمرو بن سعيد في عدم المفطرية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وأمّا ما رواه الشيخ في موثّق عمرو بن سعيد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وربّما قيل</w:t>
      </w:r>
      <w:r>
        <w:rPr>
          <w:rStyle w:val="FootnoteAnchor"/>
          <w:rtl w:val="true"/>
        </w:rPr>
        <w:footnoteReference w:id="409"/>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يتدخن بعود أو بغير ذلك، فتدخل الدخنة في حلقه؟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الصائم يدخل الغبار في حلقه؟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فمهجوران، ومردودان بما مرَّ</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نافيا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احتمال ورودهما فيما وصل من غير شعوره وإدراكه،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ظاهرهما لا يبعد أنْ يكون من غير عَمد،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مرَّ تبيَّن ما للمخالف من المتوِّقف، والجواب عنهما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لزوم الكفارة في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هل يلزم بالغبار القضاءُ، أو القضاء والكفارة معاً؟ الظاهر الثاني، لعموم </w:t>
      </w:r>
    </w:p>
    <w:p>
      <w:pPr>
        <w:pStyle w:val="BookText"/>
        <w:rPr/>
      </w:pPr>
      <w:r>
        <w:rPr>
          <w:rFonts w:ascii="Amiri" w:hAnsi="Amiri" w:eastAsia="Amiri" w:cs="Amiri"/>
          <w:color w:val="111111"/>
          <w:sz w:val="28"/>
          <w:sz w:val="28"/>
          <w:szCs w:val="28"/>
          <w:rtl w:val="true"/>
          <w:lang w:bidi="ar-SA"/>
        </w:rPr>
        <w:t>التشبيه في الرواية</w:t>
      </w:r>
      <w:r>
        <w:rPr>
          <w:rStyle w:val="FootnoteAnchor"/>
          <w:rtl w:val="true"/>
        </w:rPr>
        <w:footnoteReference w:id="413"/>
      </w:r>
      <w:r>
        <w:rPr>
          <w:rFonts w:ascii="Amiri" w:hAnsi="Amiri" w:eastAsia="Amiri" w:cs="Amiri"/>
          <w:color w:val="111111"/>
          <w:sz w:val="28"/>
          <w:sz w:val="28"/>
          <w:szCs w:val="28"/>
          <w:rtl w:val="true"/>
          <w:lang w:bidi="ar-SA"/>
        </w:rPr>
        <w:t>المؤيّدة بالعموم</w:t>
      </w:r>
      <w:r>
        <w:rPr>
          <w:rStyle w:val="FootnoteAnchor"/>
          <w:rtl w:val="true"/>
        </w:rPr>
        <w:footnoteReference w:id="414"/>
      </w:r>
      <w:r>
        <w:rPr>
          <w:rFonts w:ascii="Amiri" w:hAnsi="Amiri" w:eastAsia="Amiri" w:cs="Amiri"/>
          <w:color w:val="111111"/>
          <w:sz w:val="28"/>
          <w:sz w:val="28"/>
          <w:szCs w:val="28"/>
          <w:rtl w:val="true"/>
          <w:lang w:bidi="ar-SA"/>
        </w:rPr>
        <w:t>في خصوصه أيضاً، فإنّ ظاهر المبسوط</w:t>
      </w:r>
      <w:r>
        <w:rPr>
          <w:rStyle w:val="FootnoteAnchor"/>
          <w:rtl w:val="true"/>
        </w:rPr>
        <w:footnoteReference w:id="415"/>
      </w:r>
      <w:r>
        <w:rPr>
          <w:rFonts w:ascii="IRNazanin" w:hAnsi="IRNazanin" w:eastAsia="IRNazanin"/>
          <w:color w:val="111111"/>
          <w:sz w:val="28"/>
          <w:sz w:val="28"/>
          <w:szCs w:val="28"/>
          <w:rtl w:val="true"/>
          <w:lang w:bidi="fa-IR"/>
        </w:rPr>
        <w:t>والخلاف</w:t>
      </w:r>
      <w:r>
        <w:rPr>
          <w:rStyle w:val="FootnoteAnchor"/>
          <w:rtl w:val="true"/>
        </w:rPr>
        <w:footnoteReference w:id="416"/>
      </w:r>
      <w:r>
        <w:rPr>
          <w:rFonts w:ascii="Amiri" w:hAnsi="Amiri" w:eastAsia="Amiri" w:cs="Amiri"/>
          <w:color w:val="111111"/>
          <w:sz w:val="28"/>
          <w:sz w:val="28"/>
          <w:szCs w:val="28"/>
          <w:rtl w:val="true"/>
          <w:lang w:bidi="ar-SA"/>
        </w:rPr>
        <w:t>والوسيلة الشهرة، وهو المفهوم من المنتهى</w:t>
      </w:r>
      <w:r>
        <w:rPr>
          <w:rStyle w:val="FootnoteAnchor"/>
          <w:rtl w:val="true"/>
        </w:rPr>
        <w:footnoteReference w:id="417"/>
      </w:r>
      <w:r>
        <w:rPr>
          <w:rFonts w:ascii="Amiri" w:hAnsi="Amiri" w:eastAsia="Amiri" w:cs="Amiri"/>
          <w:color w:val="111111"/>
          <w:sz w:val="28"/>
          <w:sz w:val="28"/>
          <w:szCs w:val="28"/>
          <w:rtl w:val="true"/>
          <w:lang w:bidi="ar-SA"/>
        </w:rPr>
        <w:t>، حيث نسب الحكم بالقضاء والكفارة إلى الشيخ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الغنية</w:t>
      </w:r>
      <w:r>
        <w:rPr>
          <w:rStyle w:val="FootnoteAnchor"/>
          <w:rtl w:val="true"/>
        </w:rPr>
        <w:footnoteReference w:id="418"/>
      </w:r>
      <w:r>
        <w:rPr>
          <w:rFonts w:ascii="IRNazanin" w:hAnsi="IRNazanin" w:eastAsia="IRNazanin"/>
          <w:color w:val="111111"/>
          <w:sz w:val="28"/>
          <w:sz w:val="28"/>
          <w:szCs w:val="28"/>
          <w:rtl w:val="true"/>
          <w:lang w:bidi="fa-IR"/>
        </w:rPr>
        <w:t>، ونهج الحق</w:t>
      </w:r>
      <w:r>
        <w:rPr>
          <w:rStyle w:val="FootnoteAnchor"/>
          <w:rtl w:val="true"/>
        </w:rPr>
        <w:footnoteReference w:id="419"/>
      </w:r>
      <w:r>
        <w:rPr>
          <w:rFonts w:ascii="Amiri" w:hAnsi="Amiri" w:eastAsia="Amiri" w:cs="Amiri"/>
          <w:color w:val="111111"/>
          <w:sz w:val="28"/>
          <w:sz w:val="28"/>
          <w:szCs w:val="28"/>
          <w:rtl w:val="true"/>
          <w:lang w:bidi="ar-SA"/>
        </w:rPr>
        <w:t>، والتذكرة الإجماع</w:t>
      </w:r>
      <w:r>
        <w:rPr>
          <w:rStyle w:val="FootnoteAnchor"/>
          <w:rtl w:val="true"/>
        </w:rPr>
        <w:footnoteReference w:id="420"/>
      </w:r>
      <w:r>
        <w:rPr>
          <w:rFonts w:ascii="Amiri" w:hAnsi="Amiri" w:eastAsia="Amiri" w:cs="Amiri"/>
          <w:color w:val="111111"/>
          <w:sz w:val="28"/>
          <w:sz w:val="28"/>
          <w:szCs w:val="28"/>
          <w:rtl w:val="true"/>
          <w:lang w:bidi="ar-SA"/>
        </w:rPr>
        <w:t>فهو يكشف عن الشهرة لا أقل، ويكفي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في كلٍ إخباراً بالإجماع، فيكون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القضاء بالدخان، أو القضاء والكفارة معاً؟</w:t>
      </w:r>
    </w:p>
    <w:p>
      <w:pPr>
        <w:pStyle w:val="BookText"/>
        <w:rPr/>
      </w:pPr>
      <w:r>
        <w:rPr>
          <w:rFonts w:ascii="Amiri" w:hAnsi="Amiri" w:eastAsia="Amiri" w:cs="Amiri"/>
          <w:color w:val="111111"/>
          <w:sz w:val="28"/>
          <w:sz w:val="28"/>
          <w:szCs w:val="28"/>
          <w:rtl w:val="true"/>
          <w:lang w:bidi="ar-SA"/>
        </w:rPr>
        <w:t>الظاهر الثاني، ووجهه يظهر بما مرَّ</w:t>
      </w:r>
      <w:r>
        <w:rPr>
          <w:rStyle w:val="FootnoteAnchor"/>
          <w:rtl w:val="true"/>
        </w:rPr>
        <w:footnoteReference w:id="42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الاشتغال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الرواية على لزوم الكفارة في الغبار بضميمة أحد التقريبات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على لزوم الكفارة في الغبار بضميمة أحد التقريبات السابقة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الغلظة في الغبار؟</w:t>
      </w:r>
    </w:p>
    <w:p>
      <w:pPr>
        <w:pStyle w:val="BookText"/>
        <w:rPr/>
      </w:pPr>
      <w:r>
        <w:rPr>
          <w:rFonts w:ascii="Amiri" w:hAnsi="Amiri" w:eastAsia="Amiri" w:cs="Amiri"/>
          <w:color w:val="111111"/>
          <w:sz w:val="28"/>
          <w:sz w:val="28"/>
          <w:szCs w:val="28"/>
          <w:rtl w:val="true"/>
          <w:lang w:bidi="ar-SA"/>
        </w:rPr>
        <w:t xml:space="preserve">الظاهر العدم، إنْ كان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ما فوق الإحساس للإطلاق</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فدخل في أنفه وحلقه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الرواية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فتعتبر لعدم صدق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الحكم في الدخان لما ظهر ممّا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 يُلحق بالغبار كالدخان، والمستند المستند، والتقييد والإطلاق كما مرَّ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بلزوم الاجتناب في الجميع هل يعمّ غير صوم شهر رمضان؟</w:t>
      </w:r>
    </w:p>
    <w:p>
      <w:pPr>
        <w:pStyle w:val="BookText"/>
        <w:rPr/>
      </w:pPr>
      <w:r>
        <w:rPr>
          <w:rFonts w:ascii="Amiri" w:hAnsi="Amiri" w:eastAsia="Amiri" w:cs="Amiri"/>
          <w:color w:val="111111"/>
          <w:sz w:val="28"/>
          <w:sz w:val="28"/>
          <w:szCs w:val="28"/>
          <w:rtl w:val="true"/>
          <w:lang w:bidi="ar-SA"/>
        </w:rPr>
        <w:t>الحق نعم، للتعليل الوارد فيه</w:t>
      </w:r>
      <w:r>
        <w:rPr>
          <w:rStyle w:val="FootnoteAnchor"/>
          <w:rtl w:val="true"/>
        </w:rPr>
        <w:footnoteReference w:id="425"/>
      </w:r>
      <w:r>
        <w:rPr>
          <w:rFonts w:ascii="IRNazanin" w:hAnsi="IRNazanin" w:eastAsia="IRNazanin"/>
          <w:color w:val="111111"/>
          <w:sz w:val="28"/>
          <w:sz w:val="28"/>
          <w:szCs w:val="28"/>
          <w:rtl w:val="true"/>
          <w:lang w:bidi="fa-IR"/>
        </w:rPr>
        <w:t>، مع عدم القول بالفصل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أو الدخان، أو البخار لا يبطل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الغليان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يتجاوز فضاء الفم كغيره من المُفطرات</w:t>
      </w:r>
      <w:r>
        <w:rPr>
          <w:rFonts w:eastAsia="Amiri" w:cs="Amiri" w:ascii="Amiri" w:hAnsi="Amiri"/>
          <w:color w:val="111111"/>
          <w:sz w:val="28"/>
          <w:szCs w:val="28"/>
          <w:rtl w:val="true"/>
          <w:lang w:bidi="ar-SA"/>
        </w:rPr>
        <w:t xml:space="preserve">. </w:t>
      </w:r>
      <w:bookmarkStart w:id="296" w:name="pg9058_87696"/>
    </w:p>
    <w:p>
      <w:pPr>
        <w:pStyle w:val="Heading3"/>
        <w:numPr>
          <w:ilvl w:val="2"/>
          <w:numId w:val="1"/>
        </w:numPr>
        <w:rPr/>
      </w:pPr>
      <w:bookmarkStart w:id="297" w:name="__RefHeading___Toc2364922_2870459653"/>
      <w:bookmarkStart w:id="298" w:name="_Toc104"/>
      <w:bookmarkEnd w:id="296"/>
      <w:bookmarkEnd w:id="297"/>
      <w:r>
        <w:rPr>
          <w:rtl w:val="true"/>
        </w:rPr>
        <w:t>خاتمة</w:t>
      </w:r>
      <w:bookmarkEnd w:id="298"/>
    </w:p>
    <w:p>
      <w:pPr>
        <w:pStyle w:val="Heading4"/>
        <w:numPr>
          <w:ilvl w:val="3"/>
          <w:numId w:val="1"/>
        </w:numPr>
        <w:rPr/>
      </w:pPr>
      <w:bookmarkStart w:id="299" w:name="__RefHeading___Toc2364924_2870459653"/>
      <w:bookmarkStart w:id="300" w:name="_Toc105"/>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تشتمل على فائدتين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2364926_2870459653"/>
      <w:bookmarkStart w:id="302" w:name="_Toc106"/>
      <w:bookmarkEnd w:id="301"/>
      <w:r>
        <w:rPr>
          <w:rtl w:val="true"/>
        </w:rPr>
        <w:t>الأولى</w:t>
      </w:r>
      <w:r>
        <w:rPr>
          <w:rtl w:val="true"/>
        </w:rPr>
        <w:t>: [</w:t>
      </w:r>
      <w:r>
        <w:rPr>
          <w:rtl w:val="true"/>
        </w:rPr>
        <w:t>وصية بالتقوى، وتحذير من الدنيا، ومن الإفتاء</w:t>
      </w:r>
      <w:r>
        <w:rPr>
          <w:rtl w:val="true"/>
        </w:rPr>
        <w:t>]</w:t>
      </w:r>
      <w:bookmarkEnd w:id="302"/>
    </w:p>
    <w:p>
      <w:pPr>
        <w:pStyle w:val="BookText"/>
        <w:rPr/>
      </w:pPr>
      <w:r>
        <w:rPr>
          <w:rFonts w:ascii="Amiri" w:hAnsi="Amiri" w:eastAsia="Amiri" w:cs="Amiri"/>
          <w:color w:val="111111"/>
          <w:sz w:val="28"/>
          <w:sz w:val="28"/>
          <w:szCs w:val="28"/>
          <w:rtl w:val="true"/>
          <w:lang w:bidi="ar-SA"/>
        </w:rPr>
        <w:t>أوصيكم إخواني بتقوى الله سبحانه، فإنّها سفينة النجاة، وبها يبلغ الطالب إلى السعادة الأبديّة، وينجو الهارب من الهلكة وزلزلة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يغرنّكم الدنيا، فإنّها دار فناء لا دار بقاء، ولا تغتروا بغرورها، ولا بعزّها، ولا بذلها، ولا بصعودها، ولا بهبوطها، فإنّها في كلّ لحظة لها صديق وخليل، وفي كل آن لها طريد وقتيل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أسفاه على ما فرّطنا في جنب الله، فتنبهوا للموت قبل حلوله، وتذكروا يومَ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والمعاصي، ولا سيّما كبائرها، والحكم بغير ما أنزل الله سبحانه، ألا ترون التشديد من الله سبحانه حتى حكم في كتابه العزيز بكفر مَن لم يحكم بما أنزل الله تارة، وفسقه أُخرى، وظلمه ثالثة، وقال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النواويس شكت إلى الله عزَّ وجلّ، فقال الله عز وجل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اسكتي، فإنّ مواضع القضاة أشد حراً منك</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بالتجنّب من الفتوى إلّا بعد إتّقان شرائطها وما يتعلق بها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مخبرون</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في فتواكم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ربكم، وأيُّ جرأةٍ للعبد في الافتراء على الله سبحانه مع اعترافه بعلمه سبحانه، ألا تنظرون إلى التهديد الواقع في الكتاب على اشرف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تَقَوَّلَ عَلَيْنَا بَعْضَ الأَقَأويلِ لأَخَذْنَا مِنْهُ بِالْيَمِينِ ثُمَّ لَقَطَعْنَا مِنْهُ الْوَتِينَ فَمَا مِنْكُمْ مِنْ أَحَدٍ عَنْهُ حَاجِزِينَ</w:t>
      </w:r>
      <w:r>
        <w:rPr>
          <w:rStyle w:val="FootnoteAnchor"/>
          <w:rtl w:val="true"/>
        </w:rPr>
        <w:footnoteReference w:id="429"/>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مَا أَنْزَلَ اللَّهُ لَكُمْ مِنْ رِزْقٍ فَجَعَلْتُمْ مِنْهُ حَرَامًا وَحَلاَلاً قُلْ أَاللَّهُ أَذِنَ لَكُمْ أَمْ عَلَى اللَّهِ تَفْتَرُونَ</w:t>
      </w:r>
      <w:r>
        <w:rPr>
          <w:rStyle w:val="FootnoteAnchor"/>
          <w:rtl w:val="true"/>
        </w:rPr>
        <w:footnoteReference w:id="430"/>
      </w:r>
      <w:r>
        <w:rPr>
          <w:rFonts w:ascii="IRNazanin" w:hAnsi="IRNazanin" w:eastAsia="IRNazanin"/>
          <w:color w:val="111111"/>
          <w:sz w:val="28"/>
          <w:sz w:val="28"/>
          <w:szCs w:val="28"/>
          <w:rtl w:val="true"/>
          <w:lang w:bidi="fa-IR"/>
        </w:rPr>
        <w:t xml:space="preserve">، وفيما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وتبكي منه المواريث، وتصرخ منه الدماء</w:t>
      </w:r>
      <w:r>
        <w:rPr>
          <w:rFonts w:eastAsia="IRNazanin" w:cs="IRNazanin"/>
          <w:color w:val="111111"/>
          <w:sz w:val="28"/>
          <w:szCs w:val="28"/>
          <w:rtl w:val="true"/>
          <w:lang w:bidi="fa-IR"/>
        </w:rPr>
        <w:t>)</w:t>
      </w:r>
      <w:r>
        <w:rPr>
          <w:rStyle w:val="FootnoteAnchor"/>
          <w:rtl w:val="true"/>
        </w:rPr>
        <w:footnoteReference w:id="43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هدى، عليه من الله اللّعنة، ومن ملائكة الرّحمة، ومن 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مُفتٍ ضامن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إلّا</w:t>
      </w:r>
      <w:r>
        <w:rPr>
          <w:rStyle w:val="FootnoteAnchor"/>
          <w:rtl w:val="true"/>
        </w:rPr>
        <w:footnoteReference w:id="434"/>
      </w:r>
      <w:r>
        <w:rPr>
          <w:rFonts w:ascii="Amiri" w:hAnsi="Amiri" w:eastAsia="Amiri" w:cs="Amiri"/>
          <w:color w:val="111111"/>
          <w:sz w:val="28"/>
          <w:sz w:val="28"/>
          <w:szCs w:val="28"/>
          <w:rtl w:val="true"/>
          <w:lang w:bidi="ar-SA"/>
        </w:rPr>
        <w:t xml:space="preserve">ما في هذه الفقرات من مناجاة سيد الساجدين، وزين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 وعلى آبائه وأبنائه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لكفتْ في النصح والتنبيه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إلهي، لو بكيتُ إليك حتى تسقط أشفار عيني، وانتحبت حتى ينقطع صوتي، وقمت لك حتى تبتئس </w:t>
      </w:r>
    </w:p>
    <w:p>
      <w:pPr>
        <w:pStyle w:val="BookText"/>
        <w:rPr/>
      </w:pPr>
      <w:r>
        <w:rPr>
          <w:rFonts w:ascii="Amiri" w:hAnsi="Amiri" w:eastAsia="Amiri" w:cs="Amiri"/>
          <w:color w:val="111111"/>
          <w:sz w:val="28"/>
          <w:sz w:val="28"/>
          <w:szCs w:val="28"/>
          <w:rtl w:val="true"/>
          <w:lang w:bidi="ar-SA"/>
        </w:rPr>
        <w:t>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اسأل الله سبحانه أنْ يحفظني وإيّاكم عمّا يدلّ</w:t>
      </w:r>
      <w:r>
        <w:rPr>
          <w:rStyle w:val="FootnoteAnchor"/>
          <w:rtl w:val="true"/>
        </w:rPr>
        <w:footnoteReference w:id="436"/>
      </w:r>
      <w:r>
        <w:rPr>
          <w:rFonts w:ascii="IRNazanin" w:hAnsi="IRNazanin" w:eastAsia="IRNazanin"/>
          <w:color w:val="111111"/>
          <w:sz w:val="28"/>
          <w:sz w:val="28"/>
          <w:szCs w:val="28"/>
          <w:rtl w:val="true"/>
          <w:lang w:bidi="fa-IR"/>
        </w:rPr>
        <w:t>العباد إلى النار، بل إلى أشد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وأسألكم إخواني أنْ لا تنسوني عن صالح دعائكم في حياتي، وبعد مماتي، ولا سيّما إذا انقطع</w:t>
      </w:r>
      <w:r>
        <w:rPr>
          <w:rStyle w:val="FootnoteAnchor"/>
          <w:rtl w:val="true"/>
        </w:rPr>
        <w:footnoteReference w:id="437"/>
      </w:r>
      <w:r>
        <w:rPr>
          <w:rFonts w:ascii="Amiri" w:hAnsi="Amiri" w:eastAsia="Amiri" w:cs="Amiri"/>
          <w:color w:val="111111"/>
          <w:sz w:val="28"/>
          <w:sz w:val="28"/>
          <w:szCs w:val="28"/>
          <w:rtl w:val="true"/>
          <w:lang w:bidi="ar-SA"/>
        </w:rPr>
        <w:t>يدي عن الدنيا، بل عن التوبة والإنابة، وابتلى</w:t>
      </w:r>
      <w:r>
        <w:rPr>
          <w:rStyle w:val="FootnoteAnchor"/>
          <w:rtl w:val="true"/>
        </w:rPr>
        <w:footnoteReference w:id="438"/>
      </w:r>
      <w:r>
        <w:rPr>
          <w:rFonts w:ascii="Amiri" w:hAnsi="Amiri" w:eastAsia="Amiri" w:cs="Amiri"/>
          <w:color w:val="111111"/>
          <w:sz w:val="28"/>
          <w:sz w:val="28"/>
          <w:szCs w:val="28"/>
          <w:rtl w:val="true"/>
          <w:lang w:bidi="ar-SA"/>
        </w:rPr>
        <w:t>بعملي، وأيدي الأحبة منقطعة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أعوذ بالله سبحانه منه ومن أمثاله</w:t>
      </w:r>
      <w:r>
        <w:rPr>
          <w:rFonts w:eastAsia="IRNazanin" w:cs="IRNazanin"/>
          <w:color w:val="111111"/>
          <w:sz w:val="28"/>
          <w:szCs w:val="28"/>
          <w:rtl w:val="true"/>
          <w:lang w:bidi="fa-IR"/>
        </w:rPr>
        <w:t xml:space="preserve">. </w:t>
      </w:r>
      <w:bookmarkStart w:id="303" w:name="pg9058_87699"/>
    </w:p>
    <w:p>
      <w:pPr>
        <w:pStyle w:val="Heading4"/>
        <w:numPr>
          <w:ilvl w:val="3"/>
          <w:numId w:val="1"/>
        </w:numPr>
        <w:rPr/>
      </w:pPr>
      <w:bookmarkStart w:id="304" w:name="__RefHeading___Toc2364928_2870459653"/>
      <w:bookmarkStart w:id="305" w:name="_Toc107"/>
      <w:bookmarkEnd w:id="303"/>
      <w:bookmarkEnd w:id="304"/>
      <w:r>
        <w:rPr>
          <w:rtl w:val="true"/>
        </w:rPr>
        <w:t>الثانية</w:t>
      </w:r>
      <w:r>
        <w:rPr>
          <w:rtl w:val="true"/>
        </w:rPr>
        <w:t>: [</w:t>
      </w:r>
      <w:r>
        <w:rPr>
          <w:rtl w:val="true"/>
        </w:rPr>
        <w:t>في مفاسد الغليان ومضاره</w:t>
      </w:r>
      <w:r>
        <w:rPr>
          <w:rtl w:val="true"/>
        </w:rPr>
        <w:t>]</w:t>
      </w:r>
      <w:bookmarkEnd w:id="305"/>
    </w:p>
    <w:p>
      <w:pPr>
        <w:pStyle w:val="BookText"/>
        <w:rPr/>
      </w:pPr>
      <w:r>
        <w:rPr>
          <w:rFonts w:ascii="Amiri" w:hAnsi="Amiri" w:eastAsia="Amiri" w:cs="Amiri"/>
          <w:color w:val="111111"/>
          <w:sz w:val="28"/>
          <w:sz w:val="28"/>
          <w:szCs w:val="28"/>
          <w:rtl w:val="true"/>
          <w:lang w:bidi="ar-SA"/>
        </w:rPr>
        <w:t>بها نختم الكلام، وهي من النصائح النافعة، فاعلم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شرب الغليان من عجائب الزمان، وغرائب الدوران</w:t>
      </w:r>
      <w:r>
        <w:rPr>
          <w:rStyle w:val="FootnoteAnchor"/>
          <w:rtl w:val="true"/>
        </w:rPr>
        <w:footnoteReference w:id="440"/>
      </w:r>
      <w:r>
        <w:rPr>
          <w:rFonts w:ascii="Amiri" w:hAnsi="Amiri" w:eastAsia="Amiri" w:cs="Amiri"/>
          <w:color w:val="111111"/>
          <w:sz w:val="28"/>
          <w:sz w:val="28"/>
          <w:szCs w:val="28"/>
          <w:rtl w:val="true"/>
          <w:lang w:bidi="ar-SA"/>
        </w:rPr>
        <w:t>، وممّا لا يقوم عليه أولو البصيرة والاتفاق</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والعقل، وإنّما كانوا من أهل الاتفاق باعتبار اتفاقهم على الحدّ من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وإنْ كان حاله حال الموضوعات التي تجري فيها الأحكام المشهورة بالعيان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الغالب فيه اللغو حدوثاً ودواماً؛ فإنّ حدوثه قلَّ ما يتفق لأجل منفعة، أو معالجة، أو لذة تصورها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بل الغالب فيه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الأطفال لمّا رأوا أنّ آبائهم ومعلميهم، بل غالب مَن يرونه يستعملونه، يرتكبونه بمجرّد ذلك، حتى يعتاد لهم، ويخفونه غالباً، لأنّهم يرونه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بعقولهم قبح ارتكابه لهم حينئذٍ، فلمّا كثر سنهم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ويرون شيوعه في أمثالهم، وأقرانهم، فيعلنون به، ويبقون على ذلك مدّة أعمارهم بلا منفعة عاجلة أو آجلة، بل معلوم لكلّ واحد بالعيان، ومع ذلك ننبه عليه،</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التنباك</w:t>
      </w:r>
      <w:r>
        <w:rPr>
          <w:rStyle w:val="FootnoteAnchor"/>
          <w:rtl w:val="true"/>
        </w:rPr>
        <w:footnoteReference w:id="442"/>
      </w:r>
      <w:r>
        <w:rPr>
          <w:rFonts w:ascii="Amiri" w:hAnsi="Amiri" w:eastAsia="Amiri" w:cs="Amiri"/>
          <w:color w:val="111111"/>
          <w:sz w:val="28"/>
          <w:sz w:val="28"/>
          <w:szCs w:val="28"/>
          <w:rtl w:val="true"/>
          <w:lang w:bidi="ar-SA"/>
        </w:rPr>
        <w:t>إنْ كان جيداً فقيمته غالية جداً، وإنْ كان ردياً فضرره كثير، مع أنّ قيمته ليس برخيص إلّا بالإضافة</w:t>
      </w:r>
      <w:r>
        <w:rPr>
          <w:rStyle w:val="FootnoteAnchor"/>
          <w:rtl w:val="true"/>
        </w:rPr>
        <w:footnoteReference w:id="443"/>
      </w:r>
      <w:r>
        <w:rPr>
          <w:rFonts w:ascii="IRNazanin" w:hAnsi="IRNazanin" w:eastAsia="IRNazanin"/>
          <w:color w:val="111111"/>
          <w:sz w:val="28"/>
          <w:sz w:val="28"/>
          <w:szCs w:val="28"/>
          <w:rtl w:val="true"/>
          <w:lang w:bidi="fa-IR"/>
        </w:rPr>
        <w:t>وهو</w:t>
      </w:r>
      <w:r>
        <w:rPr>
          <w:rStyle w:val="FootnoteAnchor"/>
          <w:rtl w:val="true"/>
        </w:rPr>
        <w:footnoteReference w:id="444"/>
      </w:r>
      <w:r>
        <w:rPr>
          <w:rFonts w:ascii="Amiri" w:hAnsi="Amiri" w:eastAsia="Amiri" w:cs="Amiri"/>
          <w:color w:val="111111"/>
          <w:sz w:val="28"/>
          <w:sz w:val="28"/>
          <w:szCs w:val="28"/>
          <w:rtl w:val="true"/>
          <w:lang w:bidi="ar-SA"/>
        </w:rPr>
        <w:t>على التقديرين ممّا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يحتاج لأرباب الثروة</w:t>
      </w:r>
      <w:r>
        <w:rPr>
          <w:rStyle w:val="FootnoteAnchor"/>
          <w:rtl w:val="true"/>
        </w:rPr>
        <w:footnoteReference w:id="445"/>
      </w:r>
      <w:r>
        <w:rPr>
          <w:rFonts w:ascii="IRNazanin" w:hAnsi="IRNazanin" w:eastAsia="IRNazanin"/>
          <w:color w:val="111111"/>
          <w:sz w:val="28"/>
          <w:sz w:val="28"/>
          <w:szCs w:val="28"/>
          <w:rtl w:val="true"/>
          <w:lang w:bidi="fa-IR"/>
        </w:rPr>
        <w:t xml:space="preserve">مَنْ يشتغل بإصلاح أموره وحضوره عند الشخص دائماً، وبذلك ما يقع إلى ما يجب به قتله، أو إلى 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نظر إلى غلام بشهوة فكأنّه 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ما يحتاج إليه من آلاته، ومنها وجود النار المخصوصة به دائماً، وهو يحتاج إلى تكلّف ومشقة شديدة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إذا كان الشخص ممّن يستعمله، فعليه أنْ يأتي به لمن دخل داره، وهو يحتاج إلى قُعْدَة الغليان، ومَن يشتغل بإصلاحه، وسائر ما يحتاج إليه، وفيه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حضوره القلبَ في العبادات، بل ويمنع كثيراً من الإتيان بها في أشرف أوقاتها نظراً إلى شوق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ويسوء خلق شاربه باعتبار خلل جزئي فيه، كأنْ لم يجمع أسبابه على أكمل وجه، أو تأخّر الإتيان به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كثيراً ما يفضي إلى ارتكاب المعاصي العظيمة من أذيّة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ولساناً، وتأخير العبادات عن أوقاتها لو لم يؤدِّ إلى تركها بنوم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هو ممّا ضُرب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إحراق ما له بين يديه من دون منفعة بدنيّة أو نفسيّة إلّا بإعتبار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يفضي إلى العداوة والشحناء بينه وبين الأحبة والأخيار بعد وروده عليهم، أو عكسه، أو غير ذلك باعتبار تأخير الإتيان به، أو تقديم غيره عليه في الإعطاء، أو تأخير إصلاح غليانه عن إصلاح آخر، أو إهراق مائه عن إهراق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أو تقديم رفعه من عنده على 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 ببدنه، فإنّه يقلّ اشتهاؤه</w:t>
      </w:r>
      <w:r>
        <w:rPr>
          <w:rStyle w:val="FootnoteAnchor"/>
          <w:rtl w:val="true"/>
        </w:rPr>
        <w:footnoteReference w:id="446"/>
      </w:r>
      <w:r>
        <w:rPr>
          <w:rFonts w:ascii="Amiri" w:hAnsi="Amiri" w:eastAsia="Amiri" w:cs="Amiri"/>
          <w:color w:val="111111"/>
          <w:sz w:val="28"/>
          <w:sz w:val="28"/>
          <w:szCs w:val="28"/>
          <w:rtl w:val="true"/>
          <w:lang w:bidi="ar-SA"/>
        </w:rPr>
        <w:t>، وقوّته، ونومه، ويخفّ دماغه، ويُفسدُ أسنانه وصدره، ويُذيبُ شحمه ولحمه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عاقل</w:t>
      </w:r>
      <w:r>
        <w:rPr>
          <w:rStyle w:val="FootnoteAnchor"/>
          <w:rtl w:val="true"/>
        </w:rPr>
        <w:footnoteReference w:id="448"/>
      </w:r>
      <w:r>
        <w:rPr>
          <w:rFonts w:ascii="Amiri" w:hAnsi="Amiri" w:eastAsia="Amiri" w:cs="Amiri"/>
          <w:color w:val="111111"/>
          <w:sz w:val="28"/>
          <w:sz w:val="28"/>
          <w:szCs w:val="28"/>
          <w:rtl w:val="true"/>
          <w:lang w:bidi="ar-SA"/>
        </w:rPr>
        <w:t>يرتكب مثل ذلك إلّا أن يغفل عن ظاهر مقتضى عقله، أو يخالفه، وهو كثير التشبه بما يوسوسه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أنّي كثيراً ما عزمتُ على تنبيه الخلق على مساوئه، ومقابحه، وكونه ممّا لا يزاوله أرباب العقول وأنسانيه الشيطان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يعجبني ذكرهُ في المقام ما حكى في الأنوار النعمانية عن السلطان الشاه عباس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عمل عليه الخَرْج</w:t>
      </w:r>
      <w:r>
        <w:rPr>
          <w:rStyle w:val="FootnoteAnchor"/>
          <w:rtl w:val="true"/>
        </w:rPr>
        <w:footnoteReference w:id="449"/>
      </w:r>
      <w:r>
        <w:rPr>
          <w:rFonts w:ascii="Amiri" w:hAnsi="Amiri" w:eastAsia="Amiri" w:cs="Amiri"/>
          <w:color w:val="111111"/>
          <w:sz w:val="28"/>
          <w:sz w:val="28"/>
          <w:szCs w:val="28"/>
          <w:rtl w:val="true"/>
          <w:lang w:bidi="ar-SA"/>
        </w:rPr>
        <w:t>، وأحرق مَن يتاجر به فيه، فكان الناس يحفرون تحت الأرض، ويذهبون إليها، ويشربون هناك، وفي ذلك الحال يحرقون الحرق</w:t>
      </w:r>
      <w:r>
        <w:rPr>
          <w:rStyle w:val="FootnoteAnchor"/>
          <w:rtl w:val="true"/>
        </w:rPr>
        <w:footnoteReference w:id="450"/>
      </w:r>
      <w:r>
        <w:rPr>
          <w:rFonts w:ascii="Amiri" w:hAnsi="Amiri" w:eastAsia="Amiri" w:cs="Amiri"/>
          <w:color w:val="111111"/>
          <w:sz w:val="28"/>
          <w:sz w:val="28"/>
          <w:szCs w:val="28"/>
          <w:rtl w:val="true"/>
          <w:lang w:bidi="ar-SA"/>
        </w:rPr>
        <w:t>بقربهم، حتى لا يخرج رائحته، وتشتبه برائحتها</w:t>
      </w:r>
      <w:r>
        <w:rPr>
          <w:rStyle w:val="FootnoteAnchor"/>
          <w:rtl w:val="true"/>
        </w:rPr>
        <w:footnoteReference w:id="451"/>
      </w:r>
      <w:r>
        <w:rPr>
          <w:rFonts w:ascii="Amiri" w:hAnsi="Amiri" w:eastAsia="Amiri" w:cs="Amiri"/>
          <w:color w:val="111111"/>
          <w:sz w:val="28"/>
          <w:sz w:val="28"/>
          <w:szCs w:val="28"/>
          <w:rtl w:val="true"/>
          <w:lang w:bidi="ar-SA"/>
        </w:rPr>
        <w:t xml:space="preserve">، وكانوا يشربون التنباك في ذلك الوقت بوزن الدراهم، بل أغلى منها، فلمّا رأى ذلك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الخرج لا ينفع، قرّر عليه من مال الخراج مالاً عظيماً، بقي إلى عصرنا، قَصَد به تعجيز الناس عن التجارة به وعن استعماله، فما ازدادوا له إلاَّ حباً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الإعاذة</w:t>
      </w:r>
      <w:r>
        <w:rPr>
          <w:rStyle w:val="FootnoteAnchor"/>
          <w:rtl w:val="true"/>
        </w:rPr>
        <w:footnoteReference w:id="452"/>
      </w:r>
      <w:r>
        <w:rPr>
          <w:rFonts w:ascii="Amiri" w:hAnsi="Amiri" w:eastAsia="Amiri" w:cs="Amiri"/>
          <w:color w:val="111111"/>
          <w:sz w:val="28"/>
          <w:sz w:val="28"/>
          <w:szCs w:val="28"/>
          <w:rtl w:val="true"/>
          <w:lang w:bidi="ar-SA"/>
        </w:rPr>
        <w:t>من مقابح الأفعال الدنيوية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النسخة الشريفة سنة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306" w:name="pg9058_87703"/>
    </w:p>
    <w:p>
      <w:pPr>
        <w:pStyle w:val="Heading3"/>
        <w:numPr>
          <w:ilvl w:val="2"/>
          <w:numId w:val="1"/>
        </w:numPr>
        <w:rPr/>
      </w:pPr>
      <w:bookmarkStart w:id="307" w:name="__RefHeading___Toc2364930_2870459653"/>
      <w:bookmarkStart w:id="308" w:name="_Toc108"/>
      <w:bookmarkEnd w:id="306"/>
      <w:bookmarkEnd w:id="307"/>
      <w:r>
        <w:rPr>
          <w:rtl w:val="true"/>
        </w:rPr>
        <w:t>فهرس مصادر التحقيق</w:t>
      </w:r>
      <w:bookmarkEnd w:id="3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مكتبة أية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الناشر مؤسسة الإمام الصادق –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الناشر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الناشر دار الكتب الإسلامية،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الكركي، الناشر 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الحلي، الناشر مؤسسة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طبعة مؤسسة النشر الإسلامي، طبع عام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إدريس الحلي، طبعة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بقم المشرفة، طبع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الاستقلال،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للجوهري، نشر دار العلم للملايين،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الحلبي، طبعة اعتماد، طبع في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مكتبة أمير المؤمنين، طبع في أصفهان عام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السبزواري، نشر مدرسة صدر مهدوي،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دار الفكر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المطبعة الحيدرية بطهران</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جامعة المدرسين،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الناشر مؤسسة البعثة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العاملي، الناشر مؤسسة آل البيت لإحياء التراث،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الناشر 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الناشر مؤسسة سيد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بقمّ المشرفة،</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الناشر مجمع البحوث الإسلامي، 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مطبعة الأندلس في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حمزة الطوسي، مطبعة خيام، طبع في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بعض علماء العامة حينما جعلوا بيع الرصيد بيعا للمنفعة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الإجارة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النهاية للشيخ الطوسي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الوسيلة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مستند العروة الوثقى كتاب الخمس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 على العروة الوثقى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 على العروة الوثقى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 على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فيلسوف في العالم الإسلامي تعرض لقضايا فلسفة اللغة مستعيناً بآراء الفلاسفة اليونان ، ومعلوم أنّه كان على اطلاع على جملة آراء أفلاطون فضلاً عن آراء أرسطو، وكتب وصفاً موجزاً لمحاورة كراتيليوس التي وردت فيها نظرية المحاكاة الطبيعية التي سنتعرض لها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الدكتور عزمي طه السيد احمد 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محاورة كراتيليوس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قُدمت لأول مرة باللغة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اعتُمد في ترجمتها على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بنياجين جويت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المنشورة أصلا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والتي تُعتبر أوثق الترجمات الإنكليزية عند الباحثين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الأخذ بعين الاعتبار اختلافات الترجمات الأخرى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محاورة كراتيليوس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 أفلاطون الأولى التي كان متأثراً فيها بآراء أستاذه سقراط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الموضوع الرئيس لهذه المحاورة هو أصل الأسماء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وتبدأ هذه المحاورة بسؤال صريح عن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هي طبيعية أم اصطلاحية ؟ ثمّ ينطلق الحوار وإثارة الأسئلة ، بعد ذلك حول الأسماء من حيث وظيفتها وإطلاقها على مسمياتها وملاءمتها لها، لينتقل إلى بيان أصل عدد غير قليل من الكلمات والأسماء اليونانية وكيفية اشتقاقها، وقد شغل هذا الموضوع جزءاً كبيراً من المحاورة، انتهى باستخلاص عدد من النتائج الجزئية حول إطلاق الأسماء ووظيفتها، وصوابها وملاءمتها الطبيعية لمسمياتها، لتقدّم المحاورة في النهاية نظرية عامة في هذه القضايا هي نظريةٌ لمحاكاة الطبيعة التي عدّها أفلاطون النظرية العلمية والوحيدة والممكنة، على الرغم ممّا واجهته من صعوبات ناجمة عن قصورها عن الإجابة على عدد من الإشكالات المتعلقة باللغة</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مصادر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ذكر ذلك من مصادرنا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أهل أصول الفقه عن عبّاد بن سليمان الصيمري من المعتزلة أنّه ذهب إلى أنّ بين اللفظ ومدلوله مناسبة طبيعية حاملة للواضع على أن يضع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لكان تخصيص الاسم المعيَّن بالمسمى المعيَّن ترجيحاً من غير مرجّح</w:t>
      </w:r>
      <w:r>
        <w:rPr>
          <w:rFonts w:eastAsia="IRNazanin" w:cs="IRNazanin"/>
          <w:b w:val="false"/>
          <w:bCs w:val="false"/>
          <w:i w:val="false"/>
          <w:iCs w:val="false"/>
          <w:color w:val="333333"/>
          <w:sz w:val="20"/>
          <w:szCs w:val="20"/>
          <w:rtl w:val="true"/>
        </w:rPr>
        <w:t>)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لبدر الدين محمد بن بهادر بن عبد الله الشافعي الزركشي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لجمال الدين أبو محمد عبد الرحيم بن الحسن الإسنوي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وذهب عبّاد بن سليمان وطائفة إلى أنّ الألفاظ لا تحتاج إلى وضع، بل تدلّ بذاتها لما بينها وبين معانيها من المناسبة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نقله في المحصول ومقتضى كلام الآمدي في النقل عنه أنّ المناسبة مشروطة لكن لا بدّ من الوضع</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التقرير والتحبير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إلى علم الأصول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لفخر الدين محمد بن عمر بن حسين الرازي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قوانين الأصول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على 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الموسوي القزويني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واحداً من كلام ابن جني في موضوع الاشتقاق الأكبر ،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الاشتقاق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وقعت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للقوة والشدة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جبرت العظم والفقير إذا قويتهما وشددت منهما ، والجبر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لقوته وتقويته لغيره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مجرب إذا جرسته الأمور ونجذته، فقويت منته، واشتدت شكيمته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لأنّه يحفظ ما فيه، وإذا حفظ الشيء وروعي اشتد وقوي، وإذا أغفل وأهمل تساقط ورذي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الأبجر والبجرة وهو القوي 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 أشكو عجري وبجري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همومي وأحزاني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وطريقه أنّ العجرة كل عقدة في الجسد فإذا كانت في البطن والسرة فهي البجرة، والبجرة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السّرة غلظت ونتأت فاشتد مسها وأمرها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وفسر أيضاً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عجري وبجري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أبدي واخفي من أحوالي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البرج، لقوته في نفسه وقوة ما يليه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البرج لنقاء بياض العين وصفاء سوادها هو قوة أمرها، وأنّه ليس بلون مستضعف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رجبت الرجل إذا عظّمته وقوّيت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لتعظيمهم إياه عن القتال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كرمت النخلة على أهلها فمالت دعموها بالرجبة وهو شيء تسند إليه لتقوى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فصوص الأصابع، وهي مقوية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الرباجي وهو الرجل يفخر بأكثر من فعله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وتلقاه رباجيا فخوراً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يعظم نفسه ويقوّي أمره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الخصائص مج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المزهر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القوانين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علي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على معالم الأصول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والآمدي في الإحكام في أصول الأحكام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الحروف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أستاذنا السيد محمد باقر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مباني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المقالات الغروية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بهذا الجواب شيخنا الأستاذ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المباحث الأصولية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أستاذنا السيد محمد باقر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إفاداته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مباني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كلمات جملة من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قوانين الأصول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بن عبد الرحيم الطهراني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الغروية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مفاتيح الأصول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مصابيح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وفي 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وفي دراسات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كلمات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بدائع الأفكار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مقام تثبيت أركان مسلك الواقعية إلّا أنّنا نراه ينفع في المقام أيضاً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كلمات السيد الخوئي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يُستقاد ذلك الجواب أيضاً من العلاّمة الحلي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المقداد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محمد صادق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188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المعلول بلا علّة والفعل بلا فاعل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الشيخ الآخوند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تعليقة السيد محمد كلانتر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الشيخ النراقي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الفضل البابلي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في دراية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كلمات السيد الخوئي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كلمات جمع غفير من الأعلام ذهابهم إلى أنّ الترجيح والترجّح من باب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بن عبد الرحيم الطهراني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روح الله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الآداب المعنوية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التقريب من كلمات الشيخ السبحاني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إفاداته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الإلهيات على هدى الكتاب والسُّنة والعقل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 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ذكرنا 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الوجود بلا سبب وعلَّة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الترجيح الإرادة والقصد سبب وعلّةٌ للفعل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وجود للمعلول من غير علّة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مرَّ نقله عن بعض الأعيان كصاحب الفصول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وقرَّبه الشيخ السبحاني في الإلهيات على هدى الكتاب والسُّنة والعقل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كلمات الميرزا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قوانين الأصول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كلمات الميرزا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قوانين الأصول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محمد حسين بن عبد الرحيم الطهراني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الغروية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مصابيح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دراسات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الغروية في الأصول الفقهية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المناسبة اتّحاد الشيئين في المضاف كاتّحاد زيد وعمرو في بنوّة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واتّحاد متضادّين في المضاف ليس بممتنع ولا مستبعد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السيد علي الموسوي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على 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وضع اللفظ لمعناه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كلمات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مصابيح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ذلك من كلمات الميرزا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قوانين الأصول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حسين بن عبد الرحيم الطهرانيّ الحائري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 الغرويّة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استظهار ذلك من كلمات الشيخ محمّد حسين بن عبد الرحيم الطهرانيّ الحائريّ</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يُستفاد ذلك من كلمات المحقّق العراقي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مقالات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كلمات 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المباحث الأصوليّة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الطريق الأول لدفع القول بالذاتية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اختلفت كلمات مقرري بحث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تقريب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قرَّبناه أوفق بكلمات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علي الموسوي القزويني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تعليقة على معالم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الفياض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المناسبة اقتضائية لا علّة تامّة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الأول في الوضع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الاثنين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الثاني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معالم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وجود حادث من دون سبب وعلّة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بالإضافة الى ما فهمتُه من كلمات السيد الأستاذ سماحة السيد محمد باقر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للمرتضى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الاسلامي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الموارد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تأسست الحركة الاخبارية في بدايات القرن الحادي عشر الهجري على يد المُحدّث محمد أمين الاسترابادي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مجمع الفكر الاسلامي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ابن زهرة صاحب الاستدلال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التقريب هو محصّل ما أفاده سيدنا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سماحة المرجع الأعلى السيّد علي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دامة ظله العالی</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وقريب منه ما أفاده في نفس الحزء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فليراجع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مبحث الجمع بين الحكم الظاهري والواقعي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سيد الشهداء ط الأولى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في هامش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 ينفع المقام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 الذهبي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هدى الساري لابن حجر ،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الجميل على اهل الجرح والتعديل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الحديث والمحدثين ، هاشم معروف الحسني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الجوزجاني ، الترجمة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المجروحين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جاء في ترجمته في معجم رجال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ذكره البرقي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لا يدل على تشيّعه لأنّ الصحبة أعمّ من التشيّع كما لا يخفى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مناسك الحج ، السيد محمد رضا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فلك النجاة في الإمامة والصلاة ، لعلي محمّد فتح الدين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المضحك في هذا السياق ما ذكره أحفاد الجوزجاني في فتاوى الوهابية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مدى صحة قولهم علي كرم الله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أصل لتخصيص ذلك بعلي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هو من غلو المتشيّعة فيه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الجميل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باب نفي الغلو في النبي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أحمد بن محمّد بن عيسى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إكليل المنهج في تحقيق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لأستاذنا السيد محمد رضا السيستاني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كالارتفاع بالمذهب والارتفاع بالقول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الهداية في علم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في علم الدراية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الرحمن في فضائل سلمان ، للمحدّث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لأستاذنا السيد محمد رضا السيستاني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إكليل المنهج في تحقيق المطلب للكرباسي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هدى الكلباسي ، سماء المقال في علم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أبوعلي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المقال للملا علي 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 للبهبهاني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 للبهبهاني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إلى أصول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الثانية عشرة ،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فقه الرجال، للعلامة الفاني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فقه الرجال، للعلّامة الفاني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الشيخ مهدي الكجوري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الشيح مهدي الكجوري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المقال، السيد علي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مناسك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في فضائل سلمان ، المحدّث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الرحمان في فضائل سلمان ، المحدّث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من تنقيح المقال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للوحيد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لأستاذنا السيد محمد رضا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محمد بن سنان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الإنجاب الصناعية ،الملحق السابع ، السيد محمد رضا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جاز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الاستشهاد بكلام ابن الغضائري مع أنّه لا يرى ثبوت نسبة كتاب الضعفاء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بصدد توجيه ما قيل في حقّ من ترجم له مع غض النظر عن ثبوت نسبة الكتاب وعدمه ، فتدبر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ترجمتهم في معجم رجال الحديث للسيد الخوئي، عدّة الرجال للمحقّق الكاظمي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رجال النجاشي، الفهرست للشيخ، رجال ابن الغضائري، اختيار معرفة الرجال، الخلاصة للعلّامة، رجال ابن داود، نقد الرجال، التحرير الطّاوسي، قاموس الرجال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المحدث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القضية بصورة أكثر تفصيلاً، قال في الأنوار النعمانيّة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لطائف مزاحاته أنّ بعض معاصريه ألّف رسالة في حرمة شرب التنباك، وبعث إليه نسخة منها في خرقة لحفظها، فأخذها وطالعها، ثمّ ردها إليه وحفظ الخرقة وكتب إليه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ما أخذت من هذه الرسالة شيئاً إلّا هذه الخرقة، فإنّي أخذتها لأجعل فيها التنباك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يعجبه شربه وكذا والده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الكرباسي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الإشارات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كلباسي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رضوية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كلباسي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لتضمينه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أطلب العون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لزم تعديته بالباء أو بنفسه، وممّا ذكرناه يظهر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على غير الغالب في باب الاستفعال أعني طلب الفعل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الأعمدة جمع قلّة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في 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العمود عمود البيت وجمع القلّة أعمدة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لكن الصيغة في المقام مستعملة في غير ما وضعت له أعني في جمع الكثرة، والمقصود من أعمدة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ثلّة من عيون معاجم اللّغة جمعاً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 فاستعماله في اللّغة الدارجة غير صحيح، وبهذا قد يشكل على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الصحيح أنَّ هذا الاعتراض ساقط؛ لأنَّه وإن لم يكن لجند جمعٌ على أجندة إلّا أنَّه جيء به هنا رعاية للسجعة ولقوله فيما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العلم وأعمدته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فلكي يحصل التناسب بين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العلم وأعمدته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الجهل وأجندته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 نظير قوله تعالى حكاية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على الحالية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مستعجلاً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ونتيجة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يسعني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الرسالة أدنى درجة من درجات المطلوب؛ لأنّ الرسالة بحسب المقدار الذي يسعه من الزمان ولا يسعه إلاَّ تلك الدرجة فينتج أنّ الرسالة بأدنى درجة من درجات المطلوب بمعنى أنّها ليس فيها تفصيل أو تطويل من غير طائل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المبين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القهرمان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الوكيل أو أمين الدخل والخرج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 السلطان في أصفهان إذ إنّ رسائل وطلبات الملوك إلى العلماء والأعيان وبالعكس ترسل عن طريقهم في الغالب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فوق رأسه قهرمان السلطان يستعجل في إنجاز وإتمام ما طُلب منه ويعمل على إنجازه بأقل وقت وأسرع ما يمكن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الغليان أو القليان، وربّما قيل له الغليون أو القليون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الناركَيلة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مهلكات، القيام بين الأقران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المقصود القيام بين الأقران للمحاججة وبالتالي المقصود من موبقات القيام بين الأقران موبقات المحاججة كالرياء والعصبية والتكبّر وغيرها، والله أعلم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شدايد النيران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إضافة الصفة للموصوف أي النيران الشديدة، وحيث إنّ جميع النيران شديدة فالمطلوب التجنّب من جميعها لا حصّة منها أعني خصوص الشديدة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يتوقف التحقيق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غير مذكور صريحاً وهو الباب أو المقام أو ما شاكل ذلك، والمقام هو حرمة الغليان في شهر رمضان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على نفس ما يعود عليه الضمير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التكلم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إبداء وجهة نظره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المسألة مع بيان الأدلة وردّ الاعتراضات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في المقام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يَظهر فتاويهم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تَظهر فتاويهم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لأن الفاعل مؤنث مجازي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 على فتاوي بالياء وفتاوى 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 فقد ذكره صاحب جواهر القاموس في القسم الثاني من الباب الثالث، وأمّا الثاني فلأن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للتأنيث وما حالها كذلك تجمع على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كسندٍ للكبرى ما ذكره ابن الناظم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في البين والبال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لفّ ونشر مرتّب ، فإنّ ذكر كلمات القوم يتفرّع عليه ظهور فتاويهم في المقام وبيان المختار وترجيحه يظهر من خلاله ما في البين والبال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يُسأل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المصنف لم يُبين رأيه في الكفّارة قبل التعرّض لأخبار الباب بل بعده فكان اللّازم تقييد ما في البين والبال بما يتعلّق بالمفطرية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موضوع الرسالة هو المفطرية وأمّا لزوم الكفّارة فليس جزء الموضوع ولذا ذكره في التنبيهات، ولا ينافي ذلك قوله المتقدّم في المقدّمة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وأنّه ممّا يلزم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المخطوط المصنّف أو الناسخ تحت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بالضاد المعجمة أو الصاد المهملة لمحرّره مهدي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عدم الدلالة على الكفارة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ذلك بطريق الإجماع الماضي ذكره وطريقة الاحتياط واليقين ببراءة الذمة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الحاشية على جانب الورقة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عندي من نسخة الجامع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إلى ذلك بعضُ أصحابنا تعمّدَ الارتماس في الماء وتعمّد الكذب على الله ورسوله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وإيصال غبار النفض وشبهه إلى الحلق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 بعضهم أنْ يكون له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عطف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وإيصال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الارتماس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على ما قبله وهو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حرره مهدي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نسخ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وإضافة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ولكن فيما لدينا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وجوب الكفارة بإيصال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الغليظ</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تلخيص المرام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وإيصال الغبار الحلق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والرسالة التكليفية للشيخ السعيد محمّد بن محمّد بن مكي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الإرشاد للشهيد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كتاب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السداد للمحقق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فقه آل 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شمس الدين محمّد بن شجاع الأنصاري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شرح شرائع الإسلام للشيخ مفلح الصيمري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جعفر الكوثراني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الهادي للطباعة والنشر والتوزيع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عشرية الصومية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 للفيض الكاشاني</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المناهج السوية في شرح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مخطوط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شرح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نعمة الله الجزائري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أنظر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الغليان هو النرجيلة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التقريب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يلزم 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بالغبرة مطلقاً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حاجة إليه؛ فإنّ غايته الحكم بالحرمة في خصوص الدخان الغليظ – كما بيّن – ، بخلاف الأول فإنّه يعمّ الغليظ وغيره،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المصنّف قصد ذكر تقريبين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يستند إلى دعوى الحرمة في الرائحة الغليظة، والثاني إلى دعواها في مطلق الغبرة، نتيجة الأول حرمة الدخان مطلقاً، ونتيجة الثاني حرمة الدخان الغليظ</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بيّنا من لزوم الحكم بالحرمة بالفحوى في الدخان الغليظ للحكم بالقضاء بالغبرة مطلقاً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الغبار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علل حرمة الغبار 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بصحيح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نقل كلمات القوم من المصنف في أول المسألة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سقطاً وكانَّ أصل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ويلزم عليه في النهاية بالفحوى أنْ يقول بالحرمة في الدخان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ما في معنى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ومنشأ الظهور أمور ثلاثة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المقصود كجميع أفراد دخان الغليان، بل المقصود بعض أفراده، فإنّه سيأتي منه ما يدلّ على أنّه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غليظ وغيره، أعني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لدخان الغليان إذا كان غليظاً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هو ممّا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مقصوده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سمعت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في تقريب دلالة كلام الشيخ المفيد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والإطلاق بمعنى أنّه سواء أكان الغليان غليظاً أم غير غليظ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الأقوال التي ذكرها المصنّف أول الرسالة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لابن قطان مخطوط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 ومختصر سلّار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سيّما أن كلامه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ما أثبتناه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أجزاءه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مرَّ في تقريب دلالة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الحق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مرَّ يبين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بالدخان لدخان الغليان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وهو تصحيف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التعليل منقول بمضمونه لا بلفظه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المقاصد، وفوائد الشرائع، وتعليقات الإرشاد،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ابنه فهو الشيخ عبد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البروجردي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المحقّق الثاني كان فاضلا جليلا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مصطفى في نقده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عظيم المنزلة، رفيع الشأن، نقي الكلام كثير الحفظ، تشرفت بخدمته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ويروي عنه ابن أخته السيد الداماد ويروي هو عن أبيه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قصص العلماء في أحوال المحقّق 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وليُعلم أنّ المحقّق هو أول المتأخّرين، والعلماء يسمّون من قبله بالمتقدّمين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المراد مخطوط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غاية المرام مخطوط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حذف سطر ونصف تقريباً لتضمّنهما ألفاظاً غير مستساغة في عصرنا الحاضر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الغليان هو النرجيلة –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الشطب فهو ما يُدّعى في الفارسية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آلة للتدخين لها أنبوب قصير ورأس مجوف، يحرق فيه التبغ عند شربه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أول الرسالة حيث نقل المصنّف أقوال العلماء فيه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أول الرسالة حيث نقل المصنّف أقوال العلماء فيه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على وجوب القضاء ووجوب الكفارة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والمناسب ما أثبتناه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من الأمراء ولاة السلاطين، ووكلاؤهم في أنحاء البلاد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التاء، ولكن يكثر مثله عند علماء الأصول والمنطق، حتى إنّ التفتازاني مصنّف المطول والمختصر وغيرهما من عيون كتب العربية لا تخلو بعض كتبه كالتهذيب من ذلك</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ممّن تبعهما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الأتباع المقلدون،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غفل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المجتهدين والإخباريين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مسلكهم في اجتناب ارتكابه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المسلمين الذين يُحتج بسيرتهم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المصوّرة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فلابد من دعوى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إذ إنّ صحة سلب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على عدم المفطريّة لا على المفطريّة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مقتضى 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عدم صحّة سلب الاسم فهو حجّة على المفطريّة، وتقريرها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مشروب مفطر، وهذا مشروب، إذ لا يصح سلب اسم الشرب عنه فهو مفطر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ما هو مثبت في المصوّرة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الصوم،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12851</w:t>
      </w:r>
      <w:r>
        <w:rPr>
          <w:rFonts w:ascii="IRNazanin" w:hAnsi="IRNazanin" w:eastAsia="IRNazanin"/>
          <w:b w:val="false"/>
          <w:b w:val="false"/>
          <w:bCs w:val="false"/>
          <w:i w:val="false"/>
          <w:i w:val="false"/>
          <w:iCs w:val="false"/>
          <w:color w:val="333333"/>
          <w:sz w:val="20"/>
          <w:sz w:val="20"/>
          <w:szCs w:val="20"/>
          <w:rtl w:val="true"/>
        </w:rPr>
        <w:t xml:space="preserve">، ولكن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مفطر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وديدنهم من عدم نقل الفُتيا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عدم نقل سند الفتيا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وحاصل هذا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ديدن العلماء أنْ لا ينقلوا سند الفتيا، ولو كان الراوي غير المعصوم لكانت فتيا، وحيث أنّ القول مذكور مع سنده فليس بفتيا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تَلْو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أنّه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ديدنهم الرواية عن المعصوم لا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غيره أيضاً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المصوّرة إلّا أنّه اشتباه من الناسخ،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إشارة إلى قوله قدس سره هناك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سيّما من مثل زرارة، وابن مسلم، وعلي بن مهزيار، ممّن يُعلَم من ظاهر حاله أنّه لا يسألُ شيئاً من الأحكام إلّا من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ولاتّضاح المطلب بصورة أفضل لاحظ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الإطلاق في مقابل مَن خصَّ الحجية بغير سماعة كالعلّامة في المنتهى – أو ببعض الأصحاب كزرارة وغيره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منه أنّه يلزم عليه عدم حجّية أي كلام للراوي حتى غير هذه الرواية، وهذا واضح الفساد كما ذكره قدس سره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الرواية ضعفها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جهات الضعف فيها كثيرة، فافعل مستعملة في غير بابها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أكثر وأقوى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أكثر عدداً، وأقوى سنداً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أقوى بالعمل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عمل الأصحاب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الكلمة واضحة جيداً في المخطوطة، ولكن أظن 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المقصود منها بواضح</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الهاء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أساسه، وعليه فمعنى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المواد التي يتكون منها الدخان – والتي هي أساسه – عبارة عن رماد نشأ من احتراق النباتات ونحوها كالخشب، ويحتمل كون أرضيته بدلاً من الضمير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جوّز كون الظاهر بدلاً من الضمير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ولكنّه بعيد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الدخان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حرمة الدخان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بتقرير كالتقرير الذي سمعته فيما سبق – من أنّ الغبار مفطر، مع كون أجزاءه حلالاً فما كانت أجزاؤه حراماً – وهو الدخان – أولى بأنْ يكون مفطراً – وذلك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أجزاء الدخان النجس حرام، حيث إنّ الغبار – مع كون أجزاه حلالاً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مُفطر، فالدخان النجس أولى بأنْ يكون مُفطراً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بصحيح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لم تتضح لنا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والمناسب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الرسالة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واحتمال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والدلالة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يتضح المقصود منهما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الفاضل المقداد السيوري في التنقيح</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كتاب الصوم، باب</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مراده قدس سره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الأدلّة المتقدّمة على لزوم الاجتناب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للمخالف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الثانية، بتقريب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هناك ملازمة بين الجواز في الغبار والجواز في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الاعتراضات الثلاثة على الرواية الأولى</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فيما سبق</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المؤيدة بعمل عموم الأصحاب في خصوص دخول الغبار الأنف، أو الحلق دون التمضمض والاستنشاق وشمّ الرائحة الغليظة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ظاهر الغنية، ونهج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التغليب، باعتبار أنّ اغلب المذكور – وهو النهج والتذكرة – ظاهر في ذلك، وإنْ كان كلام الغنية صريحاً فيه كما تقدّم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بصحيح</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المستند فيه هو بعينه المستند في الغبار والدخان، والإطلاق والتقييد فيه بالغلظة كالإطلاق والتقييد هناك، وحيث إنّه لم تُعتبر الغلظة هناك – مع صدق الموضوع – فهي غير معتبرة هنا أيضاَ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ذلك له فطر مثل الأكل، والشرب، والنكاح</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المصوّرة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ونحن 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هي الموجودة في خاتمة الإشارات؛ وهذه الفائدة متطابقة مع خاتمته تقريباً في بعض المواضع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المصوّرة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الأنسب – كما في خاتمة الإشارات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القضاء والحكم بالرأي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أفتى الناس بغير علم ولا هدى من الله لعنته ملائكة الرحمة وملائكة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المفتي إذا أخطأ أثم وضمن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33638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أنّ المفتي إذا أخطأ أثم وضمن،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لولا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فحاصل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إلّا ما في هذه الفقرات، ولكن كان الأولى أنْ يقول 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إلّا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المصوّرة إلّا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هذه الفائدة متطابقة تقريباً في بعض المواضع مع ما 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خاتمة كتاب الإشارات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في الوصايا النافعة للمتعلمين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 إلى ذلك أنّه لو كان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 أن يُعدّى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يتعدّى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يدخل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اللازم إلحاق تاء التأنيث، ولكنْ الأمر في التذكير والتأنيث سهل عندهم كما تقدَّم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والفاعل ضمير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في تذكير الفعل ظهر مراراً تسامحاً منهم في تأنيث الفعل مع المؤنث المجازي</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المصوّرة الياء وليس بصحيح جزماً، بل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الإشارات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وغرائب دار الدوران والتقلب،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الدنيا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المقصود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لا يقوم في سبيل الحدّ من شربه أناس من أهل الفَهم</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نبات التبغ يدخن ورقة بالنارجيلة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الغليان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حدّ نفسه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يكون رخيصاً قياساً إلى بعض غيره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الضمير يعود للغليان، فإنّه لا بدّ منه في استعمال التنباك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نوع تبغ لا يستعمل إلّا 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وبقرينة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بإصلاح أموره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يعود للغليان، والأصل اتحاد المرجع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بنزع الخافض، 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من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جعل متعديّاً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يُناسب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يُقلِّل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مفاسد التدخين ومضاره كثيرة جداً، وقد ذكر بعض الأطباء أنّ في التدخين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 من السموم، أحدها – وهو أفتكها – النيكوتين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الأطباء أنّه يُضر بأجهزة الجسم، ويضرّ بأعضائه كالقلب والكبد وغيرهما، بل ويمتد تأثيره إلى الجنين في بطن أمه إذا ما مارست هذه العادة 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وفضلاً عن الأضرار الصحية والجسمية، فإنّ له أضراراً عقليّة ونفسيّة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ذكر الأطباء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يرتكب 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تدخل على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من تسامح المصنّفين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بفتح فسكون – العطية أو الضريبة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مختار الصحاح –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ر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الحرق بفتحتين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المقصود أنّهم يشعلون النار كي تختلط رائحة الغليان برائحة الحريق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القليان، والضمير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برائحتها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إلى الحرق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الإعاذة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التي بمعنى اللجوء ولذا علّق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مقابح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تضمين كلمة معنى كلمة أخرى لا يجعلها هي هي، وإلّا لزم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الإعاذة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معنيين في استعمال واحد وهو غير جائز</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image" Target="media/image3.jpeg"/><Relationship Id="rId258" Type="http://schemas.openxmlformats.org/officeDocument/2006/relationships/image" Target="media/image3.jpeg"/><Relationship Id="rId259" Type="http://schemas.openxmlformats.org/officeDocument/2006/relationships/footer" Target="footer252.xml"/><Relationship Id="rId260" Type="http://schemas.openxmlformats.org/officeDocument/2006/relationships/image" Target="media/image4.jpeg"/><Relationship Id="rId261" Type="http://schemas.openxmlformats.org/officeDocument/2006/relationships/image" Target="media/image4.jpeg"/><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09.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55125</Words>
  <Characters>251042</Characters>
  <CharactersWithSpaces>304371</CharactersWithSpaces>
  <Paragraphs>2151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2026-08-20T08:47:36Z</dcterms:created>
  <dc:creator>ghaemiyeh.com</dc:creator>
  <dc:description/>
  <dc:language>en-US</dc:language>
  <cp:lastModifiedBy/>
  <dcterms:modified xsi:type="dcterms:W3CDTF">2026-08-20T12:17:45Z</dcterms:modified>
  <cp:revision>1</cp:revision>
  <dc:subject/>
  <dc:title>دراسات علمیة - 1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