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من ملک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2015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72017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72019_581953129">
            <w:r>
              <w:rPr>
                <w:webHidden/>
                <w:rStyle w:val="IndexLink"/>
                <w:rtl w:val="true"/>
              </w:rPr>
              <w:t>سخن آغازین</w:t>
            </w:r>
            <w:r>
              <w:rPr>
                <w:rStyle w:val="IndexLink"/>
                <w:rtl w:val="true"/>
              </w:rPr>
              <w:tab/>
            </w:r>
            <w:r>
              <w:rPr>
                <w:rStyle w:val="IndexLink"/>
              </w:rPr>
              <w:t>10</w:t>
            </w:r>
          </w:hyperlink>
        </w:p>
        <w:p>
          <w:pPr>
            <w:pStyle w:val="Contents2"/>
            <w:tabs>
              <w:tab w:val="clear" w:pos="8743"/>
              <w:tab w:val="right" w:pos="9026" w:leader="dot"/>
            </w:tabs>
            <w:rPr/>
          </w:pPr>
          <w:hyperlink w:anchor="__RefHeading___Toc2472021_581953129">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472023_581953129">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2472025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472027_581953129">
            <w:r>
              <w:rPr>
                <w:webHidden/>
                <w:rStyle w:val="IndexLink"/>
                <w:rtl w:val="true"/>
              </w:rPr>
              <w:t>الف</w:t>
            </w:r>
            <w:r>
              <w:rPr>
                <w:rStyle w:val="IndexLink"/>
                <w:rtl w:val="true"/>
              </w:rPr>
              <w:t xml:space="preserve">) </w:t>
            </w:r>
            <w:r>
              <w:rPr>
                <w:rStyle w:val="IndexLink"/>
                <w:rtl w:val="true"/>
              </w:rPr>
              <w:t>فقه</w:t>
            </w:r>
            <w:r>
              <w:rPr>
                <w:rStyle w:val="IndexLink"/>
                <w:rtl w:val="true"/>
              </w:rPr>
              <w:tab/>
            </w:r>
            <w:r>
              <w:rPr>
                <w:rStyle w:val="IndexLink"/>
              </w:rPr>
              <w:t>14</w:t>
            </w:r>
          </w:hyperlink>
        </w:p>
        <w:p>
          <w:pPr>
            <w:pStyle w:val="Contents4"/>
            <w:tabs>
              <w:tab w:val="clear" w:pos="8176"/>
              <w:tab w:val="right" w:pos="9026" w:leader="dot"/>
            </w:tabs>
            <w:rPr/>
          </w:pPr>
          <w:hyperlink w:anchor="__RefHeading___Toc2472029_581953129">
            <w:r>
              <w:rPr>
                <w:webHidden/>
                <w:rStyle w:val="IndexLink"/>
              </w:rPr>
              <w:t>1</w:t>
            </w:r>
            <w:r>
              <w:rPr>
                <w:rStyle w:val="IndexLink"/>
                <w:rtl w:val="true"/>
              </w:rPr>
              <w:t xml:space="preserve">- </w:t>
            </w:r>
            <w:r>
              <w:rPr>
                <w:rStyle w:val="IndexLink"/>
                <w:rtl w:val="true"/>
              </w:rPr>
              <w:t>فقه در لغت</w:t>
            </w:r>
            <w:r>
              <w:rPr>
                <w:rStyle w:val="IndexLink"/>
                <w:rtl w:val="true"/>
              </w:rPr>
              <w:tab/>
            </w:r>
            <w:r>
              <w:rPr>
                <w:rStyle w:val="IndexLink"/>
              </w:rPr>
              <w:t>14</w:t>
            </w:r>
          </w:hyperlink>
        </w:p>
        <w:p>
          <w:pPr>
            <w:pStyle w:val="Contents4"/>
            <w:tabs>
              <w:tab w:val="clear" w:pos="8176"/>
              <w:tab w:val="right" w:pos="9026" w:leader="dot"/>
            </w:tabs>
            <w:rPr/>
          </w:pPr>
          <w:hyperlink w:anchor="__RefHeading___Toc2472031_581953129">
            <w:r>
              <w:rPr>
                <w:webHidden/>
                <w:rStyle w:val="IndexLink"/>
              </w:rPr>
              <w:t>2</w:t>
            </w:r>
            <w:r>
              <w:rPr>
                <w:rStyle w:val="IndexLink"/>
                <w:rtl w:val="true"/>
              </w:rPr>
              <w:t xml:space="preserve">- </w:t>
            </w:r>
            <w:r>
              <w:rPr>
                <w:rStyle w:val="IndexLink"/>
                <w:rtl w:val="true"/>
              </w:rPr>
              <w:t>فقه در اصطلاح</w:t>
            </w:r>
            <w:r>
              <w:rPr>
                <w:rStyle w:val="IndexLink"/>
                <w:rtl w:val="true"/>
              </w:rPr>
              <w:tab/>
            </w:r>
            <w:r>
              <w:rPr>
                <w:rStyle w:val="IndexLink"/>
              </w:rPr>
              <w:t>16</w:t>
            </w:r>
          </w:hyperlink>
        </w:p>
        <w:p>
          <w:pPr>
            <w:pStyle w:val="Contents3"/>
            <w:tabs>
              <w:tab w:val="clear" w:pos="8459"/>
              <w:tab w:val="right" w:pos="9026" w:leader="dot"/>
            </w:tabs>
            <w:rPr/>
          </w:pPr>
          <w:hyperlink w:anchor="__RefHeading___Toc2472033_581953129">
            <w:r>
              <w:rPr>
                <w:webHidden/>
                <w:rStyle w:val="IndexLink"/>
                <w:rtl w:val="true"/>
              </w:rPr>
              <w:t>ب</w:t>
            </w:r>
            <w:r>
              <w:rPr>
                <w:rStyle w:val="IndexLink"/>
                <w:rtl w:val="true"/>
              </w:rPr>
              <w:t xml:space="preserve">) </w:t>
            </w:r>
            <w:r>
              <w:rPr>
                <w:rStyle w:val="IndexLink"/>
                <w:rtl w:val="true"/>
              </w:rPr>
              <w:t>قاعدۀ فقهی</w:t>
            </w:r>
            <w:r>
              <w:rPr>
                <w:rStyle w:val="IndexLink"/>
                <w:rtl w:val="true"/>
              </w:rPr>
              <w:tab/>
            </w:r>
            <w:r>
              <w:rPr>
                <w:rStyle w:val="IndexLink"/>
              </w:rPr>
              <w:t>18</w:t>
            </w:r>
          </w:hyperlink>
        </w:p>
        <w:p>
          <w:pPr>
            <w:pStyle w:val="Contents4"/>
            <w:tabs>
              <w:tab w:val="clear" w:pos="8176"/>
              <w:tab w:val="right" w:pos="9026" w:leader="dot"/>
            </w:tabs>
            <w:rPr/>
          </w:pPr>
          <w:hyperlink w:anchor="__RefHeading___Toc2472035_58195312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472037_581953129">
            <w:r>
              <w:rPr>
                <w:webHidden/>
                <w:rStyle w:val="IndexLink"/>
              </w:rPr>
              <w:t>1</w:t>
            </w:r>
            <w:r>
              <w:rPr>
                <w:rStyle w:val="IndexLink"/>
                <w:rtl w:val="true"/>
              </w:rPr>
              <w:t xml:space="preserve">- </w:t>
            </w:r>
            <w:r>
              <w:rPr>
                <w:rStyle w:val="IndexLink"/>
                <w:rtl w:val="true"/>
              </w:rPr>
              <w:t>قاعده در لغت</w:t>
            </w:r>
            <w:r>
              <w:rPr>
                <w:rStyle w:val="IndexLink"/>
                <w:rtl w:val="true"/>
              </w:rPr>
              <w:tab/>
            </w:r>
            <w:r>
              <w:rPr>
                <w:rStyle w:val="IndexLink"/>
              </w:rPr>
              <w:t>18</w:t>
            </w:r>
          </w:hyperlink>
        </w:p>
        <w:p>
          <w:pPr>
            <w:pStyle w:val="Contents4"/>
            <w:tabs>
              <w:tab w:val="clear" w:pos="8176"/>
              <w:tab w:val="right" w:pos="9026" w:leader="dot"/>
            </w:tabs>
            <w:rPr/>
          </w:pPr>
          <w:hyperlink w:anchor="__RefHeading___Toc2472039_581953129">
            <w:r>
              <w:rPr>
                <w:webHidden/>
                <w:rStyle w:val="IndexLink"/>
              </w:rPr>
              <w:t>2</w:t>
            </w:r>
            <w:r>
              <w:rPr>
                <w:rStyle w:val="IndexLink"/>
                <w:rtl w:val="true"/>
              </w:rPr>
              <w:t xml:space="preserve">- </w:t>
            </w:r>
            <w:r>
              <w:rPr>
                <w:rStyle w:val="IndexLink"/>
                <w:rtl w:val="true"/>
              </w:rPr>
              <w:t>قاعده در اصطلاح</w:t>
            </w:r>
            <w:r>
              <w:rPr>
                <w:rStyle w:val="IndexLink"/>
                <w:rtl w:val="true"/>
              </w:rPr>
              <w:tab/>
            </w:r>
            <w:r>
              <w:rPr>
                <w:rStyle w:val="IndexLink"/>
              </w:rPr>
              <w:t>19</w:t>
            </w:r>
          </w:hyperlink>
        </w:p>
        <w:p>
          <w:pPr>
            <w:pStyle w:val="Contents4"/>
            <w:tabs>
              <w:tab w:val="clear" w:pos="8176"/>
              <w:tab w:val="right" w:pos="9026" w:leader="dot"/>
            </w:tabs>
            <w:rPr/>
          </w:pPr>
          <w:hyperlink w:anchor="__RefHeading___Toc2472041_581953129">
            <w:r>
              <w:rPr>
                <w:webHidden/>
                <w:rStyle w:val="IndexLink"/>
              </w:rPr>
              <w:t>3</w:t>
            </w:r>
            <w:r>
              <w:rPr>
                <w:rStyle w:val="IndexLink"/>
                <w:rtl w:val="true"/>
              </w:rPr>
              <w:t xml:space="preserve">- </w:t>
            </w:r>
            <w:r>
              <w:rPr>
                <w:rStyle w:val="IndexLink"/>
                <w:rtl w:val="true"/>
              </w:rPr>
              <w:t>قاعدۀ فقهی</w:t>
            </w:r>
            <w:r>
              <w:rPr>
                <w:rStyle w:val="IndexLink"/>
                <w:rtl w:val="true"/>
              </w:rPr>
              <w:tab/>
            </w:r>
            <w:r>
              <w:rPr>
                <w:rStyle w:val="IndexLink"/>
              </w:rPr>
              <w:t>20</w:t>
            </w:r>
          </w:hyperlink>
        </w:p>
        <w:p>
          <w:pPr>
            <w:pStyle w:val="Contents3"/>
            <w:tabs>
              <w:tab w:val="clear" w:pos="8459"/>
              <w:tab w:val="right" w:pos="9026" w:leader="dot"/>
            </w:tabs>
            <w:rPr/>
          </w:pPr>
          <w:hyperlink w:anchor="__RefHeading___Toc2472043_581953129">
            <w:r>
              <w:rPr>
                <w:webHidden/>
                <w:rStyle w:val="IndexLink"/>
                <w:rtl w:val="true"/>
              </w:rPr>
              <w:t>پ</w:t>
            </w:r>
            <w:r>
              <w:rPr>
                <w:rStyle w:val="IndexLink"/>
                <w:rtl w:val="true"/>
              </w:rPr>
              <w:t xml:space="preserve">) </w:t>
            </w:r>
            <w:r>
              <w:rPr>
                <w:rStyle w:val="IndexLink"/>
                <w:rtl w:val="true"/>
              </w:rPr>
              <w:t>تفاوت بین قاعدۀ فقهی و اصولی</w:t>
            </w:r>
            <w:r>
              <w:rPr>
                <w:rStyle w:val="IndexLink"/>
                <w:rtl w:val="true"/>
              </w:rPr>
              <w:tab/>
            </w:r>
            <w:r>
              <w:rPr>
                <w:rStyle w:val="IndexLink"/>
              </w:rPr>
              <w:t>21</w:t>
            </w:r>
          </w:hyperlink>
        </w:p>
        <w:p>
          <w:pPr>
            <w:pStyle w:val="Contents3"/>
            <w:tabs>
              <w:tab w:val="clear" w:pos="8459"/>
              <w:tab w:val="right" w:pos="9026" w:leader="dot"/>
            </w:tabs>
            <w:rPr/>
          </w:pPr>
          <w:hyperlink w:anchor="__RefHeading___Toc2472045_581953129">
            <w:r>
              <w:rPr>
                <w:webHidden/>
                <w:rStyle w:val="IndexLink"/>
                <w:rtl w:val="true"/>
              </w:rPr>
              <w:t>ت</w:t>
            </w:r>
            <w:r>
              <w:rPr>
                <w:rStyle w:val="IndexLink"/>
                <w:rtl w:val="true"/>
              </w:rPr>
              <w:t xml:space="preserve">) </w:t>
            </w:r>
            <w:r>
              <w:rPr>
                <w:rStyle w:val="IndexLink"/>
                <w:rtl w:val="true"/>
              </w:rPr>
              <w:t>تاریخچه قواعد فقهیه</w:t>
            </w:r>
            <w:r>
              <w:rPr>
                <w:rStyle w:val="IndexLink"/>
                <w:rtl w:val="true"/>
              </w:rPr>
              <w:tab/>
            </w:r>
            <w:r>
              <w:rPr>
                <w:rStyle w:val="IndexLink"/>
              </w:rPr>
              <w:t>29</w:t>
            </w:r>
          </w:hyperlink>
        </w:p>
        <w:p>
          <w:pPr>
            <w:pStyle w:val="Contents4"/>
            <w:tabs>
              <w:tab w:val="clear" w:pos="8176"/>
              <w:tab w:val="right" w:pos="9026" w:leader="dot"/>
            </w:tabs>
            <w:rPr/>
          </w:pPr>
          <w:hyperlink w:anchor="__RefHeading___Toc2472047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472049_581953129">
            <w:r>
              <w:rPr>
                <w:webHidden/>
                <w:rStyle w:val="IndexLink"/>
              </w:rPr>
              <w:t>1</w:t>
            </w:r>
            <w:r>
              <w:rPr>
                <w:rStyle w:val="IndexLink"/>
                <w:rtl w:val="true"/>
              </w:rPr>
              <w:t xml:space="preserve">- </w:t>
            </w:r>
            <w:r>
              <w:rPr>
                <w:rStyle w:val="IndexLink"/>
                <w:rtl w:val="true"/>
              </w:rPr>
              <w:t xml:space="preserve">شهید اول </w:t>
            </w:r>
            <w:r>
              <w:rPr>
                <w:rStyle w:val="IndexLink"/>
                <w:rtl w:val="true"/>
              </w:rPr>
              <w:t xml:space="preserve">( </w:t>
            </w:r>
            <w:r>
              <w:rPr>
                <w:rStyle w:val="IndexLink"/>
              </w:rPr>
              <w:t>786</w:t>
            </w:r>
            <w:r>
              <w:rPr>
                <w:rStyle w:val="IndexLink"/>
                <w:rtl w:val="true"/>
              </w:rPr>
              <w:t>-</w:t>
            </w:r>
            <w:r>
              <w:rPr>
                <w:rStyle w:val="IndexLink"/>
              </w:rPr>
              <w:t>734</w:t>
            </w:r>
            <w:r>
              <w:rPr>
                <w:rStyle w:val="IndexLink"/>
                <w:rtl w:val="true"/>
              </w:rPr>
              <w:t xml:space="preserve"> </w:t>
            </w:r>
            <w:r>
              <w:rPr>
                <w:rStyle w:val="IndexLink"/>
                <w:rtl w:val="true"/>
              </w:rPr>
              <w:t>ق</w:t>
            </w:r>
            <w:r>
              <w:rPr>
                <w:rStyle w:val="IndexLink"/>
                <w:rtl w:val="true"/>
              </w:rPr>
              <w:t>)</w:t>
              <w:tab/>
            </w:r>
            <w:r>
              <w:rPr>
                <w:rStyle w:val="IndexLink"/>
              </w:rPr>
              <w:t>30</w:t>
            </w:r>
          </w:hyperlink>
        </w:p>
        <w:p>
          <w:pPr>
            <w:pStyle w:val="Contents4"/>
            <w:tabs>
              <w:tab w:val="clear" w:pos="8176"/>
              <w:tab w:val="right" w:pos="9026" w:leader="dot"/>
            </w:tabs>
            <w:rPr/>
          </w:pPr>
          <w:hyperlink w:anchor="__RefHeading___Toc2472051_581953129">
            <w:r>
              <w:rPr>
                <w:webHidden/>
                <w:rStyle w:val="IndexLink"/>
              </w:rPr>
              <w:t>2</w:t>
            </w:r>
            <w:r>
              <w:rPr>
                <w:rStyle w:val="IndexLink"/>
                <w:rtl w:val="true"/>
              </w:rPr>
              <w:t xml:space="preserve">- </w:t>
            </w:r>
            <w:r>
              <w:rPr>
                <w:rStyle w:val="IndexLink"/>
                <w:rtl w:val="true"/>
              </w:rPr>
              <w:t xml:space="preserve">فاضل مقداد </w:t>
            </w:r>
            <w:r>
              <w:rPr>
                <w:rStyle w:val="IndexLink"/>
                <w:rtl w:val="true"/>
              </w:rPr>
              <w:t>(</w:t>
            </w:r>
            <w:r>
              <w:rPr>
                <w:rStyle w:val="IndexLink"/>
                <w:rtl w:val="true"/>
              </w:rPr>
              <w:t xml:space="preserve">متوفای </w:t>
            </w:r>
            <w:r>
              <w:rPr>
                <w:rStyle w:val="IndexLink"/>
              </w:rPr>
              <w:t>826</w:t>
            </w:r>
            <w:r>
              <w:rPr>
                <w:rStyle w:val="IndexLink"/>
                <w:rtl w:val="true"/>
              </w:rPr>
              <w:t xml:space="preserve"> </w:t>
            </w:r>
            <w:r>
              <w:rPr>
                <w:rStyle w:val="IndexLink"/>
                <w:rtl w:val="true"/>
              </w:rPr>
              <w:t>ق</w:t>
            </w:r>
            <w:r>
              <w:rPr>
                <w:rStyle w:val="IndexLink"/>
                <w:rtl w:val="true"/>
              </w:rPr>
              <w:t>)</w:t>
              <w:tab/>
            </w:r>
            <w:r>
              <w:rPr>
                <w:rStyle w:val="IndexLink"/>
              </w:rPr>
              <w:t>30</w:t>
            </w:r>
          </w:hyperlink>
        </w:p>
        <w:p>
          <w:pPr>
            <w:pStyle w:val="Contents4"/>
            <w:tabs>
              <w:tab w:val="clear" w:pos="8176"/>
              <w:tab w:val="right" w:pos="9026" w:leader="dot"/>
            </w:tabs>
            <w:rPr/>
          </w:pPr>
          <w:hyperlink w:anchor="__RefHeading___Toc2472053_581953129">
            <w:r>
              <w:rPr>
                <w:webHidden/>
                <w:rStyle w:val="IndexLink"/>
              </w:rPr>
              <w:t>3</w:t>
            </w:r>
            <w:r>
              <w:rPr>
                <w:rStyle w:val="IndexLink"/>
                <w:rtl w:val="true"/>
              </w:rPr>
              <w:t xml:space="preserve">- </w:t>
            </w:r>
            <w:r>
              <w:rPr>
                <w:rStyle w:val="IndexLink"/>
                <w:rtl w:val="true"/>
              </w:rPr>
              <w:t xml:space="preserve">شهید ثانی </w:t>
            </w:r>
            <w:r>
              <w:rPr>
                <w:rStyle w:val="IndexLink"/>
                <w:rtl w:val="true"/>
              </w:rPr>
              <w:t xml:space="preserve">( </w:t>
            </w:r>
            <w:r>
              <w:rPr>
                <w:rStyle w:val="IndexLink"/>
              </w:rPr>
              <w:t>966</w:t>
            </w:r>
            <w:r>
              <w:rPr>
                <w:rStyle w:val="IndexLink"/>
                <w:rtl w:val="true"/>
              </w:rPr>
              <w:t>-</w:t>
            </w:r>
            <w:r>
              <w:rPr>
                <w:rStyle w:val="IndexLink"/>
              </w:rPr>
              <w:t>911</w:t>
            </w:r>
            <w:r>
              <w:rPr>
                <w:rStyle w:val="IndexLink"/>
                <w:rtl w:val="true"/>
              </w:rPr>
              <w:t xml:space="preserve"> </w:t>
            </w:r>
            <w:r>
              <w:rPr>
                <w:rStyle w:val="IndexLink"/>
                <w:rtl w:val="true"/>
              </w:rPr>
              <w:t>ق</w:t>
            </w:r>
            <w:r>
              <w:rPr>
                <w:rStyle w:val="IndexLink"/>
                <w:rtl w:val="true"/>
              </w:rPr>
              <w:t>)</w:t>
              <w:tab/>
            </w:r>
            <w:r>
              <w:rPr>
                <w:rStyle w:val="IndexLink"/>
              </w:rPr>
              <w:t>31</w:t>
            </w:r>
          </w:hyperlink>
        </w:p>
        <w:p>
          <w:pPr>
            <w:pStyle w:val="Contents4"/>
            <w:tabs>
              <w:tab w:val="clear" w:pos="8176"/>
              <w:tab w:val="right" w:pos="9026" w:leader="dot"/>
            </w:tabs>
            <w:rPr/>
          </w:pPr>
          <w:hyperlink w:anchor="__RefHeading___Toc2472055_581953129">
            <w:r>
              <w:rPr>
                <w:webHidden/>
                <w:rStyle w:val="IndexLink"/>
              </w:rPr>
              <w:t>4</w:t>
            </w:r>
            <w:r>
              <w:rPr>
                <w:rStyle w:val="IndexLink"/>
                <w:rtl w:val="true"/>
              </w:rPr>
              <w:t xml:space="preserve">- </w:t>
            </w:r>
            <w:r>
              <w:rPr>
                <w:rStyle w:val="IndexLink"/>
                <w:rtl w:val="true"/>
              </w:rPr>
              <w:t xml:space="preserve">شیخ جعفر کاشف الغطاء </w:t>
            </w:r>
            <w:r>
              <w:rPr>
                <w:rStyle w:val="IndexLink"/>
                <w:rtl w:val="true"/>
              </w:rPr>
              <w:t>(</w:t>
            </w:r>
            <w:r>
              <w:rPr>
                <w:rStyle w:val="IndexLink"/>
                <w:rtl w:val="true"/>
              </w:rPr>
              <w:t xml:space="preserve">متوفای </w:t>
            </w:r>
            <w:r>
              <w:rPr>
                <w:rStyle w:val="IndexLink"/>
              </w:rPr>
              <w:t>1227</w:t>
            </w:r>
            <w:r>
              <w:rPr>
                <w:rStyle w:val="IndexLink"/>
                <w:rtl w:val="true"/>
              </w:rPr>
              <w:t xml:space="preserve"> </w:t>
            </w:r>
            <w:r>
              <w:rPr>
                <w:rStyle w:val="IndexLink"/>
                <w:rtl w:val="true"/>
              </w:rPr>
              <w:t>ق</w:t>
            </w:r>
            <w:r>
              <w:rPr>
                <w:rStyle w:val="IndexLink"/>
                <w:rtl w:val="true"/>
              </w:rPr>
              <w:t>)</w:t>
              <w:tab/>
            </w:r>
            <w:r>
              <w:rPr>
                <w:rStyle w:val="IndexLink"/>
              </w:rPr>
              <w:t>31</w:t>
            </w:r>
          </w:hyperlink>
        </w:p>
        <w:p>
          <w:pPr>
            <w:pStyle w:val="Contents4"/>
            <w:tabs>
              <w:tab w:val="clear" w:pos="8176"/>
              <w:tab w:val="right" w:pos="9026" w:leader="dot"/>
            </w:tabs>
            <w:rPr/>
          </w:pPr>
          <w:hyperlink w:anchor="__RefHeading___Toc2472057_581953129">
            <w:r>
              <w:rPr>
                <w:webHidden/>
                <w:rStyle w:val="IndexLink"/>
              </w:rPr>
              <w:t>5</w:t>
            </w:r>
            <w:r>
              <w:rPr>
                <w:rStyle w:val="IndexLink"/>
                <w:rtl w:val="true"/>
              </w:rPr>
              <w:t xml:space="preserve">- </w:t>
            </w:r>
            <w:r>
              <w:rPr>
                <w:rStyle w:val="IndexLink"/>
                <w:rtl w:val="true"/>
              </w:rPr>
              <w:t xml:space="preserve">سید عبداللّه شبّر </w:t>
            </w:r>
            <w:r>
              <w:rPr>
                <w:rStyle w:val="IndexLink"/>
                <w:rtl w:val="true"/>
              </w:rPr>
              <w:t>(</w:t>
            </w:r>
            <w:r>
              <w:rPr>
                <w:rStyle w:val="IndexLink"/>
                <w:rtl w:val="true"/>
              </w:rPr>
              <w:t xml:space="preserve">متوفای </w:t>
            </w:r>
            <w:r>
              <w:rPr>
                <w:rStyle w:val="IndexLink"/>
              </w:rPr>
              <w:t>1241</w:t>
            </w:r>
            <w:r>
              <w:rPr>
                <w:rStyle w:val="IndexLink"/>
                <w:rtl w:val="true"/>
              </w:rPr>
              <w:t xml:space="preserve"> </w:t>
            </w:r>
            <w:r>
              <w:rPr>
                <w:rStyle w:val="IndexLink"/>
                <w:rtl w:val="true"/>
              </w:rPr>
              <w:t>ق</w:t>
            </w:r>
            <w:r>
              <w:rPr>
                <w:rStyle w:val="IndexLink"/>
                <w:rtl w:val="true"/>
              </w:rPr>
              <w:t>)</w:t>
              <w:tab/>
            </w:r>
            <w:r>
              <w:rPr>
                <w:rStyle w:val="IndexLink"/>
              </w:rPr>
              <w:t>31</w:t>
            </w:r>
          </w:hyperlink>
        </w:p>
        <w:p>
          <w:pPr>
            <w:pStyle w:val="Contents4"/>
            <w:tabs>
              <w:tab w:val="clear" w:pos="8176"/>
              <w:tab w:val="right" w:pos="9026" w:leader="dot"/>
            </w:tabs>
            <w:rPr/>
          </w:pPr>
          <w:hyperlink w:anchor="__RefHeading___Toc2472059_581953129">
            <w:r>
              <w:rPr>
                <w:webHidden/>
                <w:rStyle w:val="IndexLink"/>
              </w:rPr>
              <w:t>6</w:t>
            </w:r>
            <w:r>
              <w:rPr>
                <w:rStyle w:val="IndexLink"/>
                <w:rtl w:val="true"/>
              </w:rPr>
              <w:t xml:space="preserve">- </w:t>
            </w:r>
            <w:r>
              <w:rPr>
                <w:rStyle w:val="IndexLink"/>
                <w:rtl w:val="true"/>
              </w:rPr>
              <w:t xml:space="preserve">ملا احمد نراقی </w:t>
            </w:r>
            <w:r>
              <w:rPr>
                <w:rStyle w:val="IndexLink"/>
                <w:rtl w:val="true"/>
              </w:rPr>
              <w:t>(</w:t>
            </w:r>
            <w:r>
              <w:rPr>
                <w:rStyle w:val="IndexLink"/>
                <w:rtl w:val="true"/>
              </w:rPr>
              <w:t xml:space="preserve">متوفای </w:t>
            </w:r>
            <w:r>
              <w:rPr>
                <w:rStyle w:val="IndexLink"/>
              </w:rPr>
              <w:t>1245</w:t>
            </w:r>
            <w:r>
              <w:rPr>
                <w:rStyle w:val="IndexLink"/>
                <w:rtl w:val="true"/>
              </w:rPr>
              <w:t xml:space="preserve"> </w:t>
            </w:r>
            <w:r>
              <w:rPr>
                <w:rStyle w:val="IndexLink"/>
                <w:rtl w:val="true"/>
              </w:rPr>
              <w:t>ق</w:t>
            </w:r>
            <w:r>
              <w:rPr>
                <w:rStyle w:val="IndexLink"/>
                <w:rtl w:val="true"/>
              </w:rPr>
              <w:t>)</w:t>
              <w:tab/>
            </w:r>
            <w:r>
              <w:rPr>
                <w:rStyle w:val="IndexLink"/>
              </w:rPr>
              <w:t>31</w:t>
            </w:r>
          </w:hyperlink>
        </w:p>
        <w:p>
          <w:pPr>
            <w:pStyle w:val="Contents4"/>
            <w:tabs>
              <w:tab w:val="clear" w:pos="8176"/>
              <w:tab w:val="right" w:pos="9026" w:leader="dot"/>
            </w:tabs>
            <w:rPr/>
          </w:pPr>
          <w:hyperlink w:anchor="__RefHeading___Toc2472061_581953129">
            <w:r>
              <w:rPr>
                <w:webHidden/>
                <w:rStyle w:val="IndexLink"/>
              </w:rPr>
              <w:t>7</w:t>
            </w:r>
            <w:r>
              <w:rPr>
                <w:rStyle w:val="IndexLink"/>
                <w:rtl w:val="true"/>
              </w:rPr>
              <w:t xml:space="preserve">- </w:t>
            </w:r>
            <w:r>
              <w:rPr>
                <w:rStyle w:val="IndexLink"/>
                <w:rtl w:val="true"/>
              </w:rPr>
              <w:t xml:space="preserve">سید میر عبد الفتاح مراغی </w:t>
            </w:r>
            <w:r>
              <w:rPr>
                <w:rStyle w:val="IndexLink"/>
                <w:rtl w:val="true"/>
              </w:rPr>
              <w:t>(</w:t>
            </w:r>
            <w:r>
              <w:rPr>
                <w:rStyle w:val="IndexLink"/>
                <w:rtl w:val="true"/>
              </w:rPr>
              <w:t xml:space="preserve">متوفای </w:t>
            </w:r>
            <w:r>
              <w:rPr>
                <w:rStyle w:val="IndexLink"/>
              </w:rPr>
              <w:t>1250</w:t>
            </w:r>
            <w:r>
              <w:rPr>
                <w:rStyle w:val="IndexLink"/>
                <w:rtl w:val="true"/>
              </w:rPr>
              <w:t xml:space="preserve"> </w:t>
            </w:r>
            <w:r>
              <w:rPr>
                <w:rStyle w:val="IndexLink"/>
                <w:rtl w:val="true"/>
              </w:rPr>
              <w:t>ق</w:t>
            </w:r>
            <w:r>
              <w:rPr>
                <w:rStyle w:val="IndexLink"/>
                <w:rtl w:val="true"/>
              </w:rPr>
              <w:t>)</w:t>
              <w:tab/>
            </w:r>
            <w:r>
              <w:rPr>
                <w:rStyle w:val="IndexLink"/>
              </w:rPr>
              <w:t>32</w:t>
            </w:r>
          </w:hyperlink>
        </w:p>
        <w:p>
          <w:pPr>
            <w:pStyle w:val="Contents4"/>
            <w:tabs>
              <w:tab w:val="clear" w:pos="8176"/>
              <w:tab w:val="right" w:pos="9026" w:leader="dot"/>
            </w:tabs>
            <w:rPr/>
          </w:pPr>
          <w:hyperlink w:anchor="__RefHeading___Toc2472063_581953129">
            <w:r>
              <w:rPr>
                <w:webHidden/>
                <w:rStyle w:val="IndexLink"/>
              </w:rPr>
              <w:t>8</w:t>
            </w:r>
            <w:r>
              <w:rPr>
                <w:rStyle w:val="IndexLink"/>
                <w:rtl w:val="true"/>
              </w:rPr>
              <w:t xml:space="preserve">- </w:t>
            </w:r>
            <w:r>
              <w:rPr>
                <w:rStyle w:val="IndexLink"/>
                <w:rtl w:val="true"/>
              </w:rPr>
              <w:t xml:space="preserve">سید محمد مهدی قزوینی حلی نجفی </w:t>
            </w:r>
            <w:r>
              <w:rPr>
                <w:rStyle w:val="IndexLink"/>
                <w:rtl w:val="true"/>
              </w:rPr>
              <w:t>(</w:t>
            </w:r>
            <w:r>
              <w:rPr>
                <w:rStyle w:val="IndexLink"/>
                <w:rtl w:val="true"/>
              </w:rPr>
              <w:t xml:space="preserve">متوفای </w:t>
            </w:r>
            <w:r>
              <w:rPr>
                <w:rStyle w:val="IndexLink"/>
              </w:rPr>
              <w:t>1300</w:t>
            </w:r>
            <w:r>
              <w:rPr>
                <w:rStyle w:val="IndexLink"/>
                <w:rtl w:val="true"/>
              </w:rPr>
              <w:t xml:space="preserve"> </w:t>
            </w:r>
            <w:r>
              <w:rPr>
                <w:rStyle w:val="IndexLink"/>
                <w:rtl w:val="true"/>
              </w:rPr>
              <w:t>ق</w:t>
            </w:r>
            <w:r>
              <w:rPr>
                <w:rStyle w:val="IndexLink"/>
                <w:rtl w:val="true"/>
              </w:rPr>
              <w:t>)</w:t>
              <w:tab/>
            </w:r>
            <w:r>
              <w:rPr>
                <w:rStyle w:val="IndexLink"/>
              </w:rPr>
              <w:t>32</w:t>
            </w:r>
          </w:hyperlink>
        </w:p>
        <w:p>
          <w:pPr>
            <w:pStyle w:val="Contents4"/>
            <w:tabs>
              <w:tab w:val="clear" w:pos="8176"/>
              <w:tab w:val="right" w:pos="9026" w:leader="dot"/>
            </w:tabs>
            <w:rPr/>
          </w:pPr>
          <w:hyperlink w:anchor="__RefHeading___Toc2472065_581953129">
            <w:r>
              <w:rPr>
                <w:webHidden/>
                <w:rStyle w:val="IndexLink"/>
              </w:rPr>
              <w:t>9</w:t>
            </w:r>
            <w:r>
              <w:rPr>
                <w:rStyle w:val="IndexLink"/>
                <w:rtl w:val="true"/>
              </w:rPr>
              <w:t xml:space="preserve">- </w:t>
            </w:r>
            <w:r>
              <w:rPr>
                <w:rStyle w:val="IndexLink"/>
                <w:rtl w:val="true"/>
              </w:rPr>
              <w:t xml:space="preserve">نظر علی طالقانی </w:t>
            </w:r>
            <w:r>
              <w:rPr>
                <w:rStyle w:val="IndexLink"/>
                <w:rtl w:val="true"/>
              </w:rPr>
              <w:t xml:space="preserve">( </w:t>
            </w:r>
            <w:r>
              <w:rPr>
                <w:rStyle w:val="IndexLink"/>
              </w:rPr>
              <w:t>1306</w:t>
            </w:r>
            <w:r>
              <w:rPr>
                <w:rStyle w:val="IndexLink"/>
                <w:rtl w:val="true"/>
              </w:rPr>
              <w:t>-</w:t>
            </w:r>
            <w:r>
              <w:rPr>
                <w:rStyle w:val="IndexLink"/>
              </w:rPr>
              <w:t>1240</w:t>
            </w:r>
            <w:r>
              <w:rPr>
                <w:rStyle w:val="IndexLink"/>
                <w:rtl w:val="true"/>
              </w:rPr>
              <w:t xml:space="preserve"> </w:t>
            </w:r>
            <w:r>
              <w:rPr>
                <w:rStyle w:val="IndexLink"/>
                <w:rtl w:val="true"/>
              </w:rPr>
              <w:t>ق</w:t>
            </w:r>
            <w:r>
              <w:rPr>
                <w:rStyle w:val="IndexLink"/>
                <w:rtl w:val="true"/>
              </w:rPr>
              <w:t>)</w:t>
              <w:tab/>
            </w:r>
            <w:r>
              <w:rPr>
                <w:rStyle w:val="IndexLink"/>
              </w:rPr>
              <w:t>32</w:t>
            </w:r>
          </w:hyperlink>
        </w:p>
        <w:p>
          <w:pPr>
            <w:pStyle w:val="Contents4"/>
            <w:tabs>
              <w:tab w:val="clear" w:pos="8176"/>
              <w:tab w:val="right" w:pos="9026" w:leader="dot"/>
            </w:tabs>
            <w:rPr/>
          </w:pPr>
          <w:hyperlink w:anchor="__RefHeading___Toc2472067_581953129">
            <w:r>
              <w:rPr>
                <w:webHidden/>
                <w:rStyle w:val="IndexLink"/>
              </w:rPr>
              <w:t>10</w:t>
            </w:r>
            <w:r>
              <w:rPr>
                <w:rStyle w:val="IndexLink"/>
                <w:rtl w:val="true"/>
              </w:rPr>
              <w:t xml:space="preserve">- </w:t>
            </w:r>
            <w:r>
              <w:rPr>
                <w:rStyle w:val="IndexLink"/>
                <w:rtl w:val="true"/>
              </w:rPr>
              <w:t xml:space="preserve">ملا حبیب اللّه کاشانی </w:t>
            </w:r>
            <w:r>
              <w:rPr>
                <w:rStyle w:val="IndexLink"/>
                <w:rtl w:val="true"/>
              </w:rPr>
              <w:t>(</w:t>
            </w:r>
            <w:r>
              <w:rPr>
                <w:rStyle w:val="IndexLink"/>
                <w:rtl w:val="true"/>
              </w:rPr>
              <w:t xml:space="preserve">متوفای </w:t>
            </w:r>
            <w:r>
              <w:rPr>
                <w:rStyle w:val="IndexLink"/>
              </w:rPr>
              <w:t>1340</w:t>
            </w:r>
            <w:r>
              <w:rPr>
                <w:rStyle w:val="IndexLink"/>
                <w:rtl w:val="true"/>
              </w:rPr>
              <w:t xml:space="preserve"> </w:t>
            </w:r>
            <w:r>
              <w:rPr>
                <w:rStyle w:val="IndexLink"/>
                <w:rtl w:val="true"/>
              </w:rPr>
              <w:t>ق</w:t>
            </w:r>
            <w:r>
              <w:rPr>
                <w:rStyle w:val="IndexLink"/>
                <w:rtl w:val="true"/>
              </w:rPr>
              <w:t>)</w:t>
              <w:tab/>
            </w:r>
            <w:r>
              <w:rPr>
                <w:rStyle w:val="IndexLink"/>
              </w:rPr>
              <w:t>32</w:t>
            </w:r>
          </w:hyperlink>
        </w:p>
        <w:p>
          <w:pPr>
            <w:pStyle w:val="Contents4"/>
            <w:tabs>
              <w:tab w:val="clear" w:pos="8176"/>
              <w:tab w:val="right" w:pos="9026" w:leader="dot"/>
            </w:tabs>
            <w:rPr/>
          </w:pPr>
          <w:hyperlink w:anchor="__RefHeading___Toc2472069_581953129">
            <w:r>
              <w:rPr>
                <w:webHidden/>
                <w:rStyle w:val="IndexLink"/>
              </w:rPr>
              <w:t>11</w:t>
            </w:r>
            <w:r>
              <w:rPr>
                <w:rStyle w:val="IndexLink"/>
                <w:rtl w:val="true"/>
              </w:rPr>
              <w:t xml:space="preserve">- </w:t>
            </w:r>
            <w:r>
              <w:rPr>
                <w:rStyle w:val="IndexLink"/>
                <w:rtl w:val="true"/>
              </w:rPr>
              <w:t xml:space="preserve">شیخ مهدی خالصی کاظمی </w:t>
            </w:r>
            <w:r>
              <w:rPr>
                <w:rStyle w:val="IndexLink"/>
                <w:rtl w:val="true"/>
              </w:rPr>
              <w:t>(</w:t>
            </w:r>
            <w:r>
              <w:rPr>
                <w:rStyle w:val="IndexLink"/>
                <w:rtl w:val="true"/>
              </w:rPr>
              <w:t xml:space="preserve">متوفای </w:t>
            </w:r>
            <w:r>
              <w:rPr>
                <w:rStyle w:val="IndexLink"/>
              </w:rPr>
              <w:t>1343</w:t>
            </w:r>
            <w:r>
              <w:rPr>
                <w:rStyle w:val="IndexLink"/>
                <w:rtl w:val="true"/>
              </w:rPr>
              <w:t xml:space="preserve"> </w:t>
            </w:r>
            <w:r>
              <w:rPr>
                <w:rStyle w:val="IndexLink"/>
                <w:rtl w:val="true"/>
              </w:rPr>
              <w:t>ق</w:t>
            </w:r>
            <w:r>
              <w:rPr>
                <w:rStyle w:val="IndexLink"/>
                <w:rtl w:val="true"/>
              </w:rPr>
              <w:t>)</w:t>
              <w:tab/>
            </w:r>
            <w:r>
              <w:rPr>
                <w:rStyle w:val="IndexLink"/>
              </w:rPr>
              <w:t>33</w:t>
            </w:r>
          </w:hyperlink>
        </w:p>
        <w:p>
          <w:pPr>
            <w:pStyle w:val="Contents4"/>
            <w:tabs>
              <w:tab w:val="clear" w:pos="8176"/>
              <w:tab w:val="right" w:pos="9026" w:leader="dot"/>
            </w:tabs>
            <w:rPr/>
          </w:pPr>
          <w:hyperlink w:anchor="__RefHeading___Toc2472071_581953129">
            <w:r>
              <w:rPr>
                <w:webHidden/>
                <w:rStyle w:val="IndexLink"/>
              </w:rPr>
              <w:t>12</w:t>
            </w:r>
            <w:r>
              <w:rPr>
                <w:rStyle w:val="IndexLink"/>
                <w:rtl w:val="true"/>
              </w:rPr>
              <w:t xml:space="preserve">- </w:t>
            </w:r>
            <w:r>
              <w:rPr>
                <w:rStyle w:val="IndexLink"/>
                <w:rtl w:val="true"/>
              </w:rPr>
              <w:t xml:space="preserve">شیخ محمدحسین کاشف الغطاء </w:t>
            </w:r>
            <w:r>
              <w:rPr>
                <w:rStyle w:val="IndexLink"/>
                <w:rtl w:val="true"/>
              </w:rPr>
              <w:t xml:space="preserve">( </w:t>
            </w:r>
            <w:r>
              <w:rPr>
                <w:rStyle w:val="IndexLink"/>
              </w:rPr>
              <w:t>1373</w:t>
            </w:r>
            <w:r>
              <w:rPr>
                <w:rStyle w:val="IndexLink"/>
                <w:rtl w:val="true"/>
              </w:rPr>
              <w:t>-</w:t>
            </w:r>
            <w:r>
              <w:rPr>
                <w:rStyle w:val="IndexLink"/>
              </w:rPr>
              <w:t>1294</w:t>
            </w:r>
            <w:r>
              <w:rPr>
                <w:rStyle w:val="IndexLink"/>
                <w:rtl w:val="true"/>
              </w:rPr>
              <w:t xml:space="preserve"> </w:t>
            </w:r>
            <w:r>
              <w:rPr>
                <w:rStyle w:val="IndexLink"/>
                <w:rtl w:val="true"/>
              </w:rPr>
              <w:t>ق</w:t>
            </w:r>
            <w:r>
              <w:rPr>
                <w:rStyle w:val="IndexLink"/>
                <w:rtl w:val="true"/>
              </w:rPr>
              <w:t>)</w:t>
              <w:tab/>
            </w:r>
            <w:r>
              <w:rPr>
                <w:rStyle w:val="IndexLink"/>
              </w:rPr>
              <w:t>33</w:t>
            </w:r>
          </w:hyperlink>
        </w:p>
        <w:p>
          <w:pPr>
            <w:pStyle w:val="Contents4"/>
            <w:tabs>
              <w:tab w:val="clear" w:pos="8176"/>
              <w:tab w:val="right" w:pos="9026" w:leader="dot"/>
            </w:tabs>
            <w:rPr/>
          </w:pPr>
          <w:hyperlink w:anchor="__RefHeading___Toc2472073_581953129">
            <w:r>
              <w:rPr>
                <w:webHidden/>
                <w:rStyle w:val="IndexLink"/>
              </w:rPr>
              <w:t>13</w:t>
            </w:r>
            <w:r>
              <w:rPr>
                <w:rStyle w:val="IndexLink"/>
                <w:rtl w:val="true"/>
              </w:rPr>
              <w:t xml:space="preserve">- </w:t>
            </w:r>
            <w:r>
              <w:rPr>
                <w:rStyle w:val="IndexLink"/>
                <w:rtl w:val="true"/>
              </w:rPr>
              <w:t xml:space="preserve">سید حسن موسوی بجنوردی </w:t>
            </w:r>
            <w:r>
              <w:rPr>
                <w:rStyle w:val="IndexLink"/>
                <w:rtl w:val="true"/>
              </w:rPr>
              <w:t xml:space="preserve">( </w:t>
            </w:r>
            <w:r>
              <w:rPr>
                <w:rStyle w:val="IndexLink"/>
              </w:rPr>
              <w:t>1396</w:t>
            </w:r>
            <w:r>
              <w:rPr>
                <w:rStyle w:val="IndexLink"/>
                <w:rtl w:val="true"/>
              </w:rPr>
              <w:t>-</w:t>
            </w:r>
            <w:r>
              <w:rPr>
                <w:rStyle w:val="IndexLink"/>
              </w:rPr>
              <w:t>1316</w:t>
            </w:r>
            <w:r>
              <w:rPr>
                <w:rStyle w:val="IndexLink"/>
                <w:rtl w:val="true"/>
              </w:rPr>
              <w:t xml:space="preserve"> </w:t>
            </w:r>
            <w:r>
              <w:rPr>
                <w:rStyle w:val="IndexLink"/>
                <w:rtl w:val="true"/>
              </w:rPr>
              <w:t>ق</w:t>
            </w:r>
            <w:r>
              <w:rPr>
                <w:rStyle w:val="IndexLink"/>
                <w:rtl w:val="true"/>
              </w:rPr>
              <w:t>)</w:t>
              <w:tab/>
            </w:r>
            <w:r>
              <w:rPr>
                <w:rStyle w:val="IndexLink"/>
              </w:rPr>
              <w:t>34</w:t>
            </w:r>
          </w:hyperlink>
        </w:p>
        <w:p>
          <w:pPr>
            <w:pStyle w:val="Contents4"/>
            <w:tabs>
              <w:tab w:val="clear" w:pos="8176"/>
              <w:tab w:val="right" w:pos="9026" w:leader="dot"/>
            </w:tabs>
            <w:rPr/>
          </w:pPr>
          <w:hyperlink w:anchor="__RefHeading___Toc2472075_581953129">
            <w:r>
              <w:rPr>
                <w:webHidden/>
                <w:rStyle w:val="IndexLink"/>
              </w:rPr>
              <w:t>14</w:t>
            </w:r>
            <w:r>
              <w:rPr>
                <w:rStyle w:val="IndexLink"/>
                <w:rtl w:val="true"/>
              </w:rPr>
              <w:t xml:space="preserve">- </w:t>
            </w:r>
            <w:r>
              <w:rPr>
                <w:rStyle w:val="IndexLink"/>
                <w:rtl w:val="true"/>
              </w:rPr>
              <w:t xml:space="preserve">شیخ محمد فاضل لنکرانی </w:t>
            </w:r>
            <w:r>
              <w:rPr>
                <w:rStyle w:val="IndexLink"/>
                <w:rtl w:val="true"/>
              </w:rPr>
              <w:t xml:space="preserve">( </w:t>
            </w:r>
            <w:r>
              <w:rPr>
                <w:rStyle w:val="IndexLink"/>
              </w:rPr>
              <w:t>1428</w:t>
            </w:r>
            <w:r>
              <w:rPr>
                <w:rStyle w:val="IndexLink"/>
                <w:rtl w:val="true"/>
              </w:rPr>
              <w:t>-</w:t>
            </w:r>
            <w:r>
              <w:rPr>
                <w:rStyle w:val="IndexLink"/>
              </w:rPr>
              <w:t>1350</w:t>
            </w:r>
            <w:r>
              <w:rPr>
                <w:rStyle w:val="IndexLink"/>
                <w:rtl w:val="true"/>
              </w:rPr>
              <w:t xml:space="preserve"> </w:t>
            </w:r>
            <w:r>
              <w:rPr>
                <w:rStyle w:val="IndexLink"/>
                <w:rtl w:val="true"/>
              </w:rPr>
              <w:t>ق</w:t>
            </w:r>
            <w:r>
              <w:rPr>
                <w:rStyle w:val="IndexLink"/>
                <w:rtl w:val="true"/>
              </w:rPr>
              <w:t>)</w:t>
              <w:tab/>
            </w:r>
            <w:r>
              <w:rPr>
                <w:rStyle w:val="IndexLink"/>
              </w:rPr>
              <w:t>34</w:t>
            </w:r>
          </w:hyperlink>
        </w:p>
        <w:p>
          <w:pPr>
            <w:pStyle w:val="Contents4"/>
            <w:tabs>
              <w:tab w:val="clear" w:pos="8176"/>
              <w:tab w:val="right" w:pos="9026" w:leader="dot"/>
            </w:tabs>
            <w:rPr/>
          </w:pPr>
          <w:hyperlink w:anchor="__RefHeading___Toc2472077_581953129">
            <w:r>
              <w:rPr>
                <w:webHidden/>
                <w:rStyle w:val="IndexLink"/>
              </w:rPr>
              <w:t>15</w:t>
            </w:r>
            <w:r>
              <w:rPr>
                <w:rStyle w:val="IndexLink"/>
                <w:rtl w:val="true"/>
              </w:rPr>
              <w:t xml:space="preserve">- </w:t>
            </w:r>
            <w:r>
              <w:rPr>
                <w:rStyle w:val="IndexLink"/>
                <w:rtl w:val="true"/>
              </w:rPr>
              <w:t xml:space="preserve">شیخ ناصر مکارم شیرازی </w:t>
            </w:r>
            <w:r>
              <w:rPr>
                <w:rStyle w:val="IndexLink"/>
                <w:rtl w:val="true"/>
              </w:rPr>
              <w:t>(</w:t>
            </w:r>
            <w:r>
              <w:rPr>
                <w:rStyle w:val="IndexLink"/>
                <w:rtl w:val="true"/>
              </w:rPr>
              <w:t>معاصر</w:t>
            </w:r>
            <w:r>
              <w:rPr>
                <w:rStyle w:val="IndexLink"/>
                <w:rtl w:val="true"/>
              </w:rPr>
              <w:t>)</w:t>
              <w:tab/>
            </w:r>
            <w:r>
              <w:rPr>
                <w:rStyle w:val="IndexLink"/>
              </w:rPr>
              <w:t>34</w:t>
            </w:r>
          </w:hyperlink>
        </w:p>
        <w:p>
          <w:pPr>
            <w:pStyle w:val="Contents4"/>
            <w:tabs>
              <w:tab w:val="clear" w:pos="8176"/>
              <w:tab w:val="right" w:pos="9026" w:leader="dot"/>
            </w:tabs>
            <w:rPr/>
          </w:pPr>
          <w:hyperlink w:anchor="__RefHeading___Toc2472079_581953129">
            <w:r>
              <w:rPr>
                <w:webHidden/>
                <w:rStyle w:val="IndexLink"/>
              </w:rPr>
              <w:t>16</w:t>
            </w:r>
            <w:r>
              <w:rPr>
                <w:rStyle w:val="IndexLink"/>
                <w:rtl w:val="true"/>
              </w:rPr>
              <w:t xml:space="preserve">- </w:t>
            </w:r>
            <w:r>
              <w:rPr>
                <w:rStyle w:val="IndexLink"/>
                <w:rtl w:val="true"/>
              </w:rPr>
              <w:t xml:space="preserve">سید محمد کاظم مصطفوی </w:t>
            </w:r>
            <w:r>
              <w:rPr>
                <w:rStyle w:val="IndexLink"/>
                <w:rtl w:val="true"/>
              </w:rPr>
              <w:t>(</w:t>
            </w:r>
            <w:r>
              <w:rPr>
                <w:rStyle w:val="IndexLink"/>
                <w:rtl w:val="true"/>
              </w:rPr>
              <w:t>معاصر</w:t>
            </w:r>
            <w:r>
              <w:rPr>
                <w:rStyle w:val="IndexLink"/>
                <w:rtl w:val="true"/>
              </w:rPr>
              <w:t>)</w:t>
              <w:tab/>
            </w:r>
            <w:r>
              <w:rPr>
                <w:rStyle w:val="IndexLink"/>
              </w:rPr>
              <w:t>34</w:t>
            </w:r>
          </w:hyperlink>
        </w:p>
        <w:p>
          <w:pPr>
            <w:pStyle w:val="Contents3"/>
            <w:tabs>
              <w:tab w:val="clear" w:pos="8459"/>
              <w:tab w:val="right" w:pos="9026" w:leader="dot"/>
            </w:tabs>
            <w:rPr/>
          </w:pPr>
          <w:hyperlink w:anchor="__RefHeading___Toc2472081_581953129">
            <w:r>
              <w:rPr>
                <w:webHidden/>
                <w:rStyle w:val="IndexLink"/>
                <w:rtl w:val="true"/>
              </w:rPr>
              <w:t>ث</w:t>
            </w:r>
            <w:r>
              <w:rPr>
                <w:rStyle w:val="IndexLink"/>
                <w:rtl w:val="true"/>
              </w:rPr>
              <w:t xml:space="preserve">) </w:t>
            </w:r>
            <w:r>
              <w:rPr>
                <w:rStyle w:val="IndexLink"/>
                <w:rtl w:val="true"/>
              </w:rPr>
              <w:t>تقسیمات قواعد فقهی</w:t>
            </w:r>
            <w:r>
              <w:rPr>
                <w:rStyle w:val="IndexLink"/>
                <w:rtl w:val="true"/>
              </w:rPr>
              <w:tab/>
            </w:r>
            <w:r>
              <w:rPr>
                <w:rStyle w:val="IndexLink"/>
              </w:rPr>
              <w:t>35</w:t>
            </w:r>
          </w:hyperlink>
        </w:p>
        <w:p>
          <w:pPr>
            <w:pStyle w:val="Contents4"/>
            <w:tabs>
              <w:tab w:val="clear" w:pos="8176"/>
              <w:tab w:val="right" w:pos="9026" w:leader="dot"/>
            </w:tabs>
            <w:rPr/>
          </w:pPr>
          <w:hyperlink w:anchor="__RefHeading___Toc2472083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472085_581953129">
            <w:r>
              <w:rPr>
                <w:webHidden/>
                <w:rStyle w:val="IndexLink"/>
                <w:rtl w:val="true"/>
              </w:rPr>
              <w:t>تقسیم نخست</w:t>
            </w:r>
            <w:r>
              <w:rPr>
                <w:rStyle w:val="IndexLink"/>
                <w:rtl w:val="true"/>
              </w:rPr>
              <w:tab/>
            </w:r>
            <w:r>
              <w:rPr>
                <w:rStyle w:val="IndexLink"/>
              </w:rPr>
              <w:t>35</w:t>
            </w:r>
          </w:hyperlink>
        </w:p>
        <w:p>
          <w:pPr>
            <w:pStyle w:val="Contents4"/>
            <w:tabs>
              <w:tab w:val="clear" w:pos="8176"/>
              <w:tab w:val="right" w:pos="9026" w:leader="dot"/>
            </w:tabs>
            <w:rPr/>
          </w:pPr>
          <w:hyperlink w:anchor="__RefHeading___Toc2472087_581953129">
            <w:r>
              <w:rPr>
                <w:webHidden/>
                <w:rStyle w:val="IndexLink"/>
                <w:rtl w:val="true"/>
              </w:rPr>
              <w:t>تقسیم دوم</w:t>
            </w:r>
            <w:r>
              <w:rPr>
                <w:rStyle w:val="IndexLink"/>
                <w:rtl w:val="true"/>
              </w:rPr>
              <w:tab/>
            </w:r>
            <w:r>
              <w:rPr>
                <w:rStyle w:val="IndexLink"/>
              </w:rPr>
              <w:t>36</w:t>
            </w:r>
          </w:hyperlink>
        </w:p>
        <w:p>
          <w:pPr>
            <w:pStyle w:val="Contents4"/>
            <w:tabs>
              <w:tab w:val="clear" w:pos="8176"/>
              <w:tab w:val="right" w:pos="9026" w:leader="dot"/>
            </w:tabs>
            <w:rPr/>
          </w:pPr>
          <w:hyperlink w:anchor="__RefHeading___Toc2472089_581953129">
            <w:r>
              <w:rPr>
                <w:webHidden/>
                <w:rStyle w:val="IndexLink"/>
                <w:rtl w:val="true"/>
              </w:rPr>
              <w:t>تقسیم سوم</w:t>
            </w:r>
            <w:r>
              <w:rPr>
                <w:rStyle w:val="IndexLink"/>
                <w:rtl w:val="true"/>
              </w:rPr>
              <w:tab/>
            </w:r>
            <w:r>
              <w:rPr>
                <w:rStyle w:val="IndexLink"/>
              </w:rPr>
              <w:t>40</w:t>
            </w:r>
          </w:hyperlink>
        </w:p>
        <w:p>
          <w:pPr>
            <w:pStyle w:val="Contents4"/>
            <w:tabs>
              <w:tab w:val="clear" w:pos="8176"/>
              <w:tab w:val="right" w:pos="9026" w:leader="dot"/>
            </w:tabs>
            <w:rPr/>
          </w:pPr>
          <w:hyperlink w:anchor="__RefHeading___Toc2472091_581953129">
            <w:r>
              <w:rPr>
                <w:webHidden/>
                <w:rStyle w:val="IndexLink"/>
                <w:rtl w:val="true"/>
              </w:rPr>
              <w:t>تقسیم چهارم</w:t>
            </w:r>
            <w:r>
              <w:rPr>
                <w:rStyle w:val="IndexLink"/>
                <w:rtl w:val="true"/>
              </w:rPr>
              <w:tab/>
            </w:r>
            <w:r>
              <w:rPr>
                <w:rStyle w:val="IndexLink"/>
              </w:rPr>
              <w:t>41</w:t>
            </w:r>
          </w:hyperlink>
        </w:p>
        <w:p>
          <w:pPr>
            <w:pStyle w:val="Contents3"/>
            <w:tabs>
              <w:tab w:val="clear" w:pos="8459"/>
              <w:tab w:val="right" w:pos="9026" w:leader="dot"/>
            </w:tabs>
            <w:rPr/>
          </w:pPr>
          <w:hyperlink w:anchor="__RefHeading___Toc2472093_581953129">
            <w:r>
              <w:rPr>
                <w:webHidden/>
                <w:rStyle w:val="IndexLink"/>
                <w:rtl w:val="true"/>
              </w:rPr>
              <w:t>ج</w:t>
            </w:r>
            <w:r>
              <w:rPr>
                <w:rStyle w:val="IndexLink"/>
                <w:rtl w:val="true"/>
              </w:rPr>
              <w:t xml:space="preserve">) </w:t>
            </w:r>
            <w:r>
              <w:rPr>
                <w:rStyle w:val="IndexLink"/>
                <w:rtl w:val="true"/>
              </w:rPr>
              <w:t xml:space="preserve">جایگاه قاعدۀ </w:t>
            </w:r>
            <w:r>
              <w:rPr>
                <w:rStyle w:val="IndexLink"/>
                <w:rtl w:val="true"/>
              </w:rPr>
              <w:t>«</w:t>
            </w:r>
            <w:r>
              <w:rPr>
                <w:rStyle w:val="IndexLink"/>
                <w:rtl w:val="true"/>
              </w:rPr>
              <w:t>من ملک</w:t>
            </w:r>
            <w:r>
              <w:rPr>
                <w:rStyle w:val="IndexLink"/>
                <w:rtl w:val="true"/>
              </w:rPr>
              <w:t xml:space="preserve">» </w:t>
            </w:r>
            <w:r>
              <w:rPr>
                <w:rStyle w:val="IndexLink"/>
                <w:rtl w:val="true"/>
              </w:rPr>
              <w:t>در تقسیمات قواعد فقهی</w:t>
            </w:r>
            <w:r>
              <w:rPr>
                <w:rStyle w:val="IndexLink"/>
                <w:rtl w:val="true"/>
              </w:rPr>
              <w:tab/>
            </w:r>
            <w:r>
              <w:rPr>
                <w:rStyle w:val="IndexLink"/>
              </w:rPr>
              <w:t>42</w:t>
            </w:r>
          </w:hyperlink>
        </w:p>
        <w:p>
          <w:pPr>
            <w:pStyle w:val="Contents3"/>
            <w:tabs>
              <w:tab w:val="clear" w:pos="8459"/>
              <w:tab w:val="right" w:pos="9026" w:leader="dot"/>
            </w:tabs>
            <w:rPr/>
          </w:pPr>
          <w:hyperlink w:anchor="__RefHeading___Toc2472095_581953129">
            <w:r>
              <w:rPr>
                <w:webHidden/>
                <w:rStyle w:val="IndexLink"/>
                <w:rtl w:val="true"/>
              </w:rPr>
              <w:t>چ</w:t>
            </w:r>
            <w:r>
              <w:rPr>
                <w:rStyle w:val="IndexLink"/>
                <w:rtl w:val="true"/>
              </w:rPr>
              <w:t xml:space="preserve">) </w:t>
            </w:r>
            <w:r>
              <w:rPr>
                <w:rStyle w:val="IndexLink"/>
                <w:rtl w:val="true"/>
              </w:rPr>
              <w:t>پیشینۀ تحقیق</w:t>
            </w:r>
            <w:r>
              <w:rPr>
                <w:rStyle w:val="IndexLink"/>
                <w:rtl w:val="true"/>
              </w:rPr>
              <w:tab/>
            </w:r>
            <w:r>
              <w:rPr>
                <w:rStyle w:val="IndexLink"/>
              </w:rPr>
              <w:t>42</w:t>
            </w:r>
          </w:hyperlink>
        </w:p>
        <w:p>
          <w:pPr>
            <w:pStyle w:val="Contents2"/>
            <w:tabs>
              <w:tab w:val="clear" w:pos="8743"/>
              <w:tab w:val="right" w:pos="9026" w:leader="dot"/>
            </w:tabs>
            <w:rPr/>
          </w:pPr>
          <w:hyperlink w:anchor="__RefHeading___Toc2472097_581953129">
            <w:r>
              <w:rPr>
                <w:webHidden/>
                <w:rStyle w:val="IndexLink"/>
                <w:rtl w:val="true"/>
              </w:rPr>
              <w:t>مبحث اول</w:t>
            </w:r>
            <w:r>
              <w:rPr>
                <w:rStyle w:val="IndexLink"/>
                <w:rtl w:val="true"/>
              </w:rPr>
              <w:t xml:space="preserve">: </w:t>
            </w:r>
            <w:r>
              <w:rPr>
                <w:rStyle w:val="IndexLink"/>
                <w:rtl w:val="true"/>
              </w:rPr>
              <w:t xml:space="preserve">ادله و مستندات قاعده </w:t>
            </w:r>
            <w:r>
              <w:rPr>
                <w:rStyle w:val="IndexLink"/>
                <w:rtl w:val="true"/>
              </w:rPr>
              <w:t>«</w:t>
            </w:r>
            <w:r>
              <w:rPr>
                <w:rStyle w:val="IndexLink"/>
                <w:rtl w:val="true"/>
              </w:rPr>
              <w:t>من ملک</w:t>
            </w:r>
            <w:r>
              <w:rPr>
                <w:rStyle w:val="IndexLink"/>
                <w:rtl w:val="true"/>
              </w:rPr>
              <w:t>»</w:t>
              <w:tab/>
            </w:r>
            <w:r>
              <w:rPr>
                <w:rStyle w:val="IndexLink"/>
              </w:rPr>
              <w:t>47</w:t>
            </w:r>
          </w:hyperlink>
        </w:p>
        <w:p>
          <w:pPr>
            <w:pStyle w:val="Contents3"/>
            <w:tabs>
              <w:tab w:val="clear" w:pos="8459"/>
              <w:tab w:val="right" w:pos="9026" w:leader="dot"/>
            </w:tabs>
            <w:rPr/>
          </w:pPr>
          <w:hyperlink w:anchor="__RefHeading___Toc2472099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472101_581953129">
            <w:r>
              <w:rPr>
                <w:webHidden/>
                <w:rStyle w:val="IndexLink"/>
                <w:rtl w:val="true"/>
              </w:rPr>
              <w:t>مبحث اول</w:t>
            </w:r>
            <w:r>
              <w:rPr>
                <w:rStyle w:val="IndexLink"/>
                <w:rtl w:val="true"/>
              </w:rPr>
              <w:t xml:space="preserve">: </w:t>
            </w:r>
            <w:r>
              <w:rPr>
                <w:rStyle w:val="IndexLink"/>
                <w:rtl w:val="true"/>
              </w:rPr>
              <w:t xml:space="preserve">ادله و مستندات قاعده </w:t>
            </w:r>
            <w:r>
              <w:rPr>
                <w:rStyle w:val="IndexLink"/>
                <w:rtl w:val="true"/>
              </w:rPr>
              <w:t>«</w:t>
            </w:r>
            <w:r>
              <w:rPr>
                <w:rStyle w:val="IndexLink"/>
                <w:rtl w:val="true"/>
              </w:rPr>
              <w:t>من ملک</w:t>
            </w:r>
            <w:r>
              <w:rPr>
                <w:rStyle w:val="IndexLink"/>
                <w:rtl w:val="true"/>
              </w:rPr>
              <w:t>»</w:t>
              <w:tab/>
            </w:r>
            <w:r>
              <w:rPr>
                <w:rStyle w:val="IndexLink"/>
              </w:rPr>
              <w:t>48</w:t>
            </w:r>
          </w:hyperlink>
        </w:p>
        <w:p>
          <w:pPr>
            <w:pStyle w:val="Contents4"/>
            <w:tabs>
              <w:tab w:val="clear" w:pos="8176"/>
              <w:tab w:val="right" w:pos="9026" w:leader="dot"/>
            </w:tabs>
            <w:rPr/>
          </w:pPr>
          <w:hyperlink w:anchor="__RefHeading___Toc2472103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472105_581953129">
            <w:r>
              <w:rPr>
                <w:webHidden/>
                <w:rStyle w:val="IndexLink"/>
                <w:rtl w:val="true"/>
              </w:rPr>
              <w:t>فصل اول</w:t>
            </w:r>
            <w:r>
              <w:rPr>
                <w:rStyle w:val="IndexLink"/>
                <w:rtl w:val="true"/>
              </w:rPr>
              <w:t xml:space="preserve">: </w:t>
            </w:r>
            <w:r>
              <w:rPr>
                <w:rStyle w:val="IndexLink"/>
                <w:rtl w:val="true"/>
              </w:rPr>
              <w:t xml:space="preserve">ادلۀ مستقل قاعدۀ </w:t>
            </w:r>
            <w:r>
              <w:rPr>
                <w:rStyle w:val="IndexLink"/>
                <w:rtl w:val="true"/>
              </w:rPr>
              <w:t>«</w:t>
            </w:r>
            <w:r>
              <w:rPr>
                <w:rStyle w:val="IndexLink"/>
                <w:rtl w:val="true"/>
              </w:rPr>
              <w:t>من ملک</w:t>
            </w:r>
            <w:r>
              <w:rPr>
                <w:rStyle w:val="IndexLink"/>
                <w:rtl w:val="true"/>
              </w:rPr>
              <w:t>»</w:t>
              <w:tab/>
            </w:r>
            <w:r>
              <w:rPr>
                <w:rStyle w:val="IndexLink"/>
              </w:rPr>
              <w:t>50</w:t>
            </w:r>
          </w:hyperlink>
        </w:p>
        <w:p>
          <w:pPr>
            <w:pStyle w:val="Contents5"/>
            <w:tabs>
              <w:tab w:val="clear" w:pos="7892"/>
              <w:tab w:val="right" w:pos="9026" w:leader="dot"/>
            </w:tabs>
            <w:rPr/>
          </w:pPr>
          <w:hyperlink w:anchor="__RefHeading___Toc2472107_581953129">
            <w:r>
              <w:rPr>
                <w:webHidden/>
                <w:rStyle w:val="IndexLink"/>
                <w:rtl w:val="true"/>
              </w:rPr>
              <w:t>دلیل اول</w:t>
            </w:r>
            <w:r>
              <w:rPr>
                <w:rStyle w:val="IndexLink"/>
                <w:rtl w:val="true"/>
              </w:rPr>
              <w:t xml:space="preserve">: </w:t>
            </w:r>
            <w:r>
              <w:rPr>
                <w:rStyle w:val="IndexLink"/>
                <w:rtl w:val="true"/>
              </w:rPr>
              <w:t>اجماع</w:t>
            </w:r>
            <w:r>
              <w:rPr>
                <w:rStyle w:val="IndexLink"/>
                <w:rtl w:val="true"/>
              </w:rPr>
              <w:tab/>
            </w:r>
            <w:r>
              <w:rPr>
                <w:rStyle w:val="IndexLink"/>
              </w:rPr>
              <w:t>50</w:t>
            </w:r>
          </w:hyperlink>
        </w:p>
        <w:p>
          <w:pPr>
            <w:pStyle w:val="Contents6"/>
            <w:tabs>
              <w:tab w:val="clear" w:pos="7609"/>
              <w:tab w:val="right" w:pos="9026" w:leader="dot"/>
            </w:tabs>
            <w:rPr/>
          </w:pPr>
          <w:hyperlink w:anchor="__RefHeading___Toc2472109_581953129">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472111_581953129">
            <w:r>
              <w:rPr>
                <w:webHidden/>
                <w:rStyle w:val="IndexLink"/>
                <w:rtl w:val="true"/>
              </w:rPr>
              <w:t>الف</w:t>
            </w:r>
            <w:r>
              <w:rPr>
                <w:rStyle w:val="IndexLink"/>
                <w:rtl w:val="true"/>
              </w:rPr>
              <w:t xml:space="preserve">) </w:t>
            </w:r>
            <w:r>
              <w:rPr>
                <w:rStyle w:val="IndexLink"/>
                <w:rtl w:val="true"/>
              </w:rPr>
              <w:t xml:space="preserve">قاعده </w:t>
            </w:r>
            <w:r>
              <w:rPr>
                <w:rStyle w:val="IndexLink"/>
                <w:rtl w:val="true"/>
              </w:rPr>
              <w:t>«</w:t>
            </w:r>
            <w:r>
              <w:rPr>
                <w:rStyle w:val="IndexLink"/>
                <w:rtl w:val="true"/>
              </w:rPr>
              <w:t>من ملک</w:t>
            </w:r>
            <w:r>
              <w:rPr>
                <w:rStyle w:val="IndexLink"/>
                <w:rtl w:val="true"/>
              </w:rPr>
              <w:t xml:space="preserve">» </w:t>
            </w:r>
            <w:r>
              <w:rPr>
                <w:rStyle w:val="IndexLink"/>
                <w:rtl w:val="true"/>
              </w:rPr>
              <w:t>در کلمات فقها</w:t>
            </w:r>
            <w:r>
              <w:rPr>
                <w:rStyle w:val="IndexLink"/>
                <w:rtl w:val="true"/>
              </w:rPr>
              <w:tab/>
            </w:r>
            <w:r>
              <w:rPr>
                <w:rStyle w:val="IndexLink"/>
              </w:rPr>
              <w:t>50</w:t>
            </w:r>
          </w:hyperlink>
        </w:p>
        <w:p>
          <w:pPr>
            <w:pStyle w:val="Contents6"/>
            <w:tabs>
              <w:tab w:val="clear" w:pos="7609"/>
              <w:tab w:val="right" w:pos="9026" w:leader="dot"/>
            </w:tabs>
            <w:rPr/>
          </w:pPr>
          <w:hyperlink w:anchor="__RefHeading___Toc2472113_581953129">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472115_581953129">
            <w:r>
              <w:rPr>
                <w:webHidden/>
                <w:rStyle w:val="IndexLink"/>
              </w:rPr>
              <w:t>1</w:t>
            </w:r>
            <w:r>
              <w:rPr>
                <w:rStyle w:val="IndexLink"/>
                <w:rtl w:val="true"/>
              </w:rPr>
              <w:t xml:space="preserve">- </w:t>
            </w:r>
            <w:r>
              <w:rPr>
                <w:rStyle w:val="IndexLink"/>
                <w:rtl w:val="true"/>
              </w:rPr>
              <w:t xml:space="preserve">قاعده </w:t>
            </w:r>
            <w:r>
              <w:rPr>
                <w:rStyle w:val="IndexLink"/>
                <w:rtl w:val="true"/>
              </w:rPr>
              <w:t>«</w:t>
            </w:r>
            <w:r>
              <w:rPr>
                <w:rStyle w:val="IndexLink"/>
                <w:rtl w:val="true"/>
              </w:rPr>
              <w:t>من ملک</w:t>
            </w:r>
            <w:r>
              <w:rPr>
                <w:rStyle w:val="IndexLink"/>
                <w:rtl w:val="true"/>
              </w:rPr>
              <w:t xml:space="preserve">» </w:t>
            </w:r>
            <w:r>
              <w:rPr>
                <w:rStyle w:val="IndexLink"/>
                <w:rtl w:val="true"/>
              </w:rPr>
              <w:t>در کلمات فقهای امامیه</w:t>
            </w:r>
            <w:r>
              <w:rPr>
                <w:rStyle w:val="IndexLink"/>
                <w:rtl w:val="true"/>
              </w:rPr>
              <w:tab/>
            </w:r>
            <w:r>
              <w:rPr>
                <w:rStyle w:val="IndexLink"/>
              </w:rPr>
              <w:t>51</w:t>
            </w:r>
          </w:hyperlink>
        </w:p>
        <w:p>
          <w:pPr>
            <w:pStyle w:val="Contents6"/>
            <w:tabs>
              <w:tab w:val="clear" w:pos="7609"/>
              <w:tab w:val="right" w:pos="9026" w:leader="dot"/>
            </w:tabs>
            <w:rPr/>
          </w:pPr>
          <w:hyperlink w:anchor="__RefHeading___Toc2472117_581953129">
            <w:r>
              <w:rPr>
                <w:webHidden/>
                <w:rStyle w:val="IndexLink"/>
              </w:rPr>
              <w:t>1-1</w:t>
            </w:r>
            <w:r>
              <w:rPr>
                <w:rStyle w:val="IndexLink"/>
                <w:rtl w:val="true"/>
              </w:rPr>
              <w:t xml:space="preserve">. </w:t>
            </w:r>
            <w:r>
              <w:rPr>
                <w:rStyle w:val="IndexLink"/>
                <w:rtl w:val="true"/>
              </w:rPr>
              <w:t>کلام اول شیخ طوسی در مبسوط‌</w:t>
            </w:r>
            <w:r>
              <w:rPr>
                <w:rStyle w:val="IndexLink"/>
                <w:rtl w:val="true"/>
              </w:rPr>
              <w:tab/>
            </w:r>
            <w:r>
              <w:rPr>
                <w:rStyle w:val="IndexLink"/>
              </w:rPr>
              <w:t>51</w:t>
            </w:r>
          </w:hyperlink>
        </w:p>
        <w:p>
          <w:pPr>
            <w:pStyle w:val="Contents6"/>
            <w:tabs>
              <w:tab w:val="clear" w:pos="7609"/>
              <w:tab w:val="right" w:pos="9026" w:leader="dot"/>
            </w:tabs>
            <w:rPr/>
          </w:pPr>
          <w:hyperlink w:anchor="__RefHeading___Toc2472119_581953129">
            <w:r>
              <w:rPr>
                <w:webHidden/>
                <w:rStyle w:val="IndexLink"/>
              </w:rPr>
              <w:t>2-1</w:t>
            </w:r>
            <w:r>
              <w:rPr>
                <w:rStyle w:val="IndexLink"/>
                <w:rtl w:val="true"/>
              </w:rPr>
              <w:t xml:space="preserve">. </w:t>
            </w:r>
            <w:r>
              <w:rPr>
                <w:rStyle w:val="IndexLink"/>
                <w:rtl w:val="true"/>
              </w:rPr>
              <w:t>کلام دوم شیخ طوسی در مبسوط‌</w:t>
            </w:r>
            <w:r>
              <w:rPr>
                <w:rStyle w:val="IndexLink"/>
                <w:rtl w:val="true"/>
              </w:rPr>
              <w:tab/>
            </w:r>
            <w:r>
              <w:rPr>
                <w:rStyle w:val="IndexLink"/>
              </w:rPr>
              <w:t>53</w:t>
            </w:r>
          </w:hyperlink>
        </w:p>
        <w:p>
          <w:pPr>
            <w:pStyle w:val="Contents6"/>
            <w:tabs>
              <w:tab w:val="clear" w:pos="7609"/>
              <w:tab w:val="right" w:pos="9026" w:leader="dot"/>
            </w:tabs>
            <w:rPr/>
          </w:pPr>
          <w:hyperlink w:anchor="__RefHeading___Toc2472121_581953129">
            <w:r>
              <w:rPr>
                <w:webHidden/>
                <w:rStyle w:val="IndexLink"/>
              </w:rPr>
              <w:t>3-1</w:t>
            </w:r>
            <w:r>
              <w:rPr>
                <w:rStyle w:val="IndexLink"/>
                <w:rtl w:val="true"/>
              </w:rPr>
              <w:t xml:space="preserve"> </w:t>
            </w:r>
            <w:r>
              <w:rPr>
                <w:rStyle w:val="IndexLink"/>
                <w:rtl w:val="true"/>
              </w:rPr>
              <w:t>کلام قاضی ابن برّاج در مهذّب</w:t>
            </w:r>
            <w:r>
              <w:rPr>
                <w:rStyle w:val="IndexLink"/>
                <w:rtl w:val="true"/>
              </w:rPr>
              <w:tab/>
            </w:r>
            <w:r>
              <w:rPr>
                <w:rStyle w:val="IndexLink"/>
              </w:rPr>
              <w:t>54</w:t>
            </w:r>
          </w:hyperlink>
        </w:p>
        <w:p>
          <w:pPr>
            <w:pStyle w:val="Contents6"/>
            <w:tabs>
              <w:tab w:val="clear" w:pos="7609"/>
              <w:tab w:val="right" w:pos="9026" w:leader="dot"/>
            </w:tabs>
            <w:rPr/>
          </w:pPr>
          <w:hyperlink w:anchor="__RefHeading___Toc2472123_581953129">
            <w:r>
              <w:rPr>
                <w:webHidden/>
                <w:rStyle w:val="IndexLink"/>
              </w:rPr>
              <w:t>4-1</w:t>
            </w:r>
            <w:r>
              <w:rPr>
                <w:rStyle w:val="IndexLink"/>
                <w:rtl w:val="true"/>
              </w:rPr>
              <w:t xml:space="preserve">. </w:t>
            </w:r>
            <w:r>
              <w:rPr>
                <w:rStyle w:val="IndexLink"/>
                <w:rtl w:val="true"/>
              </w:rPr>
              <w:t>کلام اول محقق در شرایع</w:t>
            </w:r>
            <w:r>
              <w:rPr>
                <w:rStyle w:val="IndexLink"/>
                <w:rtl w:val="true"/>
              </w:rPr>
              <w:tab/>
            </w:r>
            <w:r>
              <w:rPr>
                <w:rStyle w:val="IndexLink"/>
              </w:rPr>
              <w:t>56</w:t>
            </w:r>
          </w:hyperlink>
        </w:p>
        <w:p>
          <w:pPr>
            <w:pStyle w:val="Contents6"/>
            <w:tabs>
              <w:tab w:val="clear" w:pos="7609"/>
              <w:tab w:val="right" w:pos="9026" w:leader="dot"/>
            </w:tabs>
            <w:rPr/>
          </w:pPr>
          <w:hyperlink w:anchor="__RefHeading___Toc2472125_581953129">
            <w:r>
              <w:rPr>
                <w:webHidden/>
                <w:rStyle w:val="IndexLink"/>
              </w:rPr>
              <w:t>5-1</w:t>
            </w:r>
            <w:r>
              <w:rPr>
                <w:rStyle w:val="IndexLink"/>
                <w:rtl w:val="true"/>
              </w:rPr>
              <w:t xml:space="preserve">. </w:t>
            </w:r>
            <w:r>
              <w:rPr>
                <w:rStyle w:val="IndexLink"/>
                <w:rtl w:val="true"/>
              </w:rPr>
              <w:t>کلام دوم محقق در شرایع</w:t>
            </w:r>
            <w:r>
              <w:rPr>
                <w:rStyle w:val="IndexLink"/>
                <w:rtl w:val="true"/>
              </w:rPr>
              <w:tab/>
            </w:r>
            <w:r>
              <w:rPr>
                <w:rStyle w:val="IndexLink"/>
              </w:rPr>
              <w:t>56</w:t>
            </w:r>
          </w:hyperlink>
        </w:p>
        <w:p>
          <w:pPr>
            <w:pStyle w:val="Contents6"/>
            <w:tabs>
              <w:tab w:val="clear" w:pos="7609"/>
              <w:tab w:val="right" w:pos="9026" w:leader="dot"/>
            </w:tabs>
            <w:rPr/>
          </w:pPr>
          <w:hyperlink w:anchor="__RefHeading___Toc2472127_581953129">
            <w:r>
              <w:rPr>
                <w:webHidden/>
                <w:rStyle w:val="IndexLink"/>
              </w:rPr>
              <w:t>6-1</w:t>
            </w:r>
            <w:r>
              <w:rPr>
                <w:rStyle w:val="IndexLink"/>
                <w:rtl w:val="true"/>
              </w:rPr>
              <w:t xml:space="preserve">. </w:t>
            </w:r>
            <w:r>
              <w:rPr>
                <w:rStyle w:val="IndexLink"/>
                <w:rtl w:val="true"/>
              </w:rPr>
              <w:t>کلام اول علامه در قواعد</w:t>
            </w:r>
            <w:r>
              <w:rPr>
                <w:rStyle w:val="IndexLink"/>
                <w:rtl w:val="true"/>
              </w:rPr>
              <w:tab/>
            </w:r>
            <w:r>
              <w:rPr>
                <w:rStyle w:val="IndexLink"/>
              </w:rPr>
              <w:t>57</w:t>
            </w:r>
          </w:hyperlink>
        </w:p>
        <w:p>
          <w:pPr>
            <w:pStyle w:val="Contents6"/>
            <w:tabs>
              <w:tab w:val="clear" w:pos="7609"/>
              <w:tab w:val="right" w:pos="9026" w:leader="dot"/>
            </w:tabs>
            <w:rPr/>
          </w:pPr>
          <w:hyperlink w:anchor="__RefHeading___Toc2472129_581953129">
            <w:r>
              <w:rPr>
                <w:webHidden/>
                <w:rStyle w:val="IndexLink"/>
              </w:rPr>
              <w:t>7-1</w:t>
            </w:r>
            <w:r>
              <w:rPr>
                <w:rStyle w:val="IndexLink"/>
                <w:rtl w:val="true"/>
              </w:rPr>
              <w:t xml:space="preserve">. </w:t>
            </w:r>
            <w:r>
              <w:rPr>
                <w:rStyle w:val="IndexLink"/>
                <w:rtl w:val="true"/>
              </w:rPr>
              <w:t>کلام دوم علامه در قواعد</w:t>
            </w:r>
            <w:r>
              <w:rPr>
                <w:rStyle w:val="IndexLink"/>
                <w:rtl w:val="true"/>
              </w:rPr>
              <w:tab/>
            </w:r>
            <w:r>
              <w:rPr>
                <w:rStyle w:val="IndexLink"/>
              </w:rPr>
              <w:t>59</w:t>
            </w:r>
          </w:hyperlink>
        </w:p>
        <w:p>
          <w:pPr>
            <w:pStyle w:val="Contents6"/>
            <w:tabs>
              <w:tab w:val="clear" w:pos="7609"/>
              <w:tab w:val="right" w:pos="9026" w:leader="dot"/>
            </w:tabs>
            <w:rPr/>
          </w:pPr>
          <w:hyperlink w:anchor="__RefHeading___Toc2472131_581953129">
            <w:r>
              <w:rPr>
                <w:webHidden/>
                <w:rStyle w:val="IndexLink"/>
              </w:rPr>
              <w:t>8-1</w:t>
            </w:r>
            <w:r>
              <w:rPr>
                <w:rStyle w:val="IndexLink"/>
                <w:rtl w:val="true"/>
              </w:rPr>
              <w:t xml:space="preserve">. </w:t>
            </w:r>
            <w:r>
              <w:rPr>
                <w:rStyle w:val="IndexLink"/>
                <w:rtl w:val="true"/>
              </w:rPr>
              <w:t>کلام فخر المحققین در ایضاح</w:t>
            </w:r>
            <w:r>
              <w:rPr>
                <w:rStyle w:val="IndexLink"/>
                <w:rtl w:val="true"/>
              </w:rPr>
              <w:tab/>
            </w:r>
            <w:r>
              <w:rPr>
                <w:rStyle w:val="IndexLink"/>
              </w:rPr>
              <w:t>61</w:t>
            </w:r>
          </w:hyperlink>
        </w:p>
        <w:p>
          <w:pPr>
            <w:pStyle w:val="Contents6"/>
            <w:tabs>
              <w:tab w:val="clear" w:pos="7609"/>
              <w:tab w:val="right" w:pos="9026" w:leader="dot"/>
            </w:tabs>
            <w:rPr/>
          </w:pPr>
          <w:hyperlink w:anchor="__RefHeading___Toc2472133_581953129">
            <w:r>
              <w:rPr>
                <w:webHidden/>
                <w:rStyle w:val="IndexLink"/>
              </w:rPr>
              <w:t>9-1</w:t>
            </w:r>
            <w:r>
              <w:rPr>
                <w:rStyle w:val="IndexLink"/>
                <w:rtl w:val="true"/>
              </w:rPr>
              <w:t xml:space="preserve">. </w:t>
            </w:r>
            <w:r>
              <w:rPr>
                <w:rStyle w:val="IndexLink"/>
                <w:rtl w:val="true"/>
              </w:rPr>
              <w:t xml:space="preserve">کلام شهید اول در </w:t>
            </w:r>
            <w:r>
              <w:rPr>
                <w:rStyle w:val="IndexLink"/>
                <w:rtl w:val="true"/>
              </w:rPr>
              <w:t>«</w:t>
            </w:r>
            <w:r>
              <w:rPr>
                <w:rStyle w:val="IndexLink"/>
                <w:rtl w:val="true"/>
              </w:rPr>
              <w:t>القواعد و الفوائد</w:t>
            </w:r>
            <w:r>
              <w:rPr>
                <w:rStyle w:val="IndexLink"/>
                <w:rtl w:val="true"/>
              </w:rPr>
              <w:t>»</w:t>
              <w:tab/>
            </w:r>
            <w:r>
              <w:rPr>
                <w:rStyle w:val="IndexLink"/>
              </w:rPr>
              <w:t>63</w:t>
            </w:r>
          </w:hyperlink>
        </w:p>
        <w:p>
          <w:pPr>
            <w:pStyle w:val="Contents6"/>
            <w:tabs>
              <w:tab w:val="clear" w:pos="7609"/>
              <w:tab w:val="right" w:pos="9026" w:leader="dot"/>
            </w:tabs>
            <w:rPr/>
          </w:pPr>
          <w:hyperlink w:anchor="__RefHeading___Toc2472135_581953129">
            <w:r>
              <w:rPr>
                <w:webHidden/>
                <w:rStyle w:val="IndexLink"/>
              </w:rPr>
              <w:t>10-1</w:t>
            </w:r>
            <w:r>
              <w:rPr>
                <w:rStyle w:val="IndexLink"/>
                <w:rtl w:val="true"/>
              </w:rPr>
              <w:t xml:space="preserve">. </w:t>
            </w:r>
            <w:r>
              <w:rPr>
                <w:rStyle w:val="IndexLink"/>
                <w:rtl w:val="true"/>
              </w:rPr>
              <w:t xml:space="preserve">کلام سید یزدی در </w:t>
            </w:r>
            <w:r>
              <w:rPr>
                <w:rStyle w:val="IndexLink"/>
                <w:rtl w:val="true"/>
              </w:rPr>
              <w:t>«</w:t>
            </w:r>
            <w:r>
              <w:rPr>
                <w:rStyle w:val="IndexLink"/>
                <w:rtl w:val="true"/>
              </w:rPr>
              <w:t>تکمله عروة الوثقی</w:t>
            </w:r>
            <w:r>
              <w:rPr>
                <w:rStyle w:val="IndexLink"/>
                <w:rtl w:val="true"/>
              </w:rPr>
              <w:t>»</w:t>
              <w:tab/>
            </w:r>
            <w:r>
              <w:rPr>
                <w:rStyle w:val="IndexLink"/>
              </w:rPr>
              <w:t>66</w:t>
            </w:r>
          </w:hyperlink>
        </w:p>
        <w:p>
          <w:pPr>
            <w:pStyle w:val="Contents6"/>
            <w:tabs>
              <w:tab w:val="clear" w:pos="7609"/>
              <w:tab w:val="right" w:pos="9026" w:leader="dot"/>
            </w:tabs>
            <w:rPr/>
          </w:pPr>
          <w:hyperlink w:anchor="__RefHeading___Toc2472137_581953129">
            <w:r>
              <w:rPr>
                <w:webHidden/>
                <w:rStyle w:val="IndexLink"/>
              </w:rPr>
              <w:t>2</w:t>
            </w:r>
            <w:r>
              <w:rPr>
                <w:rStyle w:val="IndexLink"/>
                <w:rtl w:val="true"/>
              </w:rPr>
              <w:t xml:space="preserve">- </w:t>
            </w:r>
            <w:r>
              <w:rPr>
                <w:rStyle w:val="IndexLink"/>
                <w:rtl w:val="true"/>
              </w:rPr>
              <w:t xml:space="preserve">قاعده </w:t>
            </w:r>
            <w:r>
              <w:rPr>
                <w:rStyle w:val="IndexLink"/>
                <w:rtl w:val="true"/>
              </w:rPr>
              <w:t>«</w:t>
            </w:r>
            <w:r>
              <w:rPr>
                <w:rStyle w:val="IndexLink"/>
                <w:rtl w:val="true"/>
              </w:rPr>
              <w:t>من ملک</w:t>
            </w:r>
            <w:r>
              <w:rPr>
                <w:rStyle w:val="IndexLink"/>
                <w:rtl w:val="true"/>
              </w:rPr>
              <w:t xml:space="preserve">» </w:t>
            </w:r>
            <w:r>
              <w:rPr>
                <w:rStyle w:val="IndexLink"/>
                <w:rtl w:val="true"/>
              </w:rPr>
              <w:t>در کلمات فقهای عامه</w:t>
            </w:r>
            <w:r>
              <w:rPr>
                <w:rStyle w:val="IndexLink"/>
                <w:rtl w:val="true"/>
              </w:rPr>
              <w:tab/>
            </w:r>
            <w:r>
              <w:rPr>
                <w:rStyle w:val="IndexLink"/>
              </w:rPr>
              <w:t>67</w:t>
            </w:r>
          </w:hyperlink>
        </w:p>
        <w:p>
          <w:pPr>
            <w:pStyle w:val="Contents6"/>
            <w:tabs>
              <w:tab w:val="clear" w:pos="7609"/>
              <w:tab w:val="right" w:pos="9026" w:leader="dot"/>
            </w:tabs>
            <w:rPr/>
          </w:pPr>
          <w:hyperlink w:anchor="__RefHeading___Toc2472139_581953129">
            <w:r>
              <w:rPr>
                <w:webHidden/>
                <w:rStyle w:val="IndexLink"/>
              </w:rPr>
              <w:t>1-2</w:t>
            </w:r>
            <w:r>
              <w:rPr>
                <w:rStyle w:val="IndexLink"/>
                <w:rtl w:val="true"/>
              </w:rPr>
              <w:t xml:space="preserve">. </w:t>
            </w:r>
            <w:r>
              <w:rPr>
                <w:rStyle w:val="IndexLink"/>
                <w:rtl w:val="true"/>
              </w:rPr>
              <w:t>کلام ابن قدامه در مغنی</w:t>
            </w:r>
            <w:r>
              <w:rPr>
                <w:rStyle w:val="IndexLink"/>
                <w:rtl w:val="true"/>
              </w:rPr>
              <w:tab/>
            </w:r>
            <w:r>
              <w:rPr>
                <w:rStyle w:val="IndexLink"/>
              </w:rPr>
              <w:t>67</w:t>
            </w:r>
          </w:hyperlink>
        </w:p>
        <w:p>
          <w:pPr>
            <w:pStyle w:val="Contents6"/>
            <w:tabs>
              <w:tab w:val="clear" w:pos="7609"/>
              <w:tab w:val="right" w:pos="9026" w:leader="dot"/>
            </w:tabs>
            <w:rPr/>
          </w:pPr>
          <w:hyperlink w:anchor="__RefHeading___Toc2472141_581953129">
            <w:r>
              <w:rPr>
                <w:webHidden/>
                <w:rStyle w:val="IndexLink"/>
              </w:rPr>
              <w:t>2-2</w:t>
            </w:r>
            <w:r>
              <w:rPr>
                <w:rStyle w:val="IndexLink"/>
                <w:rtl w:val="true"/>
              </w:rPr>
              <w:t xml:space="preserve">. </w:t>
            </w:r>
            <w:r>
              <w:rPr>
                <w:rStyle w:val="IndexLink"/>
                <w:rtl w:val="true"/>
              </w:rPr>
              <w:t xml:space="preserve">کلام زیعلی در </w:t>
            </w:r>
            <w:r>
              <w:rPr>
                <w:rStyle w:val="IndexLink"/>
                <w:rtl w:val="true"/>
              </w:rPr>
              <w:t>«</w:t>
            </w:r>
            <w:r>
              <w:rPr>
                <w:rStyle w:val="IndexLink"/>
                <w:rtl w:val="true"/>
              </w:rPr>
              <w:t>تبیین الحقائق</w:t>
            </w:r>
            <w:r>
              <w:rPr>
                <w:rStyle w:val="IndexLink"/>
                <w:rtl w:val="true"/>
              </w:rPr>
              <w:t>»</w:t>
              <w:tab/>
            </w:r>
            <w:r>
              <w:rPr>
                <w:rStyle w:val="IndexLink"/>
              </w:rPr>
              <w:t>68</w:t>
            </w:r>
          </w:hyperlink>
        </w:p>
        <w:p>
          <w:pPr>
            <w:pStyle w:val="Contents6"/>
            <w:tabs>
              <w:tab w:val="clear" w:pos="7609"/>
              <w:tab w:val="right" w:pos="9026" w:leader="dot"/>
            </w:tabs>
            <w:rPr/>
          </w:pPr>
          <w:hyperlink w:anchor="__RefHeading___Toc2472143_581953129">
            <w:r>
              <w:rPr>
                <w:webHidden/>
                <w:rStyle w:val="IndexLink"/>
              </w:rPr>
              <w:t>3-2</w:t>
            </w:r>
            <w:r>
              <w:rPr>
                <w:rStyle w:val="IndexLink"/>
                <w:rtl w:val="true"/>
              </w:rPr>
              <w:t xml:space="preserve">. </w:t>
            </w:r>
            <w:r>
              <w:rPr>
                <w:rStyle w:val="IndexLink"/>
                <w:rtl w:val="true"/>
              </w:rPr>
              <w:t xml:space="preserve">کلام بهوتی در </w:t>
            </w:r>
            <w:r>
              <w:rPr>
                <w:rStyle w:val="IndexLink"/>
                <w:rtl w:val="true"/>
              </w:rPr>
              <w:t>«</w:t>
            </w:r>
            <w:r>
              <w:rPr>
                <w:rStyle w:val="IndexLink"/>
                <w:rtl w:val="true"/>
              </w:rPr>
              <w:t>کشاف القناع</w:t>
            </w:r>
            <w:r>
              <w:rPr>
                <w:rStyle w:val="IndexLink"/>
                <w:rtl w:val="true"/>
              </w:rPr>
              <w:t>»</w:t>
              <w:tab/>
            </w:r>
            <w:r>
              <w:rPr>
                <w:rStyle w:val="IndexLink"/>
              </w:rPr>
              <w:t>69</w:t>
            </w:r>
          </w:hyperlink>
        </w:p>
        <w:p>
          <w:pPr>
            <w:pStyle w:val="Contents6"/>
            <w:tabs>
              <w:tab w:val="clear" w:pos="7609"/>
              <w:tab w:val="right" w:pos="9026" w:leader="dot"/>
            </w:tabs>
            <w:rPr/>
          </w:pPr>
          <w:hyperlink w:anchor="__RefHeading___Toc2472145_581953129">
            <w:r>
              <w:rPr>
                <w:webHidden/>
                <w:rStyle w:val="IndexLink"/>
              </w:rPr>
              <w:t>4-2</w:t>
            </w:r>
            <w:r>
              <w:rPr>
                <w:rStyle w:val="IndexLink"/>
                <w:rtl w:val="true"/>
              </w:rPr>
              <w:t xml:space="preserve">. </w:t>
            </w:r>
            <w:r>
              <w:rPr>
                <w:rStyle w:val="IndexLink"/>
                <w:rtl w:val="true"/>
              </w:rPr>
              <w:t xml:space="preserve">کلام فقهای حنفی در </w:t>
            </w:r>
            <w:r>
              <w:rPr>
                <w:rStyle w:val="IndexLink"/>
                <w:rtl w:val="true"/>
              </w:rPr>
              <w:t>«</w:t>
            </w:r>
            <w:r>
              <w:rPr>
                <w:rStyle w:val="IndexLink"/>
                <w:rtl w:val="true"/>
              </w:rPr>
              <w:t>مجله</w:t>
            </w:r>
            <w:r>
              <w:rPr>
                <w:rStyle w:val="IndexLink"/>
                <w:rtl w:val="true"/>
              </w:rPr>
              <w:t>»</w:t>
              <w:tab/>
            </w:r>
            <w:r>
              <w:rPr>
                <w:rStyle w:val="IndexLink"/>
              </w:rPr>
              <w:t>69</w:t>
            </w:r>
          </w:hyperlink>
        </w:p>
        <w:p>
          <w:pPr>
            <w:pStyle w:val="Contents6"/>
            <w:tabs>
              <w:tab w:val="clear" w:pos="7609"/>
              <w:tab w:val="right" w:pos="9026" w:leader="dot"/>
            </w:tabs>
            <w:rPr/>
          </w:pPr>
          <w:hyperlink w:anchor="__RefHeading___Toc2472147_581953129">
            <w:r>
              <w:rPr>
                <w:webHidden/>
                <w:rStyle w:val="IndexLink"/>
                <w:rtl w:val="true"/>
              </w:rPr>
              <w:t>ب</w:t>
            </w:r>
            <w:r>
              <w:rPr>
                <w:rStyle w:val="IndexLink"/>
                <w:rtl w:val="true"/>
              </w:rPr>
              <w:t xml:space="preserve">) </w:t>
            </w:r>
            <w:r>
              <w:rPr>
                <w:rStyle w:val="IndexLink"/>
                <w:rtl w:val="true"/>
              </w:rPr>
              <w:t>نظرات فقها پیرامون اجماع</w:t>
            </w:r>
            <w:r>
              <w:rPr>
                <w:rStyle w:val="IndexLink"/>
                <w:rtl w:val="true"/>
              </w:rPr>
              <w:tab/>
            </w:r>
            <w:r>
              <w:rPr>
                <w:rStyle w:val="IndexLink"/>
              </w:rPr>
              <w:t>71</w:t>
            </w:r>
          </w:hyperlink>
        </w:p>
        <w:p>
          <w:pPr>
            <w:pStyle w:val="Contents6"/>
            <w:tabs>
              <w:tab w:val="clear" w:pos="7609"/>
              <w:tab w:val="right" w:pos="9026" w:leader="dot"/>
            </w:tabs>
            <w:rPr/>
          </w:pPr>
          <w:hyperlink w:anchor="__RefHeading___Toc2472149_581953129">
            <w:r>
              <w:rPr>
                <w:webHidden/>
                <w:rStyle w:val="IndexLink"/>
              </w:rPr>
              <w:t>1</w:t>
            </w:r>
            <w:r>
              <w:rPr>
                <w:rStyle w:val="IndexLink"/>
                <w:rtl w:val="true"/>
              </w:rPr>
              <w:t xml:space="preserve">- </w:t>
            </w:r>
            <w:r>
              <w:rPr>
                <w:rStyle w:val="IndexLink"/>
                <w:rtl w:val="true"/>
              </w:rPr>
              <w:t>نظر مرحوم شیخ انصاری</w:t>
            </w:r>
            <w:r>
              <w:rPr>
                <w:rStyle w:val="IndexLink"/>
                <w:rtl w:val="true"/>
              </w:rPr>
              <w:tab/>
            </w:r>
            <w:r>
              <w:rPr>
                <w:rStyle w:val="IndexLink"/>
              </w:rPr>
              <w:t>71</w:t>
            </w:r>
          </w:hyperlink>
        </w:p>
        <w:p>
          <w:pPr>
            <w:pStyle w:val="Contents6"/>
            <w:tabs>
              <w:tab w:val="clear" w:pos="7609"/>
              <w:tab w:val="right" w:pos="9026" w:leader="dot"/>
            </w:tabs>
            <w:rPr/>
          </w:pPr>
          <w:hyperlink w:anchor="__RefHeading___Toc2472151_581953129">
            <w:r>
              <w:rPr>
                <w:webHidden/>
                <w:rStyle w:val="IndexLink"/>
              </w:rPr>
              <w:t>2</w:t>
            </w:r>
            <w:r>
              <w:rPr>
                <w:rStyle w:val="IndexLink"/>
                <w:rtl w:val="true"/>
              </w:rPr>
              <w:t xml:space="preserve">- </w:t>
            </w:r>
            <w:r>
              <w:rPr>
                <w:rStyle w:val="IndexLink"/>
                <w:rtl w:val="true"/>
              </w:rPr>
              <w:t>نظر مرحوم محقق خوئی</w:t>
            </w:r>
            <w:r>
              <w:rPr>
                <w:rStyle w:val="IndexLink"/>
                <w:rtl w:val="true"/>
              </w:rPr>
              <w:tab/>
            </w:r>
            <w:r>
              <w:rPr>
                <w:rStyle w:val="IndexLink"/>
              </w:rPr>
              <w:t>72</w:t>
            </w:r>
          </w:hyperlink>
        </w:p>
        <w:p>
          <w:pPr>
            <w:pStyle w:val="Contents6"/>
            <w:tabs>
              <w:tab w:val="clear" w:pos="7609"/>
              <w:tab w:val="right" w:pos="9026" w:leader="dot"/>
            </w:tabs>
            <w:rPr/>
          </w:pPr>
          <w:hyperlink w:anchor="__RefHeading___Toc2472153_581953129">
            <w:r>
              <w:rPr>
                <w:webHidden/>
                <w:rStyle w:val="IndexLink"/>
              </w:rPr>
              <w:t>3</w:t>
            </w:r>
            <w:r>
              <w:rPr>
                <w:rStyle w:val="IndexLink"/>
                <w:rtl w:val="true"/>
              </w:rPr>
              <w:t xml:space="preserve">- </w:t>
            </w:r>
            <w:r>
              <w:rPr>
                <w:rStyle w:val="IndexLink"/>
                <w:rtl w:val="true"/>
              </w:rPr>
              <w:t>نظر مرحوم امام خمینی</w:t>
            </w:r>
            <w:r>
              <w:rPr>
                <w:rStyle w:val="IndexLink"/>
                <w:rtl w:val="true"/>
              </w:rPr>
              <w:tab/>
            </w:r>
            <w:r>
              <w:rPr>
                <w:rStyle w:val="IndexLink"/>
              </w:rPr>
              <w:t>74</w:t>
            </w:r>
          </w:hyperlink>
        </w:p>
        <w:p>
          <w:pPr>
            <w:pStyle w:val="Contents6"/>
            <w:tabs>
              <w:tab w:val="clear" w:pos="7609"/>
              <w:tab w:val="right" w:pos="9026" w:leader="dot"/>
            </w:tabs>
            <w:rPr/>
          </w:pPr>
          <w:hyperlink w:anchor="__RefHeading___Toc2472155_581953129">
            <w:r>
              <w:rPr>
                <w:webHidden/>
                <w:rStyle w:val="IndexLink"/>
                <w:rtl w:val="true"/>
              </w:rPr>
              <w:t>بررسی کلام امام خمینی</w:t>
            </w:r>
            <w:r>
              <w:rPr>
                <w:rStyle w:val="IndexLink"/>
                <w:rtl w:val="true"/>
              </w:rPr>
              <w:tab/>
            </w:r>
            <w:r>
              <w:rPr>
                <w:rStyle w:val="IndexLink"/>
              </w:rPr>
              <w:t>77</w:t>
            </w:r>
          </w:hyperlink>
        </w:p>
        <w:p>
          <w:pPr>
            <w:pStyle w:val="Contents6"/>
            <w:tabs>
              <w:tab w:val="clear" w:pos="7609"/>
              <w:tab w:val="right" w:pos="9026" w:leader="dot"/>
            </w:tabs>
            <w:rPr/>
          </w:pPr>
          <w:hyperlink w:anchor="__RefHeading___Toc2472157_581953129">
            <w:r>
              <w:rPr>
                <w:webHidden/>
                <w:rStyle w:val="IndexLink"/>
              </w:rPr>
              <w:t>4</w:t>
            </w:r>
            <w:r>
              <w:rPr>
                <w:rStyle w:val="IndexLink"/>
                <w:rtl w:val="true"/>
              </w:rPr>
              <w:t xml:space="preserve">- </w:t>
            </w:r>
            <w:r>
              <w:rPr>
                <w:rStyle w:val="IndexLink"/>
                <w:rtl w:val="true"/>
              </w:rPr>
              <w:t>نظر مرحوم آقا ضیاءالدین عراقی</w:t>
            </w:r>
            <w:r>
              <w:rPr>
                <w:rStyle w:val="IndexLink"/>
                <w:rtl w:val="true"/>
              </w:rPr>
              <w:tab/>
            </w:r>
            <w:r>
              <w:rPr>
                <w:rStyle w:val="IndexLink"/>
              </w:rPr>
              <w:t>79</w:t>
            </w:r>
          </w:hyperlink>
        </w:p>
        <w:p>
          <w:pPr>
            <w:pStyle w:val="Contents6"/>
            <w:tabs>
              <w:tab w:val="clear" w:pos="7609"/>
              <w:tab w:val="right" w:pos="9026" w:leader="dot"/>
            </w:tabs>
            <w:rPr/>
          </w:pPr>
          <w:hyperlink w:anchor="__RefHeading___Toc2472159_581953129">
            <w:r>
              <w:rPr>
                <w:webHidden/>
                <w:rStyle w:val="IndexLink"/>
                <w:rtl w:val="true"/>
              </w:rPr>
              <w:t>بررسی کلام محقق عراقی</w:t>
            </w:r>
            <w:r>
              <w:rPr>
                <w:rStyle w:val="IndexLink"/>
                <w:rtl w:val="true"/>
              </w:rPr>
              <w:tab/>
            </w:r>
            <w:r>
              <w:rPr>
                <w:rStyle w:val="IndexLink"/>
              </w:rPr>
              <w:t>80</w:t>
            </w:r>
          </w:hyperlink>
        </w:p>
        <w:p>
          <w:pPr>
            <w:pStyle w:val="Contents6"/>
            <w:tabs>
              <w:tab w:val="clear" w:pos="7609"/>
              <w:tab w:val="right" w:pos="9026" w:leader="dot"/>
            </w:tabs>
            <w:rPr/>
          </w:pPr>
          <w:hyperlink w:anchor="__RefHeading___Toc2472161_581953129">
            <w:r>
              <w:rPr>
                <w:webHidden/>
                <w:rStyle w:val="IndexLink"/>
              </w:rPr>
              <w:t>5</w:t>
            </w:r>
            <w:r>
              <w:rPr>
                <w:rStyle w:val="IndexLink"/>
                <w:rtl w:val="true"/>
              </w:rPr>
              <w:t xml:space="preserve">- </w:t>
            </w:r>
            <w:r>
              <w:rPr>
                <w:rStyle w:val="IndexLink"/>
                <w:rtl w:val="true"/>
              </w:rPr>
              <w:t>نظر مرحوم آیة‌اللّه محمد فاضل لنکرانی</w:t>
            </w:r>
            <w:r>
              <w:rPr>
                <w:rStyle w:val="IndexLink"/>
                <w:rtl w:val="true"/>
              </w:rPr>
              <w:tab/>
            </w:r>
            <w:r>
              <w:rPr>
                <w:rStyle w:val="IndexLink"/>
              </w:rPr>
              <w:t>81</w:t>
            </w:r>
          </w:hyperlink>
        </w:p>
        <w:p>
          <w:pPr>
            <w:pStyle w:val="Contents6"/>
            <w:tabs>
              <w:tab w:val="clear" w:pos="7609"/>
              <w:tab w:val="right" w:pos="9026" w:leader="dot"/>
            </w:tabs>
            <w:rPr/>
          </w:pPr>
          <w:hyperlink w:anchor="__RefHeading___Toc2472163_581953129">
            <w:r>
              <w:rPr>
                <w:webHidden/>
                <w:rStyle w:val="IndexLink"/>
                <w:rtl w:val="true"/>
              </w:rPr>
              <w:t>بررسی کلام مرحوم آیة‌اللّه فاضل لنکرانی</w:t>
            </w:r>
            <w:r>
              <w:rPr>
                <w:rStyle w:val="IndexLink"/>
                <w:rtl w:val="true"/>
              </w:rPr>
              <w:tab/>
            </w:r>
            <w:r>
              <w:rPr>
                <w:rStyle w:val="IndexLink"/>
              </w:rPr>
              <w:t>83</w:t>
            </w:r>
          </w:hyperlink>
        </w:p>
        <w:p>
          <w:pPr>
            <w:pStyle w:val="Contents6"/>
            <w:tabs>
              <w:tab w:val="clear" w:pos="7609"/>
              <w:tab w:val="right" w:pos="9026" w:leader="dot"/>
            </w:tabs>
            <w:rPr/>
          </w:pPr>
          <w:hyperlink w:anchor="__RefHeading___Toc2472165_581953129">
            <w:r>
              <w:rPr>
                <w:webHidden/>
                <w:rStyle w:val="IndexLink"/>
              </w:rPr>
              <w:t>6</w:t>
            </w:r>
            <w:r>
              <w:rPr>
                <w:rStyle w:val="IndexLink"/>
                <w:rtl w:val="true"/>
              </w:rPr>
              <w:t xml:space="preserve">- </w:t>
            </w:r>
            <w:r>
              <w:rPr>
                <w:rStyle w:val="IndexLink"/>
                <w:rtl w:val="true"/>
              </w:rPr>
              <w:t>نظر حضرت استاد</w:t>
            </w:r>
            <w:r>
              <w:rPr>
                <w:rStyle w:val="IndexLink"/>
                <w:rtl w:val="true"/>
              </w:rPr>
              <w:tab/>
            </w:r>
            <w:r>
              <w:rPr>
                <w:rStyle w:val="IndexLink"/>
              </w:rPr>
              <w:t>83</w:t>
            </w:r>
          </w:hyperlink>
        </w:p>
        <w:p>
          <w:pPr>
            <w:pStyle w:val="Contents5"/>
            <w:tabs>
              <w:tab w:val="clear" w:pos="7892"/>
              <w:tab w:val="right" w:pos="9026" w:leader="dot"/>
            </w:tabs>
            <w:rPr/>
          </w:pPr>
          <w:hyperlink w:anchor="__RefHeading___Toc2472167_581953129">
            <w:r>
              <w:rPr>
                <w:webHidden/>
                <w:rStyle w:val="IndexLink"/>
                <w:rtl w:val="true"/>
              </w:rPr>
              <w:t>دلیل دوم</w:t>
            </w:r>
            <w:r>
              <w:rPr>
                <w:rStyle w:val="IndexLink"/>
                <w:rtl w:val="true"/>
              </w:rPr>
              <w:t xml:space="preserve">: </w:t>
            </w:r>
            <w:r>
              <w:rPr>
                <w:rStyle w:val="IndexLink"/>
                <w:rtl w:val="true"/>
              </w:rPr>
              <w:t>سیرۀ متشرعه</w:t>
            </w:r>
            <w:r>
              <w:rPr>
                <w:rStyle w:val="IndexLink"/>
                <w:rtl w:val="true"/>
              </w:rPr>
              <w:tab/>
            </w:r>
            <w:r>
              <w:rPr>
                <w:rStyle w:val="IndexLink"/>
              </w:rPr>
              <w:t>86</w:t>
            </w:r>
          </w:hyperlink>
        </w:p>
        <w:p>
          <w:pPr>
            <w:pStyle w:val="Contents6"/>
            <w:tabs>
              <w:tab w:val="clear" w:pos="7609"/>
              <w:tab w:val="right" w:pos="9026" w:leader="dot"/>
            </w:tabs>
            <w:rPr/>
          </w:pPr>
          <w:hyperlink w:anchor="__RefHeading___Toc2472169_581953129">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2472171_581953129">
            <w:r>
              <w:rPr>
                <w:webHidden/>
                <w:rStyle w:val="IndexLink"/>
                <w:rtl w:val="true"/>
              </w:rPr>
              <w:t>بررسی ایرادات وارد شده بر سیرۀ متشرعه</w:t>
            </w:r>
            <w:r>
              <w:rPr>
                <w:rStyle w:val="IndexLink"/>
                <w:rtl w:val="true"/>
              </w:rPr>
              <w:tab/>
            </w:r>
            <w:r>
              <w:rPr>
                <w:rStyle w:val="IndexLink"/>
              </w:rPr>
              <w:t>88</w:t>
            </w:r>
          </w:hyperlink>
        </w:p>
        <w:p>
          <w:pPr>
            <w:pStyle w:val="Contents5"/>
            <w:tabs>
              <w:tab w:val="clear" w:pos="7892"/>
              <w:tab w:val="right" w:pos="9026" w:leader="dot"/>
            </w:tabs>
            <w:rPr/>
          </w:pPr>
          <w:hyperlink w:anchor="__RefHeading___Toc2472173_581953129">
            <w:r>
              <w:rPr>
                <w:webHidden/>
                <w:rStyle w:val="IndexLink"/>
                <w:rtl w:val="true"/>
              </w:rPr>
              <w:t>دلیل سوم</w:t>
            </w:r>
            <w:r>
              <w:rPr>
                <w:rStyle w:val="IndexLink"/>
                <w:rtl w:val="true"/>
              </w:rPr>
              <w:t xml:space="preserve">: </w:t>
            </w:r>
            <w:r>
              <w:rPr>
                <w:rStyle w:val="IndexLink"/>
                <w:rtl w:val="true"/>
              </w:rPr>
              <w:t>بنای عقلاء</w:t>
            </w:r>
            <w:r>
              <w:rPr>
                <w:rStyle w:val="IndexLink"/>
                <w:rtl w:val="true"/>
              </w:rPr>
              <w:tab/>
            </w:r>
            <w:r>
              <w:rPr>
                <w:rStyle w:val="IndexLink"/>
              </w:rPr>
              <w:t>89</w:t>
            </w:r>
          </w:hyperlink>
        </w:p>
        <w:p>
          <w:pPr>
            <w:pStyle w:val="Contents6"/>
            <w:tabs>
              <w:tab w:val="clear" w:pos="7609"/>
              <w:tab w:val="right" w:pos="9026" w:leader="dot"/>
            </w:tabs>
            <w:rPr/>
          </w:pPr>
          <w:hyperlink w:anchor="__RefHeading___Toc2472175_581953129">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472177_581953129">
            <w:r>
              <w:rPr>
                <w:webHidden/>
                <w:rStyle w:val="IndexLink"/>
                <w:rtl w:val="true"/>
              </w:rPr>
              <w:t>کلام مرحوم آیة‌اللّه فاضل لنکرانی</w:t>
            </w:r>
            <w:r>
              <w:rPr>
                <w:rStyle w:val="IndexLink"/>
                <w:rtl w:val="true"/>
              </w:rPr>
              <w:tab/>
            </w:r>
            <w:r>
              <w:rPr>
                <w:rStyle w:val="IndexLink"/>
              </w:rPr>
              <w:t>90</w:t>
            </w:r>
          </w:hyperlink>
        </w:p>
        <w:p>
          <w:pPr>
            <w:pStyle w:val="Contents6"/>
            <w:tabs>
              <w:tab w:val="clear" w:pos="7609"/>
              <w:tab w:val="right" w:pos="9026" w:leader="dot"/>
            </w:tabs>
            <w:rPr/>
          </w:pPr>
          <w:hyperlink w:anchor="__RefHeading___Toc2472179_581953129">
            <w:r>
              <w:rPr>
                <w:webHidden/>
                <w:rStyle w:val="IndexLink"/>
                <w:rtl w:val="true"/>
              </w:rPr>
              <w:t>اشکال بر دلیل بناء عقلاء</w:t>
            </w:r>
            <w:r>
              <w:rPr>
                <w:rStyle w:val="IndexLink"/>
                <w:rtl w:val="true"/>
              </w:rPr>
              <w:tab/>
            </w:r>
            <w:r>
              <w:rPr>
                <w:rStyle w:val="IndexLink"/>
              </w:rPr>
              <w:t>90</w:t>
            </w:r>
          </w:hyperlink>
        </w:p>
        <w:p>
          <w:pPr>
            <w:pStyle w:val="Contents6"/>
            <w:tabs>
              <w:tab w:val="clear" w:pos="7609"/>
              <w:tab w:val="right" w:pos="9026" w:leader="dot"/>
            </w:tabs>
            <w:rPr/>
          </w:pPr>
          <w:hyperlink w:anchor="__RefHeading___Toc2472181_581953129">
            <w:r>
              <w:rPr>
                <w:webHidden/>
                <w:rStyle w:val="IndexLink"/>
                <w:rtl w:val="true"/>
              </w:rPr>
              <w:t>پاسخ حضرت استاد</w:t>
            </w:r>
            <w:r>
              <w:rPr>
                <w:rStyle w:val="IndexLink"/>
                <w:rtl w:val="true"/>
              </w:rPr>
              <w:tab/>
            </w:r>
            <w:r>
              <w:rPr>
                <w:rStyle w:val="IndexLink"/>
              </w:rPr>
              <w:t>91</w:t>
            </w:r>
          </w:hyperlink>
        </w:p>
        <w:p>
          <w:pPr>
            <w:pStyle w:val="Contents5"/>
            <w:tabs>
              <w:tab w:val="clear" w:pos="7892"/>
              <w:tab w:val="right" w:pos="9026" w:leader="dot"/>
            </w:tabs>
            <w:rPr/>
          </w:pPr>
          <w:hyperlink w:anchor="__RefHeading___Toc2472183_581953129">
            <w:r>
              <w:rPr>
                <w:webHidden/>
                <w:rStyle w:val="IndexLink"/>
                <w:rtl w:val="true"/>
              </w:rPr>
              <w:t>دلیل چهارم</w:t>
            </w:r>
            <w:r>
              <w:rPr>
                <w:rStyle w:val="IndexLink"/>
                <w:rtl w:val="true"/>
              </w:rPr>
              <w:t xml:space="preserve">: </w:t>
            </w:r>
            <w:r>
              <w:rPr>
                <w:rStyle w:val="IndexLink"/>
                <w:rtl w:val="true"/>
              </w:rPr>
              <w:t>ظهور معتبر</w:t>
            </w:r>
            <w:r>
              <w:rPr>
                <w:rStyle w:val="IndexLink"/>
                <w:rtl w:val="true"/>
              </w:rPr>
              <w:tab/>
            </w:r>
            <w:r>
              <w:rPr>
                <w:rStyle w:val="IndexLink"/>
              </w:rPr>
              <w:t>91</w:t>
            </w:r>
          </w:hyperlink>
        </w:p>
        <w:p>
          <w:pPr>
            <w:pStyle w:val="Contents6"/>
            <w:tabs>
              <w:tab w:val="clear" w:pos="7609"/>
              <w:tab w:val="right" w:pos="9026" w:leader="dot"/>
            </w:tabs>
            <w:rPr/>
          </w:pPr>
          <w:hyperlink w:anchor="__RefHeading___Toc2472185_581953129">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472187_581953129">
            <w:r>
              <w:rPr>
                <w:webHidden/>
                <w:rStyle w:val="IndexLink"/>
                <w:rtl w:val="true"/>
              </w:rPr>
              <w:t>اشکال شیخ انصاری بر حجیت ظهور</w:t>
            </w:r>
            <w:r>
              <w:rPr>
                <w:rStyle w:val="IndexLink"/>
                <w:rtl w:val="true"/>
              </w:rPr>
              <w:tab/>
            </w:r>
            <w:r>
              <w:rPr>
                <w:rStyle w:val="IndexLink"/>
              </w:rPr>
              <w:t>97</w:t>
            </w:r>
          </w:hyperlink>
        </w:p>
        <w:p>
          <w:pPr>
            <w:pStyle w:val="Contents6"/>
            <w:tabs>
              <w:tab w:val="clear" w:pos="7609"/>
              <w:tab w:val="right" w:pos="9026" w:leader="dot"/>
            </w:tabs>
            <w:rPr/>
          </w:pPr>
          <w:hyperlink w:anchor="__RefHeading___Toc2472189_581953129">
            <w:r>
              <w:rPr>
                <w:webHidden/>
                <w:rStyle w:val="IndexLink"/>
                <w:rtl w:val="true"/>
              </w:rPr>
              <w:t>بررسی اشکال شیخ انصاری</w:t>
            </w:r>
            <w:r>
              <w:rPr>
                <w:rStyle w:val="IndexLink"/>
                <w:rtl w:val="true"/>
              </w:rPr>
              <w:tab/>
            </w:r>
            <w:r>
              <w:rPr>
                <w:rStyle w:val="IndexLink"/>
              </w:rPr>
              <w:t>97</w:t>
            </w:r>
          </w:hyperlink>
        </w:p>
        <w:p>
          <w:pPr>
            <w:pStyle w:val="Contents5"/>
            <w:tabs>
              <w:tab w:val="clear" w:pos="7892"/>
              <w:tab w:val="right" w:pos="9026" w:leader="dot"/>
            </w:tabs>
            <w:rPr/>
          </w:pPr>
          <w:hyperlink w:anchor="__RefHeading___Toc2472191_581953129">
            <w:r>
              <w:rPr>
                <w:webHidden/>
                <w:rStyle w:val="IndexLink"/>
                <w:rtl w:val="true"/>
              </w:rPr>
              <w:t>دلیل پنجم</w:t>
            </w:r>
            <w:r>
              <w:rPr>
                <w:rStyle w:val="IndexLink"/>
                <w:rtl w:val="true"/>
              </w:rPr>
              <w:t xml:space="preserve">: </w:t>
            </w:r>
            <w:r>
              <w:rPr>
                <w:rStyle w:val="IndexLink"/>
                <w:rtl w:val="true"/>
              </w:rPr>
              <w:t>ملازمۀ عرفیه</w:t>
            </w:r>
            <w:r>
              <w:rPr>
                <w:rStyle w:val="IndexLink"/>
                <w:rtl w:val="true"/>
              </w:rPr>
              <w:tab/>
            </w:r>
            <w:r>
              <w:rPr>
                <w:rStyle w:val="IndexLink"/>
              </w:rPr>
              <w:t>98</w:t>
            </w:r>
          </w:hyperlink>
        </w:p>
        <w:p>
          <w:pPr>
            <w:pStyle w:val="Contents6"/>
            <w:tabs>
              <w:tab w:val="clear" w:pos="7609"/>
              <w:tab w:val="right" w:pos="9026" w:leader="dot"/>
            </w:tabs>
            <w:rPr/>
          </w:pPr>
          <w:hyperlink w:anchor="__RefHeading___Toc2472193_581953129">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2472195_581953129">
            <w:r>
              <w:rPr>
                <w:webHidden/>
                <w:rStyle w:val="IndexLink"/>
                <w:rtl w:val="true"/>
              </w:rPr>
              <w:t>اشکال محقق بجنوردی بر دلیل ملازمه</w:t>
            </w:r>
            <w:r>
              <w:rPr>
                <w:rStyle w:val="IndexLink"/>
                <w:rtl w:val="true"/>
              </w:rPr>
              <w:tab/>
            </w:r>
            <w:r>
              <w:rPr>
                <w:rStyle w:val="IndexLink"/>
              </w:rPr>
              <w:t>99</w:t>
            </w:r>
          </w:hyperlink>
        </w:p>
        <w:p>
          <w:pPr>
            <w:pStyle w:val="Contents6"/>
            <w:tabs>
              <w:tab w:val="clear" w:pos="7609"/>
              <w:tab w:val="right" w:pos="9026" w:leader="dot"/>
            </w:tabs>
            <w:rPr/>
          </w:pPr>
          <w:hyperlink w:anchor="__RefHeading___Toc2472197_581953129">
            <w:r>
              <w:rPr>
                <w:webHidden/>
                <w:rStyle w:val="IndexLink"/>
                <w:rtl w:val="true"/>
              </w:rPr>
              <w:t>پاسخ مرحوم آیة‌اللّه فاضل لنکرانی</w:t>
            </w:r>
            <w:r>
              <w:rPr>
                <w:rStyle w:val="IndexLink"/>
                <w:rtl w:val="true"/>
              </w:rPr>
              <w:tab/>
            </w:r>
            <w:r>
              <w:rPr>
                <w:rStyle w:val="IndexLink"/>
              </w:rPr>
              <w:t>103</w:t>
            </w:r>
          </w:hyperlink>
        </w:p>
        <w:p>
          <w:pPr>
            <w:pStyle w:val="Contents6"/>
            <w:tabs>
              <w:tab w:val="clear" w:pos="7609"/>
              <w:tab w:val="right" w:pos="9026" w:leader="dot"/>
            </w:tabs>
            <w:rPr/>
          </w:pPr>
          <w:hyperlink w:anchor="__RefHeading___Toc2472199_581953129">
            <w:r>
              <w:rPr>
                <w:webHidden/>
                <w:rStyle w:val="IndexLink"/>
                <w:rtl w:val="true"/>
              </w:rPr>
              <w:t>پاسخ حضرت استاد</w:t>
            </w:r>
            <w:r>
              <w:rPr>
                <w:rStyle w:val="IndexLink"/>
                <w:rtl w:val="true"/>
              </w:rPr>
              <w:tab/>
            </w:r>
            <w:r>
              <w:rPr>
                <w:rStyle w:val="IndexLink"/>
              </w:rPr>
              <w:t>104</w:t>
            </w:r>
          </w:hyperlink>
        </w:p>
        <w:p>
          <w:pPr>
            <w:pStyle w:val="Contents4"/>
            <w:tabs>
              <w:tab w:val="clear" w:pos="8176"/>
              <w:tab w:val="right" w:pos="9026" w:leader="dot"/>
            </w:tabs>
            <w:rPr/>
          </w:pPr>
          <w:hyperlink w:anchor="__RefHeading___Toc2472201_581953129">
            <w:r>
              <w:rPr>
                <w:webHidden/>
                <w:rStyle w:val="IndexLink"/>
                <w:rtl w:val="true"/>
              </w:rPr>
              <w:t>فصل دوم</w:t>
            </w:r>
            <w:r>
              <w:rPr>
                <w:rStyle w:val="IndexLink"/>
                <w:rtl w:val="true"/>
              </w:rPr>
              <w:t xml:space="preserve">: </w:t>
            </w:r>
            <w:r>
              <w:rPr>
                <w:rStyle w:val="IndexLink"/>
                <w:rtl w:val="true"/>
              </w:rPr>
              <w:t>ادلۀ مستفاد از قواعد دیگر</w:t>
            </w:r>
            <w:r>
              <w:rPr>
                <w:rStyle w:val="IndexLink"/>
                <w:rtl w:val="true"/>
              </w:rPr>
              <w:tab/>
            </w:r>
            <w:r>
              <w:rPr>
                <w:rStyle w:val="IndexLink"/>
              </w:rPr>
              <w:t>106</w:t>
            </w:r>
          </w:hyperlink>
        </w:p>
        <w:p>
          <w:pPr>
            <w:pStyle w:val="Contents5"/>
            <w:tabs>
              <w:tab w:val="clear" w:pos="7892"/>
              <w:tab w:val="right" w:pos="9026" w:leader="dot"/>
            </w:tabs>
            <w:rPr/>
          </w:pPr>
          <w:hyperlink w:anchor="__RefHeading___Toc2472203_58195312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2472205_581953129">
            <w:r>
              <w:rPr>
                <w:webHidden/>
                <w:rStyle w:val="IndexLink"/>
                <w:rtl w:val="true"/>
              </w:rPr>
              <w:t>گفتار اول</w:t>
            </w:r>
            <w:r>
              <w:rPr>
                <w:rStyle w:val="IndexLink"/>
                <w:rtl w:val="true"/>
              </w:rPr>
              <w:t xml:space="preserve">: </w:t>
            </w:r>
            <w:r>
              <w:rPr>
                <w:rStyle w:val="IndexLink"/>
                <w:rtl w:val="true"/>
              </w:rPr>
              <w:t xml:space="preserve">قاعدۀ </w:t>
            </w:r>
            <w:r>
              <w:rPr>
                <w:rStyle w:val="IndexLink"/>
                <w:rtl w:val="true"/>
              </w:rPr>
              <w:t>«</w:t>
            </w:r>
            <w:r>
              <w:rPr>
                <w:rStyle w:val="IndexLink"/>
                <w:rtl w:val="true"/>
              </w:rPr>
              <w:t>قبول ادعای بلا معارض</w:t>
            </w:r>
            <w:r>
              <w:rPr>
                <w:rStyle w:val="IndexLink"/>
                <w:rtl w:val="true"/>
              </w:rPr>
              <w:t>»</w:t>
              <w:tab/>
            </w:r>
            <w:r>
              <w:rPr>
                <w:rStyle w:val="IndexLink"/>
              </w:rPr>
              <w:t>107</w:t>
            </w:r>
          </w:hyperlink>
        </w:p>
        <w:p>
          <w:pPr>
            <w:pStyle w:val="Contents5"/>
            <w:tabs>
              <w:tab w:val="clear" w:pos="7892"/>
              <w:tab w:val="right" w:pos="9026" w:leader="dot"/>
            </w:tabs>
            <w:rPr/>
          </w:pPr>
          <w:hyperlink w:anchor="__RefHeading___Toc2472207_581953129">
            <w:r>
              <w:rPr>
                <w:webHidden/>
                <w:rStyle w:val="IndexLink"/>
                <w:rtl w:val="true"/>
              </w:rPr>
              <w:t>گفتار دوم</w:t>
            </w:r>
            <w:r>
              <w:rPr>
                <w:rStyle w:val="IndexLink"/>
                <w:rtl w:val="true"/>
              </w:rPr>
              <w:t xml:space="preserve">: </w:t>
            </w:r>
            <w:r>
              <w:rPr>
                <w:rStyle w:val="IndexLink"/>
                <w:rtl w:val="true"/>
              </w:rPr>
              <w:t>قاعدۀ حجیت قول ذو الید</w:t>
            </w:r>
            <w:r>
              <w:rPr>
                <w:rStyle w:val="IndexLink"/>
                <w:rtl w:val="true"/>
              </w:rPr>
              <w:tab/>
            </w:r>
            <w:r>
              <w:rPr>
                <w:rStyle w:val="IndexLink"/>
              </w:rPr>
              <w:t>109</w:t>
            </w:r>
          </w:hyperlink>
        </w:p>
        <w:p>
          <w:pPr>
            <w:pStyle w:val="Contents6"/>
            <w:tabs>
              <w:tab w:val="clear" w:pos="7609"/>
              <w:tab w:val="right" w:pos="9026" w:leader="dot"/>
            </w:tabs>
            <w:rPr/>
          </w:pPr>
          <w:hyperlink w:anchor="__RefHeading___Toc2472209_581953129">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472211_581953129">
            <w:r>
              <w:rPr>
                <w:webHidden/>
                <w:rStyle w:val="IndexLink"/>
                <w:rtl w:val="true"/>
              </w:rPr>
              <w:t>الف</w:t>
            </w:r>
            <w:r>
              <w:rPr>
                <w:rStyle w:val="IndexLink"/>
                <w:rtl w:val="true"/>
              </w:rPr>
              <w:t xml:space="preserve">) </w:t>
            </w:r>
            <w:r>
              <w:rPr>
                <w:rStyle w:val="IndexLink"/>
                <w:rtl w:val="true"/>
              </w:rPr>
              <w:t>تبیین قاعدۀ حجیت قول ذو الید</w:t>
            </w:r>
            <w:r>
              <w:rPr>
                <w:rStyle w:val="IndexLink"/>
                <w:rtl w:val="true"/>
              </w:rPr>
              <w:tab/>
            </w:r>
            <w:r>
              <w:rPr>
                <w:rStyle w:val="IndexLink"/>
              </w:rPr>
              <w:t>110</w:t>
            </w:r>
          </w:hyperlink>
        </w:p>
        <w:p>
          <w:pPr>
            <w:pStyle w:val="Contents6"/>
            <w:tabs>
              <w:tab w:val="clear" w:pos="7609"/>
              <w:tab w:val="right" w:pos="9026" w:leader="dot"/>
            </w:tabs>
            <w:rPr/>
          </w:pPr>
          <w:hyperlink w:anchor="__RefHeading___Toc2472213_581953129">
            <w:r>
              <w:rPr>
                <w:webHidden/>
                <w:rStyle w:val="IndexLink"/>
                <w:rtl w:val="true"/>
              </w:rPr>
              <w:t>ب</w:t>
            </w:r>
            <w:r>
              <w:rPr>
                <w:rStyle w:val="IndexLink"/>
                <w:rtl w:val="true"/>
              </w:rPr>
              <w:t xml:space="preserve">) </w:t>
            </w:r>
            <w:r>
              <w:rPr>
                <w:rStyle w:val="IndexLink"/>
                <w:rtl w:val="true"/>
              </w:rPr>
              <w:t xml:space="preserve">رابطۀ قاعدۀ حجیت قول ذو الید با قاعدۀ </w:t>
            </w:r>
            <w:r>
              <w:rPr>
                <w:rStyle w:val="IndexLink"/>
                <w:rtl w:val="true"/>
              </w:rPr>
              <w:t>«</w:t>
            </w:r>
            <w:r>
              <w:rPr>
                <w:rStyle w:val="IndexLink"/>
                <w:rtl w:val="true"/>
              </w:rPr>
              <w:t>من ملک</w:t>
            </w:r>
            <w:r>
              <w:rPr>
                <w:rStyle w:val="IndexLink"/>
                <w:rtl w:val="true"/>
              </w:rPr>
              <w:t>»</w:t>
              <w:tab/>
            </w:r>
            <w:r>
              <w:rPr>
                <w:rStyle w:val="IndexLink"/>
              </w:rPr>
              <w:t>111</w:t>
            </w:r>
          </w:hyperlink>
        </w:p>
        <w:p>
          <w:pPr>
            <w:pStyle w:val="Contents5"/>
            <w:tabs>
              <w:tab w:val="clear" w:pos="7892"/>
              <w:tab w:val="right" w:pos="9026" w:leader="dot"/>
            </w:tabs>
            <w:rPr/>
          </w:pPr>
          <w:hyperlink w:anchor="__RefHeading___Toc2472215_581953129">
            <w:r>
              <w:rPr>
                <w:webHidden/>
                <w:rStyle w:val="IndexLink"/>
                <w:rtl w:val="true"/>
              </w:rPr>
              <w:t>گفتار سوم</w:t>
            </w:r>
            <w:r>
              <w:rPr>
                <w:rStyle w:val="IndexLink"/>
                <w:rtl w:val="true"/>
              </w:rPr>
              <w:t xml:space="preserve">: </w:t>
            </w:r>
            <w:r>
              <w:rPr>
                <w:rStyle w:val="IndexLink"/>
                <w:rtl w:val="true"/>
              </w:rPr>
              <w:t xml:space="preserve">قاعدۀ </w:t>
            </w:r>
            <w:r>
              <w:rPr>
                <w:rStyle w:val="IndexLink"/>
                <w:rtl w:val="true"/>
              </w:rPr>
              <w:t>«</w:t>
            </w:r>
            <w:r>
              <w:rPr>
                <w:rStyle w:val="IndexLink"/>
                <w:rtl w:val="true"/>
              </w:rPr>
              <w:t>ائتمان</w:t>
            </w:r>
            <w:r>
              <w:rPr>
                <w:rStyle w:val="IndexLink"/>
                <w:rtl w:val="true"/>
              </w:rPr>
              <w:t>»</w:t>
              <w:tab/>
            </w:r>
            <w:r>
              <w:rPr>
                <w:rStyle w:val="IndexLink"/>
              </w:rPr>
              <w:t>112</w:t>
            </w:r>
          </w:hyperlink>
        </w:p>
        <w:p>
          <w:pPr>
            <w:pStyle w:val="Contents6"/>
            <w:tabs>
              <w:tab w:val="clear" w:pos="7609"/>
              <w:tab w:val="right" w:pos="9026" w:leader="dot"/>
            </w:tabs>
            <w:rPr/>
          </w:pPr>
          <w:hyperlink w:anchor="__RefHeading___Toc2472217_581953129">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2472219_581953129">
            <w:r>
              <w:rPr>
                <w:webHidden/>
                <w:rStyle w:val="IndexLink"/>
                <w:rtl w:val="true"/>
              </w:rPr>
              <w:t>کلام شیخ انصاری</w:t>
            </w:r>
            <w:r>
              <w:rPr>
                <w:rStyle w:val="IndexLink"/>
                <w:rtl w:val="true"/>
              </w:rPr>
              <w:tab/>
            </w:r>
            <w:r>
              <w:rPr>
                <w:rStyle w:val="IndexLink"/>
              </w:rPr>
              <w:t>113</w:t>
            </w:r>
          </w:hyperlink>
        </w:p>
        <w:p>
          <w:pPr>
            <w:pStyle w:val="Contents5"/>
            <w:tabs>
              <w:tab w:val="clear" w:pos="7892"/>
              <w:tab w:val="right" w:pos="9026" w:leader="dot"/>
            </w:tabs>
            <w:rPr/>
          </w:pPr>
          <w:hyperlink w:anchor="__RefHeading___Toc2472221_581953129">
            <w:r>
              <w:rPr>
                <w:webHidden/>
                <w:rStyle w:val="IndexLink"/>
                <w:rtl w:val="true"/>
              </w:rPr>
              <w:t>گفتار چهارم</w:t>
            </w:r>
            <w:r>
              <w:rPr>
                <w:rStyle w:val="IndexLink"/>
                <w:rtl w:val="true"/>
              </w:rPr>
              <w:t xml:space="preserve">: </w:t>
            </w:r>
            <w:r>
              <w:rPr>
                <w:rStyle w:val="IndexLink"/>
                <w:rtl w:val="true"/>
              </w:rPr>
              <w:t xml:space="preserve">قاعدۀ </w:t>
            </w:r>
            <w:r>
              <w:rPr>
                <w:rStyle w:val="IndexLink"/>
                <w:rtl w:val="true"/>
              </w:rPr>
              <w:t>«</w:t>
            </w:r>
            <w:r>
              <w:rPr>
                <w:rStyle w:val="IndexLink"/>
                <w:rtl w:val="true"/>
              </w:rPr>
              <w:t>لا یعلم الا من قبله</w:t>
            </w:r>
            <w:r>
              <w:rPr>
                <w:rStyle w:val="IndexLink"/>
                <w:rtl w:val="true"/>
              </w:rPr>
              <w:t>»</w:t>
              <w:tab/>
            </w:r>
            <w:r>
              <w:rPr>
                <w:rStyle w:val="IndexLink"/>
              </w:rPr>
              <w:t>115</w:t>
            </w:r>
          </w:hyperlink>
        </w:p>
        <w:p>
          <w:pPr>
            <w:pStyle w:val="Contents6"/>
            <w:tabs>
              <w:tab w:val="clear" w:pos="7609"/>
              <w:tab w:val="right" w:pos="9026" w:leader="dot"/>
            </w:tabs>
            <w:rPr/>
          </w:pPr>
          <w:hyperlink w:anchor="__RefHeading___Toc2472223_581953129">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2472225_581953129">
            <w:r>
              <w:rPr>
                <w:webHidden/>
                <w:rStyle w:val="IndexLink"/>
                <w:rtl w:val="true"/>
              </w:rPr>
              <w:t>الف</w:t>
            </w:r>
            <w:r>
              <w:rPr>
                <w:rStyle w:val="IndexLink"/>
                <w:rtl w:val="true"/>
              </w:rPr>
              <w:t xml:space="preserve">) </w:t>
            </w:r>
            <w:r>
              <w:rPr>
                <w:rStyle w:val="IndexLink"/>
                <w:rtl w:val="true"/>
              </w:rPr>
              <w:t xml:space="preserve">تبیین قاعدۀ </w:t>
            </w:r>
            <w:r>
              <w:rPr>
                <w:rStyle w:val="IndexLink"/>
                <w:rtl w:val="true"/>
              </w:rPr>
              <w:t>«</w:t>
            </w:r>
            <w:r>
              <w:rPr>
                <w:rStyle w:val="IndexLink"/>
                <w:rtl w:val="true"/>
              </w:rPr>
              <w:t>لا یعلم</w:t>
            </w:r>
            <w:r>
              <w:rPr>
                <w:rStyle w:val="IndexLink"/>
                <w:rtl w:val="true"/>
              </w:rPr>
              <w:t>»</w:t>
              <w:tab/>
            </w:r>
            <w:r>
              <w:rPr>
                <w:rStyle w:val="IndexLink"/>
              </w:rPr>
              <w:t>115</w:t>
            </w:r>
          </w:hyperlink>
        </w:p>
        <w:p>
          <w:pPr>
            <w:pStyle w:val="Contents6"/>
            <w:tabs>
              <w:tab w:val="clear" w:pos="7609"/>
              <w:tab w:val="right" w:pos="9026" w:leader="dot"/>
            </w:tabs>
            <w:rPr/>
          </w:pPr>
          <w:hyperlink w:anchor="__RefHeading___Toc2472227_581953129">
            <w:r>
              <w:rPr>
                <w:webHidden/>
                <w:rStyle w:val="IndexLink"/>
                <w:rtl w:val="true"/>
              </w:rPr>
              <w:t>ب</w:t>
            </w:r>
            <w:r>
              <w:rPr>
                <w:rStyle w:val="IndexLink"/>
                <w:rtl w:val="true"/>
              </w:rPr>
              <w:t xml:space="preserve">) </w:t>
            </w:r>
            <w:r>
              <w:rPr>
                <w:rStyle w:val="IndexLink"/>
                <w:rtl w:val="true"/>
              </w:rPr>
              <w:t xml:space="preserve">مصادیق قاعدۀ </w:t>
            </w:r>
            <w:r>
              <w:rPr>
                <w:rStyle w:val="IndexLink"/>
                <w:rtl w:val="true"/>
              </w:rPr>
              <w:t>«</w:t>
            </w:r>
            <w:r>
              <w:rPr>
                <w:rStyle w:val="IndexLink"/>
                <w:rtl w:val="true"/>
              </w:rPr>
              <w:t>لا یعلم</w:t>
            </w:r>
            <w:r>
              <w:rPr>
                <w:rStyle w:val="IndexLink"/>
                <w:rtl w:val="true"/>
              </w:rPr>
              <w:t>»</w:t>
              <w:tab/>
            </w:r>
            <w:r>
              <w:rPr>
                <w:rStyle w:val="IndexLink"/>
              </w:rPr>
              <w:t>116</w:t>
            </w:r>
          </w:hyperlink>
        </w:p>
        <w:p>
          <w:pPr>
            <w:pStyle w:val="Contents6"/>
            <w:tabs>
              <w:tab w:val="clear" w:pos="7609"/>
              <w:tab w:val="right" w:pos="9026" w:leader="dot"/>
            </w:tabs>
            <w:rPr/>
          </w:pPr>
          <w:hyperlink w:anchor="__RefHeading___Toc2472229_581953129">
            <w:r>
              <w:rPr>
                <w:webHidden/>
                <w:rStyle w:val="IndexLink"/>
                <w:rtl w:val="true"/>
              </w:rPr>
              <w:t>پ</w:t>
            </w:r>
            <w:r>
              <w:rPr>
                <w:rStyle w:val="IndexLink"/>
                <w:rtl w:val="true"/>
              </w:rPr>
              <w:t xml:space="preserve">) </w:t>
            </w:r>
            <w:r>
              <w:rPr>
                <w:rStyle w:val="IndexLink"/>
                <w:rtl w:val="true"/>
              </w:rPr>
              <w:t xml:space="preserve">کلام فقها پیرامون قاعدۀ </w:t>
            </w:r>
            <w:r>
              <w:rPr>
                <w:rStyle w:val="IndexLink"/>
                <w:rtl w:val="true"/>
              </w:rPr>
              <w:t>«</w:t>
            </w:r>
            <w:r>
              <w:rPr>
                <w:rStyle w:val="IndexLink"/>
                <w:rtl w:val="true"/>
              </w:rPr>
              <w:t>لا یعلم</w:t>
            </w:r>
            <w:r>
              <w:rPr>
                <w:rStyle w:val="IndexLink"/>
                <w:rtl w:val="true"/>
              </w:rPr>
              <w:t>»</w:t>
              <w:tab/>
            </w:r>
            <w:r>
              <w:rPr>
                <w:rStyle w:val="IndexLink"/>
              </w:rPr>
              <w:t>120</w:t>
            </w:r>
          </w:hyperlink>
        </w:p>
        <w:p>
          <w:pPr>
            <w:pStyle w:val="Contents6"/>
            <w:tabs>
              <w:tab w:val="clear" w:pos="7609"/>
              <w:tab w:val="right" w:pos="9026" w:leader="dot"/>
            </w:tabs>
            <w:rPr/>
          </w:pPr>
          <w:hyperlink w:anchor="__RefHeading___Toc2472231_581953129">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2472233_581953129">
            <w:r>
              <w:rPr>
                <w:webHidden/>
                <w:rStyle w:val="IndexLink"/>
                <w:rtl w:val="true"/>
              </w:rPr>
              <w:t>نظر حضرت استاد</w:t>
            </w:r>
            <w:r>
              <w:rPr>
                <w:rStyle w:val="IndexLink"/>
                <w:rtl w:val="true"/>
              </w:rPr>
              <w:tab/>
            </w:r>
            <w:r>
              <w:rPr>
                <w:rStyle w:val="IndexLink"/>
              </w:rPr>
              <w:t>122</w:t>
            </w:r>
          </w:hyperlink>
        </w:p>
        <w:p>
          <w:pPr>
            <w:pStyle w:val="Contents6"/>
            <w:tabs>
              <w:tab w:val="clear" w:pos="7609"/>
              <w:tab w:val="right" w:pos="9026" w:leader="dot"/>
            </w:tabs>
            <w:rPr/>
          </w:pPr>
          <w:hyperlink w:anchor="__RefHeading___Toc2472235_581953129">
            <w:r>
              <w:rPr>
                <w:webHidden/>
                <w:rStyle w:val="IndexLink"/>
                <w:rtl w:val="true"/>
              </w:rPr>
              <w:t>ت</w:t>
            </w:r>
            <w:r>
              <w:rPr>
                <w:rStyle w:val="IndexLink"/>
                <w:rtl w:val="true"/>
              </w:rPr>
              <w:t xml:space="preserve">) </w:t>
            </w:r>
            <w:r>
              <w:rPr>
                <w:rStyle w:val="IndexLink"/>
                <w:rtl w:val="true"/>
              </w:rPr>
              <w:t xml:space="preserve">رابطۀ قاعدۀ </w:t>
            </w:r>
            <w:r>
              <w:rPr>
                <w:rStyle w:val="IndexLink"/>
                <w:rtl w:val="true"/>
              </w:rPr>
              <w:t>«</w:t>
            </w:r>
            <w:r>
              <w:rPr>
                <w:rStyle w:val="IndexLink"/>
                <w:rtl w:val="true"/>
              </w:rPr>
              <w:t>لا یعلم</w:t>
            </w:r>
            <w:r>
              <w:rPr>
                <w:rStyle w:val="IndexLink"/>
                <w:rtl w:val="true"/>
              </w:rPr>
              <w:t xml:space="preserve">» </w:t>
            </w:r>
            <w:r>
              <w:rPr>
                <w:rStyle w:val="IndexLink"/>
                <w:rtl w:val="true"/>
              </w:rPr>
              <w:t xml:space="preserve">با قاعدۀ </w:t>
            </w:r>
            <w:r>
              <w:rPr>
                <w:rStyle w:val="IndexLink"/>
                <w:rtl w:val="true"/>
              </w:rPr>
              <w:t>«</w:t>
            </w:r>
            <w:r>
              <w:rPr>
                <w:rStyle w:val="IndexLink"/>
                <w:rtl w:val="true"/>
              </w:rPr>
              <w:t>من ملک</w:t>
            </w:r>
            <w:r>
              <w:rPr>
                <w:rStyle w:val="IndexLink"/>
                <w:rtl w:val="true"/>
              </w:rPr>
              <w:t>»</w:t>
              <w:tab/>
            </w:r>
            <w:r>
              <w:rPr>
                <w:rStyle w:val="IndexLink"/>
              </w:rPr>
              <w:t>123</w:t>
            </w:r>
          </w:hyperlink>
        </w:p>
        <w:p>
          <w:pPr>
            <w:pStyle w:val="Contents5"/>
            <w:tabs>
              <w:tab w:val="clear" w:pos="7892"/>
              <w:tab w:val="right" w:pos="9026" w:leader="dot"/>
            </w:tabs>
            <w:rPr/>
          </w:pPr>
          <w:hyperlink w:anchor="__RefHeading___Toc2472237_581953129">
            <w:r>
              <w:rPr>
                <w:webHidden/>
                <w:rStyle w:val="IndexLink"/>
                <w:rtl w:val="true"/>
              </w:rPr>
              <w:t>گفتار پنجم</w:t>
            </w:r>
            <w:r>
              <w:rPr>
                <w:rStyle w:val="IndexLink"/>
                <w:rtl w:val="true"/>
              </w:rPr>
              <w:t xml:space="preserve">: </w:t>
            </w:r>
            <w:r>
              <w:rPr>
                <w:rStyle w:val="IndexLink"/>
                <w:rtl w:val="true"/>
              </w:rPr>
              <w:t xml:space="preserve">قاعدۀ </w:t>
            </w:r>
            <w:r>
              <w:rPr>
                <w:rStyle w:val="IndexLink"/>
                <w:rtl w:val="true"/>
              </w:rPr>
              <w:t>«</w:t>
            </w:r>
            <w:r>
              <w:rPr>
                <w:rStyle w:val="IndexLink"/>
                <w:rtl w:val="true"/>
              </w:rPr>
              <w:t>اقرار العقلاء</w:t>
            </w:r>
            <w:r>
              <w:rPr>
                <w:rStyle w:val="IndexLink"/>
                <w:rtl w:val="true"/>
              </w:rPr>
              <w:t>»</w:t>
              <w:tab/>
            </w:r>
            <w:r>
              <w:rPr>
                <w:rStyle w:val="IndexLink"/>
              </w:rPr>
              <w:t>123</w:t>
            </w:r>
          </w:hyperlink>
        </w:p>
        <w:p>
          <w:pPr>
            <w:pStyle w:val="Contents6"/>
            <w:tabs>
              <w:tab w:val="clear" w:pos="7609"/>
              <w:tab w:val="right" w:pos="9026" w:leader="dot"/>
            </w:tabs>
            <w:rPr/>
          </w:pPr>
          <w:hyperlink w:anchor="__RefHeading___Toc2472239_581953129">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2472241_581953129">
            <w:r>
              <w:rPr>
                <w:webHidden/>
                <w:rStyle w:val="IndexLink"/>
                <w:rtl w:val="true"/>
              </w:rPr>
              <w:t xml:space="preserve">رابطۀ قاعدۀ </w:t>
            </w:r>
            <w:r>
              <w:rPr>
                <w:rStyle w:val="IndexLink"/>
                <w:rtl w:val="true"/>
              </w:rPr>
              <w:t>«</w:t>
            </w:r>
            <w:r>
              <w:rPr>
                <w:rStyle w:val="IndexLink"/>
                <w:rtl w:val="true"/>
              </w:rPr>
              <w:t>اقرار العقلاء</w:t>
            </w:r>
            <w:r>
              <w:rPr>
                <w:rStyle w:val="IndexLink"/>
                <w:rtl w:val="true"/>
              </w:rPr>
              <w:t xml:space="preserve">» </w:t>
            </w:r>
            <w:r>
              <w:rPr>
                <w:rStyle w:val="IndexLink"/>
                <w:rtl w:val="true"/>
              </w:rPr>
              <w:t xml:space="preserve">با قاعدۀ </w:t>
            </w:r>
            <w:r>
              <w:rPr>
                <w:rStyle w:val="IndexLink"/>
                <w:rtl w:val="true"/>
              </w:rPr>
              <w:t>«</w:t>
            </w:r>
            <w:r>
              <w:rPr>
                <w:rStyle w:val="IndexLink"/>
                <w:rtl w:val="true"/>
              </w:rPr>
              <w:t>من ملک</w:t>
            </w:r>
            <w:r>
              <w:rPr>
                <w:rStyle w:val="IndexLink"/>
                <w:rtl w:val="true"/>
              </w:rPr>
              <w:t>»</w:t>
              <w:tab/>
            </w:r>
            <w:r>
              <w:rPr>
                <w:rStyle w:val="IndexLink"/>
              </w:rPr>
              <w:t>124</w:t>
            </w:r>
          </w:hyperlink>
        </w:p>
        <w:p>
          <w:pPr>
            <w:pStyle w:val="Contents6"/>
            <w:tabs>
              <w:tab w:val="clear" w:pos="7609"/>
              <w:tab w:val="right" w:pos="9026" w:leader="dot"/>
            </w:tabs>
            <w:rPr/>
          </w:pPr>
          <w:hyperlink w:anchor="__RefHeading___Toc2472243_581953129">
            <w:r>
              <w:rPr>
                <w:webHidden/>
                <w:rStyle w:val="IndexLink"/>
                <w:rtl w:val="true"/>
              </w:rPr>
              <w:t>تبیین رابطۀ مزبور در کلام مرحوم آیة‌اللّه فاضل لنکرانی</w:t>
            </w:r>
            <w:r>
              <w:rPr>
                <w:rStyle w:val="IndexLink"/>
                <w:rtl w:val="true"/>
              </w:rPr>
              <w:tab/>
            </w:r>
            <w:r>
              <w:rPr>
                <w:rStyle w:val="IndexLink"/>
              </w:rPr>
              <w:t>127</w:t>
            </w:r>
          </w:hyperlink>
        </w:p>
        <w:p>
          <w:pPr>
            <w:pStyle w:val="Contents6"/>
            <w:tabs>
              <w:tab w:val="clear" w:pos="7609"/>
              <w:tab w:val="right" w:pos="9026" w:leader="dot"/>
            </w:tabs>
            <w:rPr/>
          </w:pPr>
          <w:hyperlink w:anchor="__RefHeading___Toc2472245_581953129">
            <w:r>
              <w:rPr>
                <w:webHidden/>
                <w:rStyle w:val="IndexLink"/>
                <w:rtl w:val="true"/>
              </w:rPr>
              <w:t xml:space="preserve">وجوه افتراق قاعدۀ </w:t>
            </w:r>
            <w:r>
              <w:rPr>
                <w:rStyle w:val="IndexLink"/>
                <w:rtl w:val="true"/>
              </w:rPr>
              <w:t>«</w:t>
            </w:r>
            <w:r>
              <w:rPr>
                <w:rStyle w:val="IndexLink"/>
                <w:rtl w:val="true"/>
              </w:rPr>
              <w:t>اقرار العقلاء</w:t>
            </w:r>
            <w:r>
              <w:rPr>
                <w:rStyle w:val="IndexLink"/>
                <w:rtl w:val="true"/>
              </w:rPr>
              <w:t xml:space="preserve">» </w:t>
            </w:r>
            <w:r>
              <w:rPr>
                <w:rStyle w:val="IndexLink"/>
                <w:rtl w:val="true"/>
              </w:rPr>
              <w:t xml:space="preserve">با قاعدۀ </w:t>
            </w:r>
            <w:r>
              <w:rPr>
                <w:rStyle w:val="IndexLink"/>
                <w:rtl w:val="true"/>
              </w:rPr>
              <w:t>«</w:t>
            </w:r>
            <w:r>
              <w:rPr>
                <w:rStyle w:val="IndexLink"/>
                <w:rtl w:val="true"/>
              </w:rPr>
              <w:t>من ملک</w:t>
            </w:r>
            <w:r>
              <w:rPr>
                <w:rStyle w:val="IndexLink"/>
                <w:rtl w:val="true"/>
              </w:rPr>
              <w:t>»</w:t>
              <w:tab/>
            </w:r>
            <w:r>
              <w:rPr>
                <w:rStyle w:val="IndexLink"/>
              </w:rPr>
              <w:t>129</w:t>
            </w:r>
          </w:hyperlink>
        </w:p>
        <w:p>
          <w:pPr>
            <w:pStyle w:val="Contents6"/>
            <w:tabs>
              <w:tab w:val="clear" w:pos="7609"/>
              <w:tab w:val="right" w:pos="9026" w:leader="dot"/>
            </w:tabs>
            <w:rPr/>
          </w:pPr>
          <w:hyperlink w:anchor="__RefHeading___Toc2472247_581953129">
            <w:r>
              <w:rPr>
                <w:webHidden/>
                <w:rStyle w:val="IndexLink"/>
                <w:rtl w:val="true"/>
              </w:rPr>
              <w:t>مناقشۀ محقق عراقی</w:t>
            </w:r>
            <w:r>
              <w:rPr>
                <w:rStyle w:val="IndexLink"/>
                <w:rtl w:val="true"/>
              </w:rPr>
              <w:tab/>
            </w:r>
            <w:r>
              <w:rPr>
                <w:rStyle w:val="IndexLink"/>
              </w:rPr>
              <w:t>131</w:t>
            </w:r>
          </w:hyperlink>
        </w:p>
        <w:p>
          <w:pPr>
            <w:pStyle w:val="Contents6"/>
            <w:tabs>
              <w:tab w:val="clear" w:pos="7609"/>
              <w:tab w:val="right" w:pos="9026" w:leader="dot"/>
            </w:tabs>
            <w:rPr/>
          </w:pPr>
          <w:hyperlink w:anchor="__RefHeading___Toc2472249_581953129">
            <w:r>
              <w:rPr>
                <w:webHidden/>
                <w:rStyle w:val="IndexLink"/>
                <w:rtl w:val="true"/>
              </w:rPr>
              <w:t>کلام محقّق بجنوردی</w:t>
            </w:r>
            <w:r>
              <w:rPr>
                <w:rStyle w:val="IndexLink"/>
                <w:rtl w:val="true"/>
              </w:rPr>
              <w:tab/>
            </w:r>
            <w:r>
              <w:rPr>
                <w:rStyle w:val="IndexLink"/>
              </w:rPr>
              <w:t>133</w:t>
            </w:r>
          </w:hyperlink>
        </w:p>
        <w:p>
          <w:pPr>
            <w:pStyle w:val="Contents6"/>
            <w:tabs>
              <w:tab w:val="clear" w:pos="7609"/>
              <w:tab w:val="right" w:pos="9026" w:leader="dot"/>
            </w:tabs>
            <w:rPr/>
          </w:pPr>
          <w:hyperlink w:anchor="__RefHeading___Toc2472251_581953129">
            <w:r>
              <w:rPr>
                <w:webHidden/>
                <w:rStyle w:val="IndexLink"/>
                <w:rtl w:val="true"/>
              </w:rPr>
              <w:t>بررسی کلام محقّق بجنوردی</w:t>
            </w:r>
            <w:r>
              <w:rPr>
                <w:rStyle w:val="IndexLink"/>
                <w:rtl w:val="true"/>
              </w:rPr>
              <w:tab/>
            </w:r>
            <w:r>
              <w:rPr>
                <w:rStyle w:val="IndexLink"/>
              </w:rPr>
              <w:t>135</w:t>
            </w:r>
          </w:hyperlink>
        </w:p>
        <w:p>
          <w:pPr>
            <w:pStyle w:val="Contents5"/>
            <w:tabs>
              <w:tab w:val="clear" w:pos="7892"/>
              <w:tab w:val="right" w:pos="9026" w:leader="dot"/>
            </w:tabs>
            <w:rPr/>
          </w:pPr>
          <w:hyperlink w:anchor="__RefHeading___Toc2472253_581953129">
            <w:r>
              <w:rPr>
                <w:webHidden/>
                <w:rStyle w:val="IndexLink"/>
                <w:rtl w:val="true"/>
              </w:rPr>
              <w:t>گفتار ششم</w:t>
            </w:r>
            <w:r>
              <w:rPr>
                <w:rStyle w:val="IndexLink"/>
                <w:rtl w:val="true"/>
              </w:rPr>
              <w:t xml:space="preserve">: </w:t>
            </w:r>
            <w:r>
              <w:rPr>
                <w:rStyle w:val="IndexLink"/>
                <w:rtl w:val="true"/>
              </w:rPr>
              <w:t>قاعدۀ فخریه</w:t>
            </w:r>
            <w:r>
              <w:rPr>
                <w:rStyle w:val="IndexLink"/>
                <w:rtl w:val="true"/>
              </w:rPr>
              <w:tab/>
            </w:r>
            <w:r>
              <w:rPr>
                <w:rStyle w:val="IndexLink"/>
              </w:rPr>
              <w:t>137</w:t>
            </w:r>
          </w:hyperlink>
        </w:p>
        <w:p>
          <w:pPr>
            <w:pStyle w:val="Contents6"/>
            <w:tabs>
              <w:tab w:val="clear" w:pos="7609"/>
              <w:tab w:val="right" w:pos="9026" w:leader="dot"/>
            </w:tabs>
            <w:rPr/>
          </w:pPr>
          <w:hyperlink w:anchor="__RefHeading___Toc2472255_581953129">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2472257_581953129">
            <w:r>
              <w:rPr>
                <w:webHidden/>
                <w:rStyle w:val="IndexLink"/>
                <w:rtl w:val="true"/>
              </w:rPr>
              <w:t xml:space="preserve">رابطۀ قاعدۀ فخریه با قاعدۀ </w:t>
            </w:r>
            <w:r>
              <w:rPr>
                <w:rStyle w:val="IndexLink"/>
                <w:rtl w:val="true"/>
              </w:rPr>
              <w:t>«</w:t>
            </w:r>
            <w:r>
              <w:rPr>
                <w:rStyle w:val="IndexLink"/>
                <w:rtl w:val="true"/>
              </w:rPr>
              <w:t>من ملک</w:t>
            </w:r>
            <w:r>
              <w:rPr>
                <w:rStyle w:val="IndexLink"/>
                <w:rtl w:val="true"/>
              </w:rPr>
              <w:t>»</w:t>
              <w:tab/>
            </w:r>
            <w:r>
              <w:rPr>
                <w:rStyle w:val="IndexLink"/>
              </w:rPr>
              <w:t>138</w:t>
            </w:r>
          </w:hyperlink>
        </w:p>
        <w:p>
          <w:pPr>
            <w:pStyle w:val="Contents6"/>
            <w:tabs>
              <w:tab w:val="clear" w:pos="7609"/>
              <w:tab w:val="right" w:pos="9026" w:leader="dot"/>
            </w:tabs>
            <w:rPr/>
          </w:pPr>
          <w:hyperlink w:anchor="__RefHeading___Toc2472259_581953129">
            <w:r>
              <w:rPr>
                <w:webHidden/>
                <w:rStyle w:val="IndexLink"/>
                <w:rtl w:val="true"/>
              </w:rPr>
              <w:t xml:space="preserve">نسبت قاعدۀ فخریه با قاعدۀ </w:t>
            </w:r>
            <w:r>
              <w:rPr>
                <w:rStyle w:val="IndexLink"/>
                <w:rtl w:val="true"/>
              </w:rPr>
              <w:t>«</w:t>
            </w:r>
            <w:r>
              <w:rPr>
                <w:rStyle w:val="IndexLink"/>
                <w:rtl w:val="true"/>
              </w:rPr>
              <w:t>من ملک</w:t>
            </w:r>
            <w:r>
              <w:rPr>
                <w:rStyle w:val="IndexLink"/>
                <w:rtl w:val="true"/>
              </w:rPr>
              <w:t xml:space="preserve">» </w:t>
            </w:r>
            <w:r>
              <w:rPr>
                <w:rStyle w:val="IndexLink"/>
                <w:rtl w:val="true"/>
              </w:rPr>
              <w:t>در کلام شیخ انصاری</w:t>
            </w:r>
            <w:r>
              <w:rPr>
                <w:rStyle w:val="IndexLink"/>
                <w:rtl w:val="true"/>
              </w:rPr>
              <w:tab/>
            </w:r>
            <w:r>
              <w:rPr>
                <w:rStyle w:val="IndexLink"/>
              </w:rPr>
              <w:t>139</w:t>
            </w:r>
          </w:hyperlink>
        </w:p>
        <w:p>
          <w:pPr>
            <w:pStyle w:val="Contents6"/>
            <w:tabs>
              <w:tab w:val="clear" w:pos="7609"/>
              <w:tab w:val="right" w:pos="9026" w:leader="dot"/>
            </w:tabs>
            <w:rPr/>
          </w:pPr>
          <w:hyperlink w:anchor="__RefHeading___Toc2472261_581953129">
            <w:r>
              <w:rPr>
                <w:webHidden/>
                <w:rStyle w:val="IndexLink"/>
                <w:rtl w:val="true"/>
              </w:rPr>
              <w:t>مادۀ اجتماع سه قاعده</w:t>
            </w:r>
            <w:r>
              <w:rPr>
                <w:rStyle w:val="IndexLink"/>
                <w:rtl w:val="true"/>
              </w:rPr>
              <w:tab/>
            </w:r>
            <w:r>
              <w:rPr>
                <w:rStyle w:val="IndexLink"/>
              </w:rPr>
              <w:t>141</w:t>
            </w:r>
          </w:hyperlink>
        </w:p>
        <w:p>
          <w:pPr>
            <w:pStyle w:val="Contents6"/>
            <w:tabs>
              <w:tab w:val="clear" w:pos="7609"/>
              <w:tab w:val="right" w:pos="9026" w:leader="dot"/>
            </w:tabs>
            <w:rPr/>
          </w:pPr>
          <w:hyperlink w:anchor="__RefHeading___Toc2472263_581953129">
            <w:r>
              <w:rPr>
                <w:webHidden/>
                <w:rStyle w:val="IndexLink"/>
                <w:rtl w:val="true"/>
              </w:rPr>
              <w:t>مادۀ افتراق قاعدۀ إئتمان از قاعدۀ فخریه</w:t>
            </w:r>
            <w:r>
              <w:rPr>
                <w:rStyle w:val="IndexLink"/>
                <w:rtl w:val="true"/>
              </w:rPr>
              <w:tab/>
            </w:r>
            <w:r>
              <w:rPr>
                <w:rStyle w:val="IndexLink"/>
              </w:rPr>
              <w:t>141</w:t>
            </w:r>
          </w:hyperlink>
        </w:p>
        <w:p>
          <w:pPr>
            <w:pStyle w:val="Contents6"/>
            <w:tabs>
              <w:tab w:val="clear" w:pos="7609"/>
              <w:tab w:val="right" w:pos="9026" w:leader="dot"/>
            </w:tabs>
            <w:rPr/>
          </w:pPr>
          <w:hyperlink w:anchor="__RefHeading___Toc2472265_581953129">
            <w:r>
              <w:rPr>
                <w:webHidden/>
                <w:rStyle w:val="IndexLink"/>
                <w:rtl w:val="true"/>
              </w:rPr>
              <w:t xml:space="preserve">مادۀ افتراق قاعدۀ </w:t>
            </w:r>
            <w:r>
              <w:rPr>
                <w:rStyle w:val="IndexLink"/>
                <w:rtl w:val="true"/>
              </w:rPr>
              <w:t>«</w:t>
            </w:r>
            <w:r>
              <w:rPr>
                <w:rStyle w:val="IndexLink"/>
                <w:rtl w:val="true"/>
              </w:rPr>
              <w:t>من ملک</w:t>
            </w:r>
            <w:r>
              <w:rPr>
                <w:rStyle w:val="IndexLink"/>
                <w:rtl w:val="true"/>
              </w:rPr>
              <w:t xml:space="preserve">» </w:t>
            </w:r>
            <w:r>
              <w:rPr>
                <w:rStyle w:val="IndexLink"/>
                <w:rtl w:val="true"/>
              </w:rPr>
              <w:t>از قاعدۀ فخریه</w:t>
            </w:r>
            <w:r>
              <w:rPr>
                <w:rStyle w:val="IndexLink"/>
                <w:rtl w:val="true"/>
              </w:rPr>
              <w:tab/>
            </w:r>
            <w:r>
              <w:rPr>
                <w:rStyle w:val="IndexLink"/>
              </w:rPr>
              <w:t>142</w:t>
            </w:r>
          </w:hyperlink>
        </w:p>
        <w:p>
          <w:pPr>
            <w:pStyle w:val="Contents6"/>
            <w:tabs>
              <w:tab w:val="clear" w:pos="7609"/>
              <w:tab w:val="right" w:pos="9026" w:leader="dot"/>
            </w:tabs>
            <w:rPr/>
          </w:pPr>
          <w:hyperlink w:anchor="__RefHeading___Toc2472267_581953129">
            <w:r>
              <w:rPr>
                <w:webHidden/>
                <w:rStyle w:val="IndexLink"/>
                <w:rtl w:val="true"/>
              </w:rPr>
              <w:t>مادۀ افتراق قاعدۀ فخریه از دو قاعده</w:t>
            </w:r>
            <w:r>
              <w:rPr>
                <w:rStyle w:val="IndexLink"/>
                <w:rtl w:val="true"/>
              </w:rPr>
              <w:tab/>
            </w:r>
            <w:r>
              <w:rPr>
                <w:rStyle w:val="IndexLink"/>
              </w:rPr>
              <w:t>143</w:t>
            </w:r>
          </w:hyperlink>
        </w:p>
        <w:p>
          <w:pPr>
            <w:pStyle w:val="Contents6"/>
            <w:tabs>
              <w:tab w:val="clear" w:pos="7609"/>
              <w:tab w:val="right" w:pos="9026" w:leader="dot"/>
            </w:tabs>
            <w:rPr/>
          </w:pPr>
          <w:hyperlink w:anchor="__RefHeading___Toc2472269_581953129">
            <w:r>
              <w:rPr>
                <w:webHidden/>
                <w:rStyle w:val="IndexLink"/>
                <w:rtl w:val="true"/>
              </w:rPr>
              <w:t xml:space="preserve">نسبت قاعدۀ فخریه با قاعدۀ </w:t>
            </w:r>
            <w:r>
              <w:rPr>
                <w:rStyle w:val="IndexLink"/>
                <w:rtl w:val="true"/>
              </w:rPr>
              <w:t>«</w:t>
            </w:r>
            <w:r>
              <w:rPr>
                <w:rStyle w:val="IndexLink"/>
                <w:rtl w:val="true"/>
              </w:rPr>
              <w:t>من ملک</w:t>
            </w:r>
            <w:r>
              <w:rPr>
                <w:rStyle w:val="IndexLink"/>
                <w:rtl w:val="true"/>
              </w:rPr>
              <w:t xml:space="preserve">» </w:t>
            </w:r>
            <w:r>
              <w:rPr>
                <w:rStyle w:val="IndexLink"/>
                <w:rtl w:val="true"/>
              </w:rPr>
              <w:t>در کلام امام خمینی</w:t>
            </w:r>
            <w:r>
              <w:rPr>
                <w:rStyle w:val="IndexLink"/>
                <w:rtl w:val="true"/>
              </w:rPr>
              <w:tab/>
            </w:r>
            <w:r>
              <w:rPr>
                <w:rStyle w:val="IndexLink"/>
              </w:rPr>
              <w:t>144</w:t>
            </w:r>
          </w:hyperlink>
        </w:p>
        <w:p>
          <w:pPr>
            <w:pStyle w:val="Contents6"/>
            <w:tabs>
              <w:tab w:val="clear" w:pos="7609"/>
              <w:tab w:val="right" w:pos="9026" w:leader="dot"/>
            </w:tabs>
            <w:rPr/>
          </w:pPr>
          <w:hyperlink w:anchor="__RefHeading___Toc2472271_581953129">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2472273_581953129">
            <w:r>
              <w:rPr>
                <w:webHidden/>
                <w:rStyle w:val="IndexLink"/>
                <w:rtl w:val="true"/>
              </w:rPr>
              <w:t>اشکال امام خمینی بر احتمال اول</w:t>
            </w:r>
            <w:r>
              <w:rPr>
                <w:rStyle w:val="IndexLink"/>
                <w:rtl w:val="true"/>
              </w:rPr>
              <w:tab/>
            </w:r>
            <w:r>
              <w:rPr>
                <w:rStyle w:val="IndexLink"/>
              </w:rPr>
              <w:t>144</w:t>
            </w:r>
          </w:hyperlink>
        </w:p>
        <w:p>
          <w:pPr>
            <w:pStyle w:val="Contents6"/>
            <w:tabs>
              <w:tab w:val="clear" w:pos="7609"/>
              <w:tab w:val="right" w:pos="9026" w:leader="dot"/>
            </w:tabs>
            <w:rPr/>
          </w:pPr>
          <w:hyperlink w:anchor="__RefHeading___Toc2472275_581953129">
            <w:r>
              <w:rPr>
                <w:webHidden/>
                <w:rStyle w:val="IndexLink"/>
                <w:rtl w:val="true"/>
              </w:rPr>
              <w:t>اشکال امام خمینی بر احتمال دوم</w:t>
            </w:r>
            <w:r>
              <w:rPr>
                <w:rStyle w:val="IndexLink"/>
                <w:rtl w:val="true"/>
              </w:rPr>
              <w:tab/>
            </w:r>
            <w:r>
              <w:rPr>
                <w:rStyle w:val="IndexLink"/>
              </w:rPr>
              <w:t>147</w:t>
            </w:r>
          </w:hyperlink>
        </w:p>
        <w:p>
          <w:pPr>
            <w:pStyle w:val="Contents6"/>
            <w:tabs>
              <w:tab w:val="clear" w:pos="7609"/>
              <w:tab w:val="right" w:pos="9026" w:leader="dot"/>
            </w:tabs>
            <w:rPr/>
          </w:pPr>
          <w:hyperlink w:anchor="__RefHeading___Toc2472277_581953129">
            <w:r>
              <w:rPr>
                <w:webHidden/>
                <w:rStyle w:val="IndexLink"/>
                <w:rtl w:val="true"/>
              </w:rPr>
              <w:t>مناقشه حضرت استاد بر امام خمینی</w:t>
            </w:r>
            <w:r>
              <w:rPr>
                <w:rStyle w:val="IndexLink"/>
                <w:rtl w:val="true"/>
              </w:rPr>
              <w:tab/>
            </w:r>
            <w:r>
              <w:rPr>
                <w:rStyle w:val="IndexLink"/>
              </w:rPr>
              <w:t>148</w:t>
            </w:r>
          </w:hyperlink>
        </w:p>
        <w:p>
          <w:pPr>
            <w:pStyle w:val="Contents6"/>
            <w:tabs>
              <w:tab w:val="clear" w:pos="7609"/>
              <w:tab w:val="right" w:pos="9026" w:leader="dot"/>
            </w:tabs>
            <w:rPr/>
          </w:pPr>
          <w:hyperlink w:anchor="__RefHeading___Toc2472279_581953129">
            <w:r>
              <w:rPr>
                <w:webHidden/>
                <w:rStyle w:val="IndexLink"/>
                <w:rtl w:val="true"/>
              </w:rPr>
              <w:t>نظر حضرت استاد پیرامون نسبت دو قاعده</w:t>
            </w:r>
            <w:r>
              <w:rPr>
                <w:rStyle w:val="IndexLink"/>
                <w:rtl w:val="true"/>
              </w:rPr>
              <w:tab/>
            </w:r>
            <w:r>
              <w:rPr>
                <w:rStyle w:val="IndexLink"/>
              </w:rPr>
              <w:t>149</w:t>
            </w:r>
          </w:hyperlink>
        </w:p>
        <w:p>
          <w:pPr>
            <w:pStyle w:val="Contents2"/>
            <w:tabs>
              <w:tab w:val="clear" w:pos="8743"/>
              <w:tab w:val="right" w:pos="9026" w:leader="dot"/>
            </w:tabs>
            <w:rPr/>
          </w:pPr>
          <w:hyperlink w:anchor="__RefHeading___Toc2472281_581953129">
            <w:r>
              <w:rPr>
                <w:webHidden/>
                <w:rStyle w:val="IndexLink"/>
                <w:rtl w:val="true"/>
              </w:rPr>
              <w:t>مبحث دوم</w:t>
            </w:r>
            <w:r>
              <w:rPr>
                <w:rStyle w:val="IndexLink"/>
                <w:rtl w:val="true"/>
              </w:rPr>
              <w:t xml:space="preserve">: </w:t>
            </w:r>
            <w:r>
              <w:rPr>
                <w:rStyle w:val="IndexLink"/>
                <w:rtl w:val="true"/>
              </w:rPr>
              <w:t xml:space="preserve">تبیین مفردات و حدود قاعدۀ </w:t>
            </w:r>
            <w:r>
              <w:rPr>
                <w:rStyle w:val="IndexLink"/>
                <w:rtl w:val="true"/>
              </w:rPr>
              <w:t>«</w:t>
            </w:r>
            <w:r>
              <w:rPr>
                <w:rStyle w:val="IndexLink"/>
                <w:rtl w:val="true"/>
              </w:rPr>
              <w:t>من ملک</w:t>
            </w:r>
            <w:r>
              <w:rPr>
                <w:rStyle w:val="IndexLink"/>
                <w:rtl w:val="true"/>
              </w:rPr>
              <w:t>»</w:t>
              <w:tab/>
            </w:r>
            <w:r>
              <w:rPr>
                <w:rStyle w:val="IndexLink"/>
              </w:rPr>
              <w:t>152</w:t>
            </w:r>
          </w:hyperlink>
        </w:p>
        <w:p>
          <w:pPr>
            <w:pStyle w:val="Contents3"/>
            <w:tabs>
              <w:tab w:val="clear" w:pos="8459"/>
              <w:tab w:val="right" w:pos="9026" w:leader="dot"/>
            </w:tabs>
            <w:rPr/>
          </w:pPr>
          <w:hyperlink w:anchor="__RefHeading___Toc2472283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472285_581953129">
            <w:r>
              <w:rPr>
                <w:webHidden/>
                <w:rStyle w:val="IndexLink"/>
                <w:rtl w:val="true"/>
              </w:rPr>
              <w:t>فصل اول</w:t>
            </w:r>
            <w:r>
              <w:rPr>
                <w:rStyle w:val="IndexLink"/>
                <w:rtl w:val="true"/>
              </w:rPr>
              <w:t xml:space="preserve">: </w:t>
            </w:r>
            <w:r>
              <w:rPr>
                <w:rStyle w:val="IndexLink"/>
                <w:rtl w:val="true"/>
              </w:rPr>
              <w:t xml:space="preserve">تبیین مفردات و حدود قاعدۀ </w:t>
            </w:r>
            <w:r>
              <w:rPr>
                <w:rStyle w:val="IndexLink"/>
                <w:rtl w:val="true"/>
              </w:rPr>
              <w:t>«</w:t>
            </w:r>
            <w:r>
              <w:rPr>
                <w:rStyle w:val="IndexLink"/>
                <w:rtl w:val="true"/>
              </w:rPr>
              <w:t>من ملک</w:t>
            </w:r>
            <w:r>
              <w:rPr>
                <w:rStyle w:val="IndexLink"/>
                <w:rtl w:val="true"/>
              </w:rPr>
              <w:t>»</w:t>
              <w:tab/>
            </w:r>
            <w:r>
              <w:rPr>
                <w:rStyle w:val="IndexLink"/>
              </w:rPr>
              <w:t>153</w:t>
            </w:r>
          </w:hyperlink>
        </w:p>
        <w:p>
          <w:pPr>
            <w:pStyle w:val="Contents3"/>
            <w:tabs>
              <w:tab w:val="clear" w:pos="8459"/>
              <w:tab w:val="right" w:pos="9026" w:leader="dot"/>
            </w:tabs>
            <w:rPr/>
          </w:pPr>
          <w:hyperlink w:anchor="__RefHeading___Toc2472287_581953129">
            <w:r>
              <w:rPr>
                <w:webHidden/>
                <w:rStyle w:val="IndexLink"/>
                <w:rtl w:val="true"/>
              </w:rPr>
              <w:t>فصل دوم</w:t>
            </w:r>
            <w:r>
              <w:rPr>
                <w:rStyle w:val="IndexLink"/>
                <w:rtl w:val="true"/>
              </w:rPr>
              <w:t xml:space="preserve">: </w:t>
            </w:r>
            <w:r>
              <w:rPr>
                <w:rStyle w:val="IndexLink"/>
                <w:rtl w:val="true"/>
              </w:rPr>
              <w:t xml:space="preserve">بررسی مفردات قاعدۀ </w:t>
            </w:r>
            <w:r>
              <w:rPr>
                <w:rStyle w:val="IndexLink"/>
                <w:rtl w:val="true"/>
              </w:rPr>
              <w:t>«</w:t>
            </w:r>
            <w:r>
              <w:rPr>
                <w:rStyle w:val="IndexLink"/>
                <w:rtl w:val="true"/>
              </w:rPr>
              <w:t>من ملک</w:t>
            </w:r>
            <w:r>
              <w:rPr>
                <w:rStyle w:val="IndexLink"/>
                <w:rtl w:val="true"/>
              </w:rPr>
              <w:t>»</w:t>
              <w:tab/>
            </w:r>
            <w:r>
              <w:rPr>
                <w:rStyle w:val="IndexLink"/>
              </w:rPr>
              <w:t>154</w:t>
            </w:r>
          </w:hyperlink>
        </w:p>
        <w:p>
          <w:pPr>
            <w:pStyle w:val="Contents4"/>
            <w:tabs>
              <w:tab w:val="clear" w:pos="8176"/>
              <w:tab w:val="right" w:pos="9026" w:leader="dot"/>
            </w:tabs>
            <w:rPr/>
          </w:pPr>
          <w:hyperlink w:anchor="__RefHeading___Toc2472289_58195312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472291_581953129">
            <w:r>
              <w:rPr>
                <w:webHidden/>
                <w:rStyle w:val="IndexLink"/>
                <w:rtl w:val="true"/>
              </w:rPr>
              <w:t>الف</w:t>
            </w:r>
            <w:r>
              <w:rPr>
                <w:rStyle w:val="IndexLink"/>
                <w:rtl w:val="true"/>
              </w:rPr>
              <w:t xml:space="preserve">) </w:t>
            </w:r>
            <w:r>
              <w:rPr>
                <w:rStyle w:val="IndexLink"/>
                <w:rtl w:val="true"/>
              </w:rPr>
              <w:t>کلام شیخ انصاری در مفردات قاعده</w:t>
            </w:r>
            <w:r>
              <w:rPr>
                <w:rStyle w:val="IndexLink"/>
                <w:rtl w:val="true"/>
              </w:rPr>
              <w:tab/>
            </w:r>
            <w:r>
              <w:rPr>
                <w:rStyle w:val="IndexLink"/>
              </w:rPr>
              <w:t>154</w:t>
            </w:r>
          </w:hyperlink>
        </w:p>
        <w:p>
          <w:pPr>
            <w:pStyle w:val="Contents4"/>
            <w:tabs>
              <w:tab w:val="clear" w:pos="8176"/>
              <w:tab w:val="right" w:pos="9026" w:leader="dot"/>
            </w:tabs>
            <w:rPr/>
          </w:pPr>
          <w:hyperlink w:anchor="__RefHeading___Toc2472293_581953129">
            <w:r>
              <w:rPr>
                <w:webHidden/>
                <w:rStyle w:val="IndexLink"/>
                <w:rtl w:val="true"/>
              </w:rPr>
              <w:t>ب</w:t>
            </w:r>
            <w:r>
              <w:rPr>
                <w:rStyle w:val="IndexLink"/>
                <w:rtl w:val="true"/>
              </w:rPr>
              <w:t xml:space="preserve">) </w:t>
            </w:r>
            <w:r>
              <w:rPr>
                <w:rStyle w:val="IndexLink"/>
                <w:rtl w:val="true"/>
              </w:rPr>
              <w:t>کلام امام خمینی در مفردات قاعده</w:t>
            </w:r>
            <w:r>
              <w:rPr>
                <w:rStyle w:val="IndexLink"/>
                <w:rtl w:val="true"/>
              </w:rPr>
              <w:tab/>
            </w:r>
            <w:r>
              <w:rPr>
                <w:rStyle w:val="IndexLink"/>
              </w:rPr>
              <w:t>158</w:t>
            </w:r>
          </w:hyperlink>
        </w:p>
        <w:p>
          <w:pPr>
            <w:pStyle w:val="Contents5"/>
            <w:tabs>
              <w:tab w:val="clear" w:pos="7892"/>
              <w:tab w:val="right" w:pos="9026" w:leader="dot"/>
            </w:tabs>
            <w:rPr/>
          </w:pPr>
          <w:hyperlink w:anchor="__RefHeading___Toc2472295_581953129">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472297_581953129">
            <w:r>
              <w:rPr>
                <w:webHidden/>
                <w:rStyle w:val="IndexLink"/>
                <w:rtl w:val="true"/>
              </w:rPr>
              <w:t>نقد مرحوم آیة‌اللّه فاضل لنکرانی بر کلام امام خمینی</w:t>
            </w:r>
            <w:r>
              <w:rPr>
                <w:rStyle w:val="IndexLink"/>
                <w:rtl w:val="true"/>
              </w:rPr>
              <w:tab/>
            </w:r>
            <w:r>
              <w:rPr>
                <w:rStyle w:val="IndexLink"/>
              </w:rPr>
              <w:t>162</w:t>
            </w:r>
          </w:hyperlink>
        </w:p>
        <w:p>
          <w:pPr>
            <w:pStyle w:val="Contents5"/>
            <w:tabs>
              <w:tab w:val="clear" w:pos="7892"/>
              <w:tab w:val="right" w:pos="9026" w:leader="dot"/>
            </w:tabs>
            <w:rPr/>
          </w:pPr>
          <w:hyperlink w:anchor="__RefHeading___Toc2472299_581953129">
            <w:r>
              <w:rPr>
                <w:webHidden/>
                <w:rStyle w:val="IndexLink"/>
                <w:rtl w:val="true"/>
              </w:rPr>
              <w:t>ایراد حضرت استاد بر کلام مرحوم آیة‌اللّه فاضل لنکرانی</w:t>
            </w:r>
            <w:r>
              <w:rPr>
                <w:rStyle w:val="IndexLink"/>
                <w:rtl w:val="true"/>
              </w:rPr>
              <w:tab/>
            </w:r>
            <w:r>
              <w:rPr>
                <w:rStyle w:val="IndexLink"/>
              </w:rPr>
              <w:t>163</w:t>
            </w:r>
          </w:hyperlink>
        </w:p>
        <w:p>
          <w:pPr>
            <w:pStyle w:val="Contents5"/>
            <w:tabs>
              <w:tab w:val="clear" w:pos="7892"/>
              <w:tab w:val="right" w:pos="9026" w:leader="dot"/>
            </w:tabs>
            <w:rPr/>
          </w:pPr>
          <w:hyperlink w:anchor="__RefHeading___Toc2472301_581953129">
            <w:r>
              <w:rPr>
                <w:webHidden/>
                <w:rStyle w:val="IndexLink"/>
                <w:rtl w:val="true"/>
              </w:rPr>
              <w:t xml:space="preserve">کلام مرحوم آیة‌اللّه فاضل لنکرانی در معنای </w:t>
            </w:r>
            <w:r>
              <w:rPr>
                <w:rStyle w:val="IndexLink"/>
                <w:rtl w:val="true"/>
              </w:rPr>
              <w:t>«</w:t>
            </w:r>
            <w:r>
              <w:rPr>
                <w:rStyle w:val="IndexLink"/>
                <w:rtl w:val="true"/>
              </w:rPr>
              <w:t>شیء</w:t>
            </w:r>
            <w:r>
              <w:rPr>
                <w:rStyle w:val="IndexLink"/>
                <w:rtl w:val="true"/>
              </w:rPr>
              <w:t>»</w:t>
              <w:tab/>
            </w:r>
            <w:r>
              <w:rPr>
                <w:rStyle w:val="IndexLink"/>
              </w:rPr>
              <w:t>163</w:t>
            </w:r>
          </w:hyperlink>
        </w:p>
        <w:p>
          <w:pPr>
            <w:pStyle w:val="Contents5"/>
            <w:tabs>
              <w:tab w:val="clear" w:pos="7892"/>
              <w:tab w:val="right" w:pos="9026" w:leader="dot"/>
            </w:tabs>
            <w:rPr/>
          </w:pPr>
          <w:hyperlink w:anchor="__RefHeading___Toc2472303_581953129">
            <w:r>
              <w:rPr>
                <w:webHidden/>
                <w:rStyle w:val="IndexLink"/>
                <w:rtl w:val="true"/>
              </w:rPr>
              <w:t>ایراد حضرت استاد بر کلام مرحوم آیة‌اللّه فاضل لنکرانی</w:t>
            </w:r>
            <w:r>
              <w:rPr>
                <w:rStyle w:val="IndexLink"/>
                <w:rtl w:val="true"/>
              </w:rPr>
              <w:tab/>
            </w:r>
            <w:r>
              <w:rPr>
                <w:rStyle w:val="IndexLink"/>
              </w:rPr>
              <w:t>164</w:t>
            </w:r>
          </w:hyperlink>
        </w:p>
        <w:p>
          <w:pPr>
            <w:pStyle w:val="Contents4"/>
            <w:tabs>
              <w:tab w:val="clear" w:pos="8176"/>
              <w:tab w:val="right" w:pos="9026" w:leader="dot"/>
            </w:tabs>
            <w:rPr/>
          </w:pPr>
          <w:hyperlink w:anchor="__RefHeading___Toc2472305_581953129">
            <w:r>
              <w:rPr>
                <w:webHidden/>
                <w:rStyle w:val="IndexLink"/>
                <w:rtl w:val="true"/>
              </w:rPr>
              <w:t>پ</w:t>
            </w:r>
            <w:r>
              <w:rPr>
                <w:rStyle w:val="IndexLink"/>
                <w:rtl w:val="true"/>
              </w:rPr>
              <w:t xml:space="preserve">) </w:t>
            </w:r>
            <w:r>
              <w:rPr>
                <w:rStyle w:val="IndexLink"/>
                <w:rtl w:val="true"/>
              </w:rPr>
              <w:t>نظر حضرت استاد</w:t>
            </w:r>
            <w:r>
              <w:rPr>
                <w:rStyle w:val="IndexLink"/>
                <w:rtl w:val="true"/>
              </w:rPr>
              <w:tab/>
            </w:r>
            <w:r>
              <w:rPr>
                <w:rStyle w:val="IndexLink"/>
              </w:rPr>
              <w:t>165</w:t>
            </w:r>
          </w:hyperlink>
        </w:p>
        <w:p>
          <w:pPr>
            <w:pStyle w:val="Contents3"/>
            <w:tabs>
              <w:tab w:val="clear" w:pos="8459"/>
              <w:tab w:val="right" w:pos="9026" w:leader="dot"/>
            </w:tabs>
            <w:rPr/>
          </w:pPr>
          <w:hyperlink w:anchor="__RefHeading___Toc2472307_581953129">
            <w:r>
              <w:rPr>
                <w:webHidden/>
                <w:rStyle w:val="IndexLink"/>
                <w:rtl w:val="true"/>
              </w:rPr>
              <w:t>فصل سوم</w:t>
            </w:r>
            <w:r>
              <w:rPr>
                <w:rStyle w:val="IndexLink"/>
                <w:rtl w:val="true"/>
              </w:rPr>
              <w:t xml:space="preserve">: </w:t>
            </w:r>
            <w:r>
              <w:rPr>
                <w:rStyle w:val="IndexLink"/>
                <w:rtl w:val="true"/>
              </w:rPr>
              <w:t xml:space="preserve">شرایط اجرای قاعدۀ </w:t>
            </w:r>
            <w:r>
              <w:rPr>
                <w:rStyle w:val="IndexLink"/>
                <w:rtl w:val="true"/>
              </w:rPr>
              <w:t>«</w:t>
            </w:r>
            <w:r>
              <w:rPr>
                <w:rStyle w:val="IndexLink"/>
                <w:rtl w:val="true"/>
              </w:rPr>
              <w:t>من ملک</w:t>
            </w:r>
            <w:r>
              <w:rPr>
                <w:rStyle w:val="IndexLink"/>
                <w:rtl w:val="true"/>
              </w:rPr>
              <w:t>»</w:t>
              <w:tab/>
            </w:r>
            <w:r>
              <w:rPr>
                <w:rStyle w:val="IndexLink"/>
              </w:rPr>
              <w:t>166</w:t>
            </w:r>
          </w:hyperlink>
        </w:p>
        <w:p>
          <w:pPr>
            <w:pStyle w:val="Contents4"/>
            <w:tabs>
              <w:tab w:val="clear" w:pos="8176"/>
              <w:tab w:val="right" w:pos="9026" w:leader="dot"/>
            </w:tabs>
            <w:rPr/>
          </w:pPr>
          <w:hyperlink w:anchor="__RefHeading___Toc2472309_58195312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472311_581953129">
            <w:r>
              <w:rPr>
                <w:webHidden/>
                <w:rStyle w:val="IndexLink"/>
                <w:rtl w:val="true"/>
              </w:rPr>
              <w:t>الف</w:t>
            </w:r>
            <w:r>
              <w:rPr>
                <w:rStyle w:val="IndexLink"/>
                <w:rtl w:val="true"/>
              </w:rPr>
              <w:t xml:space="preserve">- </w:t>
            </w:r>
            <w:r>
              <w:rPr>
                <w:rStyle w:val="IndexLink"/>
                <w:rtl w:val="true"/>
              </w:rPr>
              <w:t xml:space="preserve">فعلیت </w:t>
            </w:r>
            <w:r>
              <w:rPr>
                <w:rStyle w:val="IndexLink"/>
                <w:rtl w:val="true"/>
              </w:rPr>
              <w:t>(</w:t>
            </w:r>
            <w:r>
              <w:rPr>
                <w:rStyle w:val="IndexLink"/>
                <w:rtl w:val="true"/>
              </w:rPr>
              <w:t>در مقابل شأنیت</w:t>
            </w:r>
            <w:r>
              <w:rPr>
                <w:rStyle w:val="IndexLink"/>
                <w:rtl w:val="true"/>
              </w:rPr>
              <w:t xml:space="preserve">) </w:t>
            </w:r>
            <w:r>
              <w:rPr>
                <w:rStyle w:val="IndexLink"/>
                <w:rtl w:val="true"/>
              </w:rPr>
              <w:t>سلطنت بر موضوع اقرار</w:t>
            </w:r>
            <w:r>
              <w:rPr>
                <w:rStyle w:val="IndexLink"/>
                <w:rtl w:val="true"/>
              </w:rPr>
              <w:tab/>
            </w:r>
            <w:r>
              <w:rPr>
                <w:rStyle w:val="IndexLink"/>
              </w:rPr>
              <w:t>167</w:t>
            </w:r>
          </w:hyperlink>
        </w:p>
        <w:p>
          <w:pPr>
            <w:pStyle w:val="Contents4"/>
            <w:tabs>
              <w:tab w:val="clear" w:pos="8176"/>
              <w:tab w:val="right" w:pos="9026" w:leader="dot"/>
            </w:tabs>
            <w:rPr/>
          </w:pPr>
          <w:hyperlink w:anchor="__RefHeading___Toc2472313_581953129">
            <w:r>
              <w:rPr>
                <w:webHidden/>
                <w:rStyle w:val="IndexLink"/>
                <w:rtl w:val="true"/>
              </w:rPr>
              <w:t>ب</w:t>
            </w:r>
            <w:r>
              <w:rPr>
                <w:rStyle w:val="IndexLink"/>
                <w:rtl w:val="true"/>
              </w:rPr>
              <w:t xml:space="preserve">- </w:t>
            </w:r>
            <w:r>
              <w:rPr>
                <w:rStyle w:val="IndexLink"/>
                <w:rtl w:val="true"/>
              </w:rPr>
              <w:t xml:space="preserve">فعلیت </w:t>
            </w:r>
            <w:r>
              <w:rPr>
                <w:rStyle w:val="IndexLink"/>
                <w:rtl w:val="true"/>
              </w:rPr>
              <w:t>(</w:t>
            </w:r>
            <w:r>
              <w:rPr>
                <w:rStyle w:val="IndexLink"/>
                <w:rtl w:val="true"/>
              </w:rPr>
              <w:t>در مقابل انقضاء</w:t>
            </w:r>
            <w:r>
              <w:rPr>
                <w:rStyle w:val="IndexLink"/>
                <w:rtl w:val="true"/>
              </w:rPr>
              <w:t xml:space="preserve">) </w:t>
            </w:r>
            <w:r>
              <w:rPr>
                <w:rStyle w:val="IndexLink"/>
                <w:rtl w:val="true"/>
              </w:rPr>
              <w:t>سلطنت بر موضوع اقرار</w:t>
            </w:r>
            <w:r>
              <w:rPr>
                <w:rStyle w:val="IndexLink"/>
                <w:rtl w:val="true"/>
              </w:rPr>
              <w:tab/>
            </w:r>
            <w:r>
              <w:rPr>
                <w:rStyle w:val="IndexLink"/>
              </w:rPr>
              <w:t>167</w:t>
            </w:r>
          </w:hyperlink>
        </w:p>
        <w:p>
          <w:pPr>
            <w:pStyle w:val="Contents5"/>
            <w:tabs>
              <w:tab w:val="clear" w:pos="7892"/>
              <w:tab w:val="right" w:pos="9026" w:leader="dot"/>
            </w:tabs>
            <w:rPr/>
          </w:pPr>
          <w:hyperlink w:anchor="__RefHeading___Toc2472315_58195312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472317_581953129">
            <w:r>
              <w:rPr>
                <w:webHidden/>
                <w:rStyle w:val="IndexLink"/>
                <w:rtl w:val="true"/>
              </w:rPr>
              <w:t>اقوال فقها در مسأله</w:t>
            </w:r>
            <w:r>
              <w:rPr>
                <w:rStyle w:val="IndexLink"/>
                <w:rtl w:val="true"/>
              </w:rPr>
              <w:tab/>
            </w:r>
            <w:r>
              <w:rPr>
                <w:rStyle w:val="IndexLink"/>
              </w:rPr>
              <w:t>168</w:t>
            </w:r>
          </w:hyperlink>
        </w:p>
        <w:p>
          <w:pPr>
            <w:pStyle w:val="Contents6"/>
            <w:tabs>
              <w:tab w:val="clear" w:pos="7609"/>
              <w:tab w:val="right" w:pos="9026" w:leader="dot"/>
            </w:tabs>
            <w:rPr/>
          </w:pPr>
          <w:hyperlink w:anchor="__RefHeading___Toc2472319_581953129">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2472321_581953129">
            <w:r>
              <w:rPr>
                <w:webHidden/>
                <w:rStyle w:val="IndexLink"/>
                <w:rtl w:val="true"/>
              </w:rPr>
              <w:t>دیدگاه اول</w:t>
            </w:r>
            <w:r>
              <w:rPr>
                <w:rStyle w:val="IndexLink"/>
                <w:rtl w:val="true"/>
              </w:rPr>
              <w:tab/>
            </w:r>
            <w:r>
              <w:rPr>
                <w:rStyle w:val="IndexLink"/>
              </w:rPr>
              <w:t>168</w:t>
            </w:r>
          </w:hyperlink>
        </w:p>
        <w:p>
          <w:pPr>
            <w:pStyle w:val="Contents6"/>
            <w:tabs>
              <w:tab w:val="clear" w:pos="7609"/>
              <w:tab w:val="right" w:pos="9026" w:leader="dot"/>
            </w:tabs>
            <w:rPr/>
          </w:pPr>
          <w:hyperlink w:anchor="__RefHeading___Toc2472323_581953129">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2472325_581953129">
            <w:r>
              <w:rPr>
                <w:webHidden/>
                <w:rStyle w:val="IndexLink"/>
              </w:rPr>
              <w:t>1</w:t>
            </w:r>
            <w:r>
              <w:rPr>
                <w:rStyle w:val="IndexLink"/>
                <w:rtl w:val="true"/>
              </w:rPr>
              <w:t xml:space="preserve">- </w:t>
            </w:r>
            <w:r>
              <w:rPr>
                <w:rStyle w:val="IndexLink"/>
                <w:rtl w:val="true"/>
              </w:rPr>
              <w:t>نظریه محقق اول</w:t>
            </w:r>
            <w:r>
              <w:rPr>
                <w:rStyle w:val="IndexLink"/>
                <w:rtl w:val="true"/>
              </w:rPr>
              <w:tab/>
            </w:r>
            <w:r>
              <w:rPr>
                <w:rStyle w:val="IndexLink"/>
              </w:rPr>
              <w:t>168</w:t>
            </w:r>
          </w:hyperlink>
        </w:p>
        <w:p>
          <w:pPr>
            <w:pStyle w:val="Contents6"/>
            <w:tabs>
              <w:tab w:val="clear" w:pos="7609"/>
              <w:tab w:val="right" w:pos="9026" w:leader="dot"/>
            </w:tabs>
            <w:rPr/>
          </w:pPr>
          <w:hyperlink w:anchor="__RefHeading___Toc2472327_581953129">
            <w:r>
              <w:rPr>
                <w:webHidden/>
                <w:rStyle w:val="IndexLink"/>
              </w:rPr>
              <w:t>2</w:t>
            </w:r>
            <w:r>
              <w:rPr>
                <w:rStyle w:val="IndexLink"/>
                <w:rtl w:val="true"/>
              </w:rPr>
              <w:t xml:space="preserve">- </w:t>
            </w:r>
            <w:r>
              <w:rPr>
                <w:rStyle w:val="IndexLink"/>
                <w:rtl w:val="true"/>
              </w:rPr>
              <w:t>نظریه علامه حلی</w:t>
            </w:r>
            <w:r>
              <w:rPr>
                <w:rStyle w:val="IndexLink"/>
                <w:rtl w:val="true"/>
              </w:rPr>
              <w:tab/>
            </w:r>
            <w:r>
              <w:rPr>
                <w:rStyle w:val="IndexLink"/>
              </w:rPr>
              <w:t>169</w:t>
            </w:r>
          </w:hyperlink>
        </w:p>
        <w:p>
          <w:pPr>
            <w:pStyle w:val="Contents6"/>
            <w:tabs>
              <w:tab w:val="clear" w:pos="7609"/>
              <w:tab w:val="right" w:pos="9026" w:leader="dot"/>
            </w:tabs>
            <w:rPr/>
          </w:pPr>
          <w:hyperlink w:anchor="__RefHeading___Toc2472329_581953129">
            <w:r>
              <w:rPr>
                <w:webHidden/>
                <w:rStyle w:val="IndexLink"/>
              </w:rPr>
              <w:t>3</w:t>
            </w:r>
            <w:r>
              <w:rPr>
                <w:rStyle w:val="IndexLink"/>
                <w:rtl w:val="true"/>
              </w:rPr>
              <w:t xml:space="preserve">- </w:t>
            </w:r>
            <w:r>
              <w:rPr>
                <w:rStyle w:val="IndexLink"/>
                <w:rtl w:val="true"/>
              </w:rPr>
              <w:t>نظریه شیخ انصاری</w:t>
            </w:r>
            <w:r>
              <w:rPr>
                <w:rStyle w:val="IndexLink"/>
                <w:rtl w:val="true"/>
              </w:rPr>
              <w:tab/>
            </w:r>
            <w:r>
              <w:rPr>
                <w:rStyle w:val="IndexLink"/>
              </w:rPr>
              <w:t>170</w:t>
            </w:r>
          </w:hyperlink>
        </w:p>
        <w:p>
          <w:pPr>
            <w:pStyle w:val="Contents6"/>
            <w:tabs>
              <w:tab w:val="clear" w:pos="7609"/>
              <w:tab w:val="right" w:pos="9026" w:leader="dot"/>
            </w:tabs>
            <w:rPr/>
          </w:pPr>
          <w:hyperlink w:anchor="__RefHeading___Toc2472331_581953129">
            <w:r>
              <w:rPr>
                <w:webHidden/>
                <w:rStyle w:val="IndexLink"/>
              </w:rPr>
              <w:t>4</w:t>
            </w:r>
            <w:r>
              <w:rPr>
                <w:rStyle w:val="IndexLink"/>
                <w:rtl w:val="true"/>
              </w:rPr>
              <w:t xml:space="preserve">- </w:t>
            </w:r>
            <w:r>
              <w:rPr>
                <w:rStyle w:val="IndexLink"/>
                <w:rtl w:val="true"/>
              </w:rPr>
              <w:t>نظریه امام خمینی</w:t>
            </w:r>
            <w:r>
              <w:rPr>
                <w:rStyle w:val="IndexLink"/>
                <w:rtl w:val="true"/>
              </w:rPr>
              <w:tab/>
            </w:r>
            <w:r>
              <w:rPr>
                <w:rStyle w:val="IndexLink"/>
              </w:rPr>
              <w:t>171</w:t>
            </w:r>
          </w:hyperlink>
        </w:p>
        <w:p>
          <w:pPr>
            <w:pStyle w:val="Contents6"/>
            <w:tabs>
              <w:tab w:val="clear" w:pos="7609"/>
              <w:tab w:val="right" w:pos="9026" w:leader="dot"/>
            </w:tabs>
            <w:rPr/>
          </w:pPr>
          <w:hyperlink w:anchor="__RefHeading___Toc2472333_581953129">
            <w:r>
              <w:rPr>
                <w:webHidden/>
                <w:rStyle w:val="IndexLink"/>
                <w:rtl w:val="true"/>
              </w:rPr>
              <w:t>دیدگاه دوم</w:t>
            </w:r>
            <w:r>
              <w:rPr>
                <w:rStyle w:val="IndexLink"/>
                <w:rtl w:val="true"/>
              </w:rPr>
              <w:tab/>
            </w:r>
            <w:r>
              <w:rPr>
                <w:rStyle w:val="IndexLink"/>
              </w:rPr>
              <w:t>172</w:t>
            </w:r>
          </w:hyperlink>
        </w:p>
        <w:p>
          <w:pPr>
            <w:pStyle w:val="Contents6"/>
            <w:tabs>
              <w:tab w:val="clear" w:pos="7609"/>
              <w:tab w:val="right" w:pos="9026" w:leader="dot"/>
            </w:tabs>
            <w:rPr/>
          </w:pPr>
          <w:hyperlink w:anchor="__RefHeading___Toc2472335_581953129">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2472337_581953129">
            <w:r>
              <w:rPr>
                <w:webHidden/>
                <w:rStyle w:val="IndexLink"/>
              </w:rPr>
              <w:t>1</w:t>
            </w:r>
            <w:r>
              <w:rPr>
                <w:rStyle w:val="IndexLink"/>
                <w:rtl w:val="true"/>
              </w:rPr>
              <w:t xml:space="preserve">- </w:t>
            </w:r>
            <w:r>
              <w:rPr>
                <w:rStyle w:val="IndexLink"/>
                <w:rtl w:val="true"/>
              </w:rPr>
              <w:t>نظریه شیخ طوسی</w:t>
            </w:r>
            <w:r>
              <w:rPr>
                <w:rStyle w:val="IndexLink"/>
                <w:rtl w:val="true"/>
              </w:rPr>
              <w:tab/>
            </w:r>
            <w:r>
              <w:rPr>
                <w:rStyle w:val="IndexLink"/>
              </w:rPr>
              <w:t>172</w:t>
            </w:r>
          </w:hyperlink>
        </w:p>
        <w:p>
          <w:pPr>
            <w:pStyle w:val="Contents6"/>
            <w:tabs>
              <w:tab w:val="clear" w:pos="7609"/>
              <w:tab w:val="right" w:pos="9026" w:leader="dot"/>
            </w:tabs>
            <w:rPr/>
          </w:pPr>
          <w:hyperlink w:anchor="__RefHeading___Toc2472339_581953129">
            <w:r>
              <w:rPr>
                <w:webHidden/>
                <w:rStyle w:val="IndexLink"/>
              </w:rPr>
              <w:t>2</w:t>
            </w:r>
            <w:r>
              <w:rPr>
                <w:rStyle w:val="IndexLink"/>
                <w:rtl w:val="true"/>
              </w:rPr>
              <w:t xml:space="preserve">- </w:t>
            </w:r>
            <w:r>
              <w:rPr>
                <w:rStyle w:val="IndexLink"/>
                <w:rtl w:val="true"/>
              </w:rPr>
              <w:t>نظریه فخر المحققین</w:t>
            </w:r>
            <w:r>
              <w:rPr>
                <w:rStyle w:val="IndexLink"/>
                <w:rtl w:val="true"/>
              </w:rPr>
              <w:tab/>
            </w:r>
            <w:r>
              <w:rPr>
                <w:rStyle w:val="IndexLink"/>
              </w:rPr>
              <w:t>173</w:t>
            </w:r>
          </w:hyperlink>
        </w:p>
        <w:p>
          <w:pPr>
            <w:pStyle w:val="Contents6"/>
            <w:tabs>
              <w:tab w:val="clear" w:pos="7609"/>
              <w:tab w:val="right" w:pos="9026" w:leader="dot"/>
            </w:tabs>
            <w:rPr/>
          </w:pPr>
          <w:hyperlink w:anchor="__RefHeading___Toc2472341_581953129">
            <w:r>
              <w:rPr>
                <w:webHidden/>
                <w:rStyle w:val="IndexLink"/>
                <w:rtl w:val="true"/>
              </w:rPr>
              <w:t>دلیل احتمالی دیدگاه دوم</w:t>
            </w:r>
            <w:r>
              <w:rPr>
                <w:rStyle w:val="IndexLink"/>
                <w:rtl w:val="true"/>
              </w:rPr>
              <w:tab/>
            </w:r>
            <w:r>
              <w:rPr>
                <w:rStyle w:val="IndexLink"/>
              </w:rPr>
              <w:t>175</w:t>
            </w:r>
          </w:hyperlink>
        </w:p>
        <w:p>
          <w:pPr>
            <w:pStyle w:val="Contents5"/>
            <w:tabs>
              <w:tab w:val="clear" w:pos="7892"/>
              <w:tab w:val="right" w:pos="9026" w:leader="dot"/>
            </w:tabs>
            <w:rPr/>
          </w:pPr>
          <w:hyperlink w:anchor="__RefHeading___Toc2472343_581953129">
            <w:r>
              <w:rPr>
                <w:webHidden/>
                <w:rStyle w:val="IndexLink"/>
                <w:rtl w:val="true"/>
              </w:rPr>
              <w:t>مناقشۀ حضرت استاد</w:t>
            </w:r>
            <w:r>
              <w:rPr>
                <w:rStyle w:val="IndexLink"/>
                <w:rtl w:val="true"/>
              </w:rPr>
              <w:tab/>
            </w:r>
            <w:r>
              <w:rPr>
                <w:rStyle w:val="IndexLink"/>
              </w:rPr>
              <w:t>175</w:t>
            </w:r>
          </w:hyperlink>
        </w:p>
        <w:p>
          <w:pPr>
            <w:pStyle w:val="Contents5"/>
            <w:tabs>
              <w:tab w:val="clear" w:pos="7892"/>
              <w:tab w:val="right" w:pos="9026" w:leader="dot"/>
            </w:tabs>
            <w:rPr/>
          </w:pPr>
          <w:hyperlink w:anchor="__RefHeading___Toc2472345_581953129">
            <w:r>
              <w:rPr>
                <w:webHidden/>
                <w:rStyle w:val="IndexLink"/>
                <w:rtl w:val="true"/>
              </w:rPr>
              <w:t>نظر حضرت استاد</w:t>
            </w:r>
            <w:r>
              <w:rPr>
                <w:rStyle w:val="IndexLink"/>
                <w:rtl w:val="true"/>
              </w:rPr>
              <w:tab/>
            </w:r>
            <w:r>
              <w:rPr>
                <w:rStyle w:val="IndexLink"/>
              </w:rPr>
              <w:t>176</w:t>
            </w:r>
          </w:hyperlink>
        </w:p>
        <w:p>
          <w:pPr>
            <w:pStyle w:val="Contents4"/>
            <w:tabs>
              <w:tab w:val="clear" w:pos="8176"/>
              <w:tab w:val="right" w:pos="9026" w:leader="dot"/>
            </w:tabs>
            <w:rPr/>
          </w:pPr>
          <w:hyperlink w:anchor="__RefHeading___Toc2472347_581953129">
            <w:r>
              <w:rPr>
                <w:webHidden/>
                <w:rStyle w:val="IndexLink"/>
                <w:rtl w:val="true"/>
              </w:rPr>
              <w:t>پ</w:t>
            </w:r>
            <w:r>
              <w:rPr>
                <w:rStyle w:val="IndexLink"/>
                <w:rtl w:val="true"/>
              </w:rPr>
              <w:t xml:space="preserve">- </w:t>
            </w:r>
            <w:r>
              <w:rPr>
                <w:rStyle w:val="IndexLink"/>
                <w:rtl w:val="true"/>
              </w:rPr>
              <w:t>تامه بودن سلطنت بر موضوع اقرار</w:t>
            </w:r>
            <w:r>
              <w:rPr>
                <w:rStyle w:val="IndexLink"/>
                <w:rtl w:val="true"/>
              </w:rPr>
              <w:tab/>
            </w:r>
            <w:r>
              <w:rPr>
                <w:rStyle w:val="IndexLink"/>
              </w:rPr>
              <w:t>177</w:t>
            </w:r>
          </w:hyperlink>
        </w:p>
        <w:p>
          <w:pPr>
            <w:pStyle w:val="Contents3"/>
            <w:tabs>
              <w:tab w:val="clear" w:pos="8459"/>
              <w:tab w:val="right" w:pos="9026" w:leader="dot"/>
            </w:tabs>
            <w:rPr/>
          </w:pPr>
          <w:hyperlink w:anchor="__RefHeading___Toc2472349_581953129">
            <w:r>
              <w:rPr>
                <w:webHidden/>
                <w:rStyle w:val="IndexLink"/>
                <w:rtl w:val="true"/>
              </w:rPr>
              <w:t>فصل چهارم</w:t>
            </w:r>
            <w:r>
              <w:rPr>
                <w:rStyle w:val="IndexLink"/>
                <w:rtl w:val="true"/>
              </w:rPr>
              <w:t xml:space="preserve">: </w:t>
            </w:r>
            <w:r>
              <w:rPr>
                <w:rStyle w:val="IndexLink"/>
                <w:rtl w:val="true"/>
              </w:rPr>
              <w:t xml:space="preserve">گسترۀ قاعدۀ </w:t>
            </w:r>
            <w:r>
              <w:rPr>
                <w:rStyle w:val="IndexLink"/>
                <w:rtl w:val="true"/>
              </w:rPr>
              <w:t>«</w:t>
            </w:r>
            <w:r>
              <w:rPr>
                <w:rStyle w:val="IndexLink"/>
                <w:rtl w:val="true"/>
              </w:rPr>
              <w:t>من ملک</w:t>
            </w:r>
            <w:r>
              <w:rPr>
                <w:rStyle w:val="IndexLink"/>
                <w:rtl w:val="true"/>
              </w:rPr>
              <w:t>»</w:t>
              <w:tab/>
            </w:r>
            <w:r>
              <w:rPr>
                <w:rStyle w:val="IndexLink"/>
              </w:rPr>
              <w:t>180</w:t>
            </w:r>
          </w:hyperlink>
        </w:p>
        <w:p>
          <w:pPr>
            <w:pStyle w:val="Contents4"/>
            <w:tabs>
              <w:tab w:val="clear" w:pos="8176"/>
              <w:tab w:val="right" w:pos="9026" w:leader="dot"/>
            </w:tabs>
            <w:rPr/>
          </w:pPr>
          <w:hyperlink w:anchor="__RefHeading___Toc2472351_58195312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472353_581953129">
            <w:r>
              <w:rPr>
                <w:webHidden/>
                <w:rStyle w:val="IndexLink"/>
                <w:rtl w:val="true"/>
              </w:rPr>
              <w:t>کلام شیخ انصاری در میزان نفوذ اقرار</w:t>
            </w:r>
            <w:r>
              <w:rPr>
                <w:rStyle w:val="IndexLink"/>
                <w:rtl w:val="true"/>
              </w:rPr>
              <w:tab/>
            </w:r>
            <w:r>
              <w:rPr>
                <w:rStyle w:val="IndexLink"/>
              </w:rPr>
              <w:t>180</w:t>
            </w:r>
          </w:hyperlink>
        </w:p>
        <w:p>
          <w:pPr>
            <w:pStyle w:val="Contents4"/>
            <w:tabs>
              <w:tab w:val="clear" w:pos="8176"/>
              <w:tab w:val="right" w:pos="9026" w:leader="dot"/>
            </w:tabs>
            <w:rPr/>
          </w:pPr>
          <w:hyperlink w:anchor="__RefHeading___Toc2472355_581953129">
            <w:r>
              <w:rPr>
                <w:webHidden/>
                <w:rStyle w:val="IndexLink"/>
                <w:rtl w:val="true"/>
              </w:rPr>
              <w:t>احتمالات سه گانه در کلام شیخ انصاری</w:t>
            </w:r>
            <w:r>
              <w:rPr>
                <w:rStyle w:val="IndexLink"/>
                <w:rtl w:val="true"/>
              </w:rPr>
              <w:tab/>
            </w:r>
            <w:r>
              <w:rPr>
                <w:rStyle w:val="IndexLink"/>
              </w:rPr>
              <w:t>181</w:t>
            </w:r>
          </w:hyperlink>
        </w:p>
        <w:p>
          <w:pPr>
            <w:pStyle w:val="Contents4"/>
            <w:tabs>
              <w:tab w:val="clear" w:pos="8176"/>
              <w:tab w:val="right" w:pos="9026" w:leader="dot"/>
            </w:tabs>
            <w:rPr/>
          </w:pPr>
          <w:hyperlink w:anchor="__RefHeading___Toc2472357_581953129">
            <w:r>
              <w:rPr>
                <w:webHidden/>
                <w:rStyle w:val="IndexLink"/>
                <w:rtl w:val="true"/>
              </w:rPr>
              <w:t>بررسی احتمالات سه گانه در کلام شیخ انصاری</w:t>
            </w:r>
            <w:r>
              <w:rPr>
                <w:rStyle w:val="IndexLink"/>
                <w:rtl w:val="true"/>
              </w:rPr>
              <w:tab/>
            </w:r>
            <w:r>
              <w:rPr>
                <w:rStyle w:val="IndexLink"/>
              </w:rPr>
              <w:t>184</w:t>
            </w:r>
          </w:hyperlink>
        </w:p>
        <w:p>
          <w:pPr>
            <w:pStyle w:val="Contents4"/>
            <w:tabs>
              <w:tab w:val="clear" w:pos="8176"/>
              <w:tab w:val="right" w:pos="9026" w:leader="dot"/>
            </w:tabs>
            <w:rPr/>
          </w:pPr>
          <w:hyperlink w:anchor="__RefHeading___Toc2472359_581953129">
            <w:r>
              <w:rPr>
                <w:webHidden/>
                <w:rStyle w:val="IndexLink"/>
                <w:rtl w:val="true"/>
              </w:rPr>
              <w:t>تفصیل شیخ طوسی در مبسوط</w:t>
            </w:r>
            <w:r>
              <w:rPr>
                <w:rStyle w:val="IndexLink"/>
                <w:rtl w:val="true"/>
              </w:rPr>
              <w:tab/>
            </w:r>
            <w:r>
              <w:rPr>
                <w:rStyle w:val="IndexLink"/>
              </w:rPr>
              <w:t>186</w:t>
            </w:r>
          </w:hyperlink>
        </w:p>
        <w:p>
          <w:pPr>
            <w:pStyle w:val="Contents5"/>
            <w:tabs>
              <w:tab w:val="clear" w:pos="7892"/>
              <w:tab w:val="right" w:pos="9026" w:leader="dot"/>
            </w:tabs>
            <w:rPr/>
          </w:pPr>
          <w:hyperlink w:anchor="__RefHeading___Toc2472361_581953129">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2472363_581953129">
            <w:r>
              <w:rPr>
                <w:webHidden/>
                <w:rStyle w:val="IndexLink"/>
                <w:rtl w:val="true"/>
              </w:rPr>
              <w:t>فرع اول شیخ</w:t>
            </w:r>
            <w:r>
              <w:rPr>
                <w:rStyle w:val="IndexLink"/>
                <w:rtl w:val="true"/>
              </w:rPr>
              <w:tab/>
            </w:r>
            <w:r>
              <w:rPr>
                <w:rStyle w:val="IndexLink"/>
              </w:rPr>
              <w:t>187</w:t>
            </w:r>
          </w:hyperlink>
        </w:p>
        <w:p>
          <w:pPr>
            <w:pStyle w:val="Contents5"/>
            <w:tabs>
              <w:tab w:val="clear" w:pos="7892"/>
              <w:tab w:val="right" w:pos="9026" w:leader="dot"/>
            </w:tabs>
            <w:rPr/>
          </w:pPr>
          <w:hyperlink w:anchor="__RefHeading___Toc2472365_581953129">
            <w:r>
              <w:rPr>
                <w:webHidden/>
                <w:rStyle w:val="IndexLink"/>
                <w:rtl w:val="true"/>
              </w:rPr>
              <w:t>فرع دوم شیخ</w:t>
            </w:r>
            <w:r>
              <w:rPr>
                <w:rStyle w:val="IndexLink"/>
                <w:rtl w:val="true"/>
              </w:rPr>
              <w:tab/>
            </w:r>
            <w:r>
              <w:rPr>
                <w:rStyle w:val="IndexLink"/>
              </w:rPr>
              <w:t>188</w:t>
            </w:r>
          </w:hyperlink>
        </w:p>
        <w:p>
          <w:pPr>
            <w:pStyle w:val="Contents4"/>
            <w:tabs>
              <w:tab w:val="clear" w:pos="8176"/>
              <w:tab w:val="right" w:pos="9026" w:leader="dot"/>
            </w:tabs>
            <w:rPr/>
          </w:pPr>
          <w:hyperlink w:anchor="__RefHeading___Toc2472367_581953129">
            <w:r>
              <w:rPr>
                <w:webHidden/>
                <w:rStyle w:val="IndexLink"/>
                <w:rtl w:val="true"/>
              </w:rPr>
              <w:t>تفاوت دو فرع مذکور از دیدگاه شیخ طوسی</w:t>
            </w:r>
            <w:r>
              <w:rPr>
                <w:rStyle w:val="IndexLink"/>
                <w:rtl w:val="true"/>
              </w:rPr>
              <w:tab/>
            </w:r>
            <w:r>
              <w:rPr>
                <w:rStyle w:val="IndexLink"/>
              </w:rPr>
              <w:t>189</w:t>
            </w:r>
          </w:hyperlink>
        </w:p>
        <w:p>
          <w:pPr>
            <w:pStyle w:val="Contents4"/>
            <w:tabs>
              <w:tab w:val="clear" w:pos="8176"/>
              <w:tab w:val="right" w:pos="9026" w:leader="dot"/>
            </w:tabs>
            <w:rPr/>
          </w:pPr>
          <w:hyperlink w:anchor="__RefHeading___Toc2472369_581953129">
            <w:r>
              <w:rPr>
                <w:webHidden/>
                <w:rStyle w:val="IndexLink"/>
                <w:rtl w:val="true"/>
              </w:rPr>
              <w:t>کلام محقق پیرامون دو فرع مذکور</w:t>
            </w:r>
            <w:r>
              <w:rPr>
                <w:rStyle w:val="IndexLink"/>
                <w:rtl w:val="true"/>
              </w:rPr>
              <w:tab/>
            </w:r>
            <w:r>
              <w:rPr>
                <w:rStyle w:val="IndexLink"/>
              </w:rPr>
              <w:t>190</w:t>
            </w:r>
          </w:hyperlink>
        </w:p>
        <w:p>
          <w:pPr>
            <w:pStyle w:val="Contents4"/>
            <w:tabs>
              <w:tab w:val="clear" w:pos="8176"/>
              <w:tab w:val="right" w:pos="9026" w:leader="dot"/>
            </w:tabs>
            <w:rPr/>
          </w:pPr>
          <w:hyperlink w:anchor="__RefHeading___Toc2472371_581953129">
            <w:r>
              <w:rPr>
                <w:webHidden/>
                <w:rStyle w:val="IndexLink"/>
                <w:rtl w:val="true"/>
              </w:rPr>
              <w:t>کلام شیخ انصاری پیرامون دو فرع مذکور</w:t>
            </w:r>
            <w:r>
              <w:rPr>
                <w:rStyle w:val="IndexLink"/>
                <w:rtl w:val="true"/>
              </w:rPr>
              <w:tab/>
            </w:r>
            <w:r>
              <w:rPr>
                <w:rStyle w:val="IndexLink"/>
              </w:rPr>
              <w:t>190</w:t>
            </w:r>
          </w:hyperlink>
        </w:p>
        <w:p>
          <w:pPr>
            <w:pStyle w:val="Contents4"/>
            <w:tabs>
              <w:tab w:val="clear" w:pos="8176"/>
              <w:tab w:val="right" w:pos="9026" w:leader="dot"/>
            </w:tabs>
            <w:rPr/>
          </w:pPr>
          <w:hyperlink w:anchor="__RefHeading___Toc2472373_581953129">
            <w:r>
              <w:rPr>
                <w:webHidden/>
                <w:rStyle w:val="IndexLink"/>
                <w:rtl w:val="true"/>
              </w:rPr>
              <w:t>کلام شیخ طوسی در مسألۀ اختلاف وکیل و موکل در ثمن</w:t>
            </w:r>
            <w:r>
              <w:rPr>
                <w:rStyle w:val="IndexLink"/>
                <w:rtl w:val="true"/>
              </w:rPr>
              <w:tab/>
            </w:r>
            <w:r>
              <w:rPr>
                <w:rStyle w:val="IndexLink"/>
              </w:rPr>
              <w:t>192</w:t>
            </w:r>
          </w:hyperlink>
        </w:p>
        <w:p>
          <w:pPr>
            <w:pStyle w:val="Contents4"/>
            <w:tabs>
              <w:tab w:val="clear" w:pos="8176"/>
              <w:tab w:val="right" w:pos="9026" w:leader="dot"/>
            </w:tabs>
            <w:rPr/>
          </w:pPr>
          <w:hyperlink w:anchor="__RefHeading___Toc2472375_581953129">
            <w:r>
              <w:rPr>
                <w:webHidden/>
                <w:rStyle w:val="IndexLink"/>
                <w:rtl w:val="true"/>
              </w:rPr>
              <w:t>کلام محقق در مسألۀ اختلاف وکیل و موکل در ثمن</w:t>
            </w:r>
            <w:r>
              <w:rPr>
                <w:rStyle w:val="IndexLink"/>
                <w:rtl w:val="true"/>
              </w:rPr>
              <w:tab/>
            </w:r>
            <w:r>
              <w:rPr>
                <w:rStyle w:val="IndexLink"/>
              </w:rPr>
              <w:t>194</w:t>
            </w:r>
          </w:hyperlink>
        </w:p>
        <w:p>
          <w:pPr>
            <w:pStyle w:val="Contents4"/>
            <w:tabs>
              <w:tab w:val="clear" w:pos="8176"/>
              <w:tab w:val="right" w:pos="9026" w:leader="dot"/>
            </w:tabs>
            <w:rPr/>
          </w:pPr>
          <w:hyperlink w:anchor="__RefHeading___Toc2472377_581953129">
            <w:r>
              <w:rPr>
                <w:webHidden/>
                <w:rStyle w:val="IndexLink"/>
                <w:rtl w:val="true"/>
              </w:rPr>
              <w:t>جمع بندی احتمالات سه گانۀ شیخ انصاری</w:t>
            </w:r>
            <w:r>
              <w:rPr>
                <w:rStyle w:val="IndexLink"/>
                <w:rtl w:val="true"/>
              </w:rPr>
              <w:tab/>
            </w:r>
            <w:r>
              <w:rPr>
                <w:rStyle w:val="IndexLink"/>
              </w:rPr>
              <w:t>194</w:t>
            </w:r>
          </w:hyperlink>
        </w:p>
        <w:p>
          <w:pPr>
            <w:pStyle w:val="Contents4"/>
            <w:tabs>
              <w:tab w:val="clear" w:pos="8176"/>
              <w:tab w:val="right" w:pos="9026" w:leader="dot"/>
            </w:tabs>
            <w:rPr/>
          </w:pPr>
          <w:hyperlink w:anchor="__RefHeading___Toc2472379_581953129">
            <w:r>
              <w:rPr>
                <w:webHidden/>
                <w:rStyle w:val="IndexLink"/>
                <w:rtl w:val="true"/>
              </w:rPr>
              <w:t>احتمالات دوگانه در کلام شیخ انصاری</w:t>
            </w:r>
            <w:r>
              <w:rPr>
                <w:rStyle w:val="IndexLink"/>
                <w:rtl w:val="true"/>
              </w:rPr>
              <w:tab/>
            </w:r>
            <w:r>
              <w:rPr>
                <w:rStyle w:val="IndexLink"/>
              </w:rPr>
              <w:t>194</w:t>
            </w:r>
          </w:hyperlink>
        </w:p>
        <w:p>
          <w:pPr>
            <w:pStyle w:val="Contents4"/>
            <w:tabs>
              <w:tab w:val="clear" w:pos="8176"/>
              <w:tab w:val="right" w:pos="9026" w:leader="dot"/>
            </w:tabs>
            <w:rPr/>
          </w:pPr>
          <w:hyperlink w:anchor="__RefHeading___Toc2472381_581953129">
            <w:r>
              <w:rPr>
                <w:webHidden/>
                <w:rStyle w:val="IndexLink"/>
                <w:rtl w:val="true"/>
              </w:rPr>
              <w:t xml:space="preserve">معنای </w:t>
            </w:r>
            <w:r>
              <w:rPr>
                <w:rStyle w:val="IndexLink"/>
                <w:rtl w:val="true"/>
              </w:rPr>
              <w:t>«</w:t>
            </w:r>
            <w:r>
              <w:rPr>
                <w:rStyle w:val="IndexLink"/>
                <w:rtl w:val="true"/>
              </w:rPr>
              <w:t>مزاحمت</w:t>
            </w:r>
            <w:r>
              <w:rPr>
                <w:rStyle w:val="IndexLink"/>
                <w:rtl w:val="true"/>
              </w:rPr>
              <w:t xml:space="preserve">» </w:t>
            </w:r>
            <w:r>
              <w:rPr>
                <w:rStyle w:val="IndexLink"/>
                <w:rtl w:val="true"/>
              </w:rPr>
              <w:t>در کلام شیخ انصاری</w:t>
            </w:r>
            <w:r>
              <w:rPr>
                <w:rStyle w:val="IndexLink"/>
                <w:rtl w:val="true"/>
              </w:rPr>
              <w:tab/>
            </w:r>
            <w:r>
              <w:rPr>
                <w:rStyle w:val="IndexLink"/>
              </w:rPr>
              <w:t>197</w:t>
            </w:r>
          </w:hyperlink>
        </w:p>
        <w:p>
          <w:pPr>
            <w:pStyle w:val="Contents4"/>
            <w:tabs>
              <w:tab w:val="clear" w:pos="8176"/>
              <w:tab w:val="right" w:pos="9026" w:leader="dot"/>
            </w:tabs>
            <w:rPr/>
          </w:pPr>
          <w:hyperlink w:anchor="__RefHeading___Toc2472383_581953129">
            <w:r>
              <w:rPr>
                <w:webHidden/>
                <w:rStyle w:val="IndexLink"/>
                <w:rtl w:val="true"/>
              </w:rPr>
              <w:t xml:space="preserve">کلام مرحوم آیة اللّه فاضل لنکرانی در معنای </w:t>
            </w:r>
            <w:r>
              <w:rPr>
                <w:rStyle w:val="IndexLink"/>
                <w:rtl w:val="true"/>
              </w:rPr>
              <w:t>«</w:t>
            </w:r>
            <w:r>
              <w:rPr>
                <w:rStyle w:val="IndexLink"/>
                <w:rtl w:val="true"/>
              </w:rPr>
              <w:t>مزاحمت</w:t>
            </w:r>
            <w:r>
              <w:rPr>
                <w:rStyle w:val="IndexLink"/>
                <w:rtl w:val="true"/>
              </w:rPr>
              <w:t>»</w:t>
              <w:tab/>
            </w:r>
            <w:r>
              <w:rPr>
                <w:rStyle w:val="IndexLink"/>
              </w:rPr>
              <w:t>197</w:t>
            </w:r>
          </w:hyperlink>
        </w:p>
        <w:p>
          <w:pPr>
            <w:pStyle w:val="Contents4"/>
            <w:tabs>
              <w:tab w:val="clear" w:pos="8176"/>
              <w:tab w:val="right" w:pos="9026" w:leader="dot"/>
            </w:tabs>
            <w:rPr/>
          </w:pPr>
          <w:hyperlink w:anchor="__RefHeading___Toc2472385_581953129">
            <w:r>
              <w:rPr>
                <w:webHidden/>
                <w:rStyle w:val="IndexLink"/>
                <w:rtl w:val="true"/>
              </w:rPr>
              <w:t>بررسی کلام مرحوم آیة اللّه فاضل لنکرانی</w:t>
            </w:r>
            <w:r>
              <w:rPr>
                <w:rStyle w:val="IndexLink"/>
                <w:rtl w:val="true"/>
              </w:rPr>
              <w:tab/>
            </w:r>
            <w:r>
              <w:rPr>
                <w:rStyle w:val="IndexLink"/>
              </w:rPr>
              <w:t>198</w:t>
            </w:r>
          </w:hyperlink>
        </w:p>
        <w:p>
          <w:pPr>
            <w:pStyle w:val="Contents4"/>
            <w:tabs>
              <w:tab w:val="clear" w:pos="8176"/>
              <w:tab w:val="right" w:pos="9026" w:leader="dot"/>
            </w:tabs>
            <w:rPr/>
          </w:pPr>
          <w:hyperlink w:anchor="__RefHeading___Toc2472387_581953129">
            <w:r>
              <w:rPr>
                <w:webHidden/>
                <w:rStyle w:val="IndexLink"/>
                <w:rtl w:val="true"/>
              </w:rPr>
              <w:t>نظر حضرت استاد</w:t>
            </w:r>
            <w:r>
              <w:rPr>
                <w:rStyle w:val="IndexLink"/>
                <w:rtl w:val="true"/>
              </w:rPr>
              <w:tab/>
            </w:r>
            <w:r>
              <w:rPr>
                <w:rStyle w:val="IndexLink"/>
              </w:rPr>
              <w:t>199</w:t>
            </w:r>
          </w:hyperlink>
        </w:p>
        <w:p>
          <w:pPr>
            <w:pStyle w:val="Contents2"/>
            <w:tabs>
              <w:tab w:val="clear" w:pos="8743"/>
              <w:tab w:val="right" w:pos="9026" w:leader="dot"/>
            </w:tabs>
            <w:rPr/>
          </w:pPr>
          <w:hyperlink w:anchor="__RefHeading___Toc2472389_581953129">
            <w:r>
              <w:rPr>
                <w:webHidden/>
                <w:rStyle w:val="IndexLink"/>
                <w:rtl w:val="true"/>
              </w:rPr>
              <w:t>فهرست منابع و مآخذ</w:t>
            </w:r>
            <w:r>
              <w:rPr>
                <w:rStyle w:val="IndexLink"/>
                <w:rtl w:val="true"/>
              </w:rPr>
              <w:tab/>
            </w:r>
            <w:r>
              <w:rPr>
                <w:rStyle w:val="IndexLink"/>
              </w:rPr>
              <w:t>201</w:t>
            </w:r>
          </w:hyperlink>
        </w:p>
        <w:p>
          <w:pPr>
            <w:pStyle w:val="Contents2"/>
            <w:tabs>
              <w:tab w:val="clear" w:pos="8743"/>
              <w:tab w:val="right" w:pos="9026" w:leader="dot"/>
            </w:tabs>
            <w:rPr/>
          </w:pPr>
          <w:hyperlink w:anchor="__RefHeading___Toc2472391_581953129">
            <w:r>
              <w:rPr>
                <w:webHidden/>
                <w:rStyle w:val="IndexLink"/>
                <w:rtl w:val="true"/>
              </w:rPr>
              <w:t>فهرست مطالب</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37_41254"/>
      <w:bookmarkStart w:id="1" w:name="pg5537_41254"/>
      <w:bookmarkEnd w:id="1"/>
    </w:p>
    <w:p>
      <w:pPr>
        <w:pStyle w:val="Heading2"/>
        <w:numPr>
          <w:ilvl w:val="1"/>
          <w:numId w:val="1"/>
        </w:numPr>
        <w:rPr/>
      </w:pPr>
      <w:bookmarkStart w:id="2" w:name="pg5537_41254"/>
      <w:bookmarkStart w:id="3" w:name="__RefHeading___Toc247201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از دروس خارج فقه استاد معظم حضرت آیه‌الله حاج شیخ محمد‌جواد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و تنظیم سیدمرتضی 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پژوهشی مرکز فقهی ائمه اطهار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 الائمه‌الاطهار علیه‌السلام؛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درسهایی از قواعد فقه؛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برداشتی از دروس خارج فقه استاد معظم حضرت آیه‌الله حاج شیخ محمد‌جواد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من ملک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 سیدمرتضی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۴۱۰۰۲۰۰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201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قاعده من ملک</w:t>
      </w:r>
    </w:p>
    <w:p>
      <w:pPr>
        <w:pStyle w:val="BookText"/>
        <w:rPr/>
      </w:pPr>
      <w:r>
        <w:rPr>
          <w:rFonts w:ascii="IRNazanin" w:hAnsi="IRNazanin" w:eastAsia="IRNazanin"/>
          <w:color w:val="111111"/>
          <w:sz w:val="28"/>
          <w:sz w:val="28"/>
          <w:szCs w:val="28"/>
          <w:rtl w:val="true"/>
          <w:lang w:bidi="fa-IR"/>
        </w:rPr>
        <w:t>برداشتی از دروس خارج فقه استاد معظم حضرت آیه‌الله حاج شیخ محمد‌جواد لنکرانی</w:t>
      </w:r>
    </w:p>
    <w:p>
      <w:pPr>
        <w:pStyle w:val="BookText"/>
        <w:rPr/>
      </w:pPr>
      <w:r>
        <w:rPr>
          <w:rFonts w:ascii="IRNazanin" w:hAnsi="IRNazanin" w:eastAsia="IRNazanin"/>
          <w:color w:val="111111"/>
          <w:sz w:val="28"/>
          <w:sz w:val="28"/>
          <w:szCs w:val="28"/>
          <w:rtl w:val="true"/>
          <w:lang w:bidi="fa-IR"/>
        </w:rPr>
        <w:t>تقریر و تنظیم سیدمرتضی اهری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پژوهشی مرکز فقهی ائمه اطهار علیهم‌السلام</w:t>
      </w:r>
      <w:bookmarkStart w:id="7" w:name="pg5537_41258"/>
    </w:p>
    <w:p>
      <w:pPr>
        <w:pStyle w:val="Heading2"/>
        <w:numPr>
          <w:ilvl w:val="1"/>
          <w:numId w:val="1"/>
        </w:numPr>
        <w:rPr/>
      </w:pPr>
      <w:bookmarkStart w:id="8" w:name="__RefHeading___Toc2472019_581953129"/>
      <w:bookmarkStart w:id="9" w:name="_Toc3"/>
      <w:bookmarkEnd w:id="7"/>
      <w:bookmarkEnd w:id="8"/>
      <w:r>
        <w:rPr>
          <w:rtl w:val="true"/>
        </w:rPr>
        <w:t>سخن آغازین</w:t>
      </w:r>
      <w:bookmarkEnd w:id="9"/>
    </w:p>
    <w:p>
      <w:pPr>
        <w:pStyle w:val="BookText"/>
        <w:rPr/>
      </w:pPr>
      <w:r>
        <w:rPr>
          <w:rFonts w:ascii="IRNazanin" w:hAnsi="IRNazanin" w:eastAsia="IRNazanin"/>
          <w:color w:val="111111"/>
          <w:sz w:val="28"/>
          <w:sz w:val="28"/>
          <w:szCs w:val="28"/>
          <w:rtl w:val="true"/>
          <w:lang w:bidi="fa-IR"/>
        </w:rPr>
        <w:t>الحمد للّه‌مالک الملک ومن ملک واصلّی واُسلّم علی خاتم أنبیائه محمّد المصطفی وعلی وصیّه علی المرتضی وعلی قرینه فاطمة الزهراء وعلی الأئمّة من ولدهما سیّما خاتم الأوصیاء حجّة بن الحسن العسکری عجّل اللّه تعالی فرجه الشریف واللعن علی أعدائهم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p>
    <w:p>
      <w:pPr>
        <w:pStyle w:val="BookText"/>
        <w:rPr/>
      </w:pPr>
      <w:r>
        <w:rPr>
          <w:rFonts w:ascii="IRNazanin" w:hAnsi="IRNazanin" w:eastAsia="IRNazanin"/>
          <w:color w:val="111111"/>
          <w:sz w:val="28"/>
          <w:sz w:val="28"/>
          <w:szCs w:val="28"/>
          <w:rtl w:val="true"/>
          <w:lang w:bidi="fa-IR"/>
        </w:rPr>
        <w:t xml:space="preserve">یکی از قواعدی که در موارد متعدد در فقه مورد استفاده قرار گرفته است، قاعدۀ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است که این متن با آنکه در هیچ آیه و روایتی نیامده است، چگونه به عنوان یک قاعدۀ فقهیه در کلمات فقهاء مورد استفاده قرار گرفته است؟ کتاب حاضر پاسخگوی این پرسش و بیانگر نکات مهم و دقیق پیرامون این قاعده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آیة‌اللّه آقای حاج شیخ محمدجواد فاضل لنکرانی دامت برکاته به مناسبت 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قاعده بحث کرده‌اند و یکی از فضلای تلامذۀ ایشان، جناب حجة‌الاسلام والمسلمین آقای سید مرتضی میرزاده اهری دامت افاضاته این مباحث را تنظیم و تقریر نموده تا در اختیار علاقمندان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کتاب مورد توجه است آن است که علاوه بر ذکر ادلۀ مستقل این قاعده، ادلۀ غیرمستقل نیز مورد توجه قرار گرفته و به صورت کاملاً دقیق نقاط اشتراک و افتراق این قاعده با شش قاعدۀ دیگر یعنی قاعدۀ قبول ادعای بلامعارض، قاعدۀ حجیت قول ذوالید، قاعدۀ ائتمان، قاعدۀ ما لا یعلم الّا من قبله، قاعدۀ اقرار العقلاء و قاعدۀ فخریه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ائمه اطهار علیهم السلام که از بهترین یادگارهای مرجع راحل، حضرت آیة‌اللّه العظمی فاضل لنکرانی رحمه الله می‌باشد، پس از تأیید و امر حضرت استاد، این اثر ارزشمند را به عنوان هفتمین قاعده از سلسله درس‌های قواعد فقه معظم‌له به زیور طبع آراسته و تقدیم علاقه‌مندان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تلاش مورد رضایت حضرت بقیة‌اللّه الاعظم عجل اللّه تعالی فرجه الشریف قرار گرفته و توشه‌ای برای مؤسس والامقام، استاد گرانقدر و مقرر گرام و همۀ عزیزانی که در نشر این اثر سعی وافر داشته‌اند،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ائمه اطهار علیهم السلام</w:t>
      </w:r>
    </w:p>
    <w:p>
      <w:pPr>
        <w:pStyle w:val="BookText"/>
        <w:rPr/>
      </w:pPr>
      <w:r>
        <w:rPr>
          <w:rFonts w:ascii="IRNazanin" w:hAnsi="IRNazanin" w:eastAsia="IRNazanin"/>
          <w:color w:val="111111"/>
          <w:sz w:val="28"/>
          <w:sz w:val="28"/>
          <w:szCs w:val="28"/>
          <w:rtl w:val="true"/>
          <w:lang w:bidi="fa-IR"/>
        </w:rPr>
        <w:t>محمدرضا فاضل کاشانی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1394/9/10</w:t>
      </w:r>
      <w:bookmarkStart w:id="10" w:name="pg5537_41260"/>
    </w:p>
    <w:p>
      <w:pPr>
        <w:pStyle w:val="Heading2"/>
        <w:numPr>
          <w:ilvl w:val="1"/>
          <w:numId w:val="1"/>
        </w:numPr>
        <w:rPr/>
      </w:pPr>
      <w:bookmarkStart w:id="11" w:name="__RefHeading___Toc2472021_581953129"/>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سالیان دراز است که کتاب‌های فقهی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زکات، حج، صوم، حدود، قصاص، دیات و خیارات توسط فقهاء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اللّه امثالهم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 تدریس و کتب عدیده‌ای پیرامون آنها نگاشته می‌گردد، اما کاستی بزرگی که در حوزه دیده می‌شود، بحث قواعد فقهیه است که به رغم اهمیت بسیاری که دارد، نسبت به سایر بخشهای فقه، کمتر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فقهای عظام عصر حاضر، همت گماشته و بحث و تدریس قواعد فقهی را در زمره رئوس برنامه‌های خویش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فقهاء گرانقدر، استادنا الاعظم، فقیه اهل بیت عصمت و طهارت؛ حضرت آیة‌اللّه حاج شیخ محمد جواد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فراخور مباحث و در فرصتهای مختلف، بسیاری از قواعد فقهیه را مورد بحث و بررسی دقیق قرار داده و ماحصل تحقیقات انیق خویش را برای شاگردان خویش تدریس نموده و برخی از قواعد مورد بحث توسط استاد برای استفادۀ سایر طلاب و فضلا، به زیور طبع نیز آراسته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اکنون تقدیم حضور سروران می‌گردد، تقریری از دروس حضرت استاد پیرامون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مناسبت، در ضمن</w:t>
      </w:r>
    </w:p>
    <w:p>
      <w:pPr>
        <w:pStyle w:val="BookText"/>
        <w:rPr/>
      </w:pPr>
      <w:r>
        <w:rPr>
          <w:rFonts w:ascii="IRNazanin" w:hAnsi="IRNazanin" w:eastAsia="IRNazanin"/>
          <w:color w:val="111111"/>
          <w:sz w:val="28"/>
          <w:sz w:val="28"/>
          <w:szCs w:val="28"/>
          <w:rtl w:val="true"/>
          <w:lang w:bidi="fa-IR"/>
        </w:rPr>
        <w:t>درس خارج فقه؛ مبحث بیع فضولی افاضه فرموده‌اند که به قلم این کمترین به رشتۀ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براین بوده است تا مطالب و نظرات حضرت استاد دقیق و با حفظ امانت نقل شده و مقصود ایشان تبیین گردد و هرجا نیاز به شرح و بسط بوده، و یا به اقوال سایر بزرگان و فقهای معاصر اشاره گردیده، در پاورقی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این نوشتار خالی از کاستی نیست و آنچه از کمی و کاستی که در آن باشد، از قلت توشۀ علمی این حقیر است؛ نه ساحت قدسی حضرت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مستدعی است که سروران، از قصور و تقصیر نگارنده چشم پوشی نموده و با تذکرات خویش برای رفع نقایص احتمالی، وی را رهین منت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حسن توجه حضرت استاد در ملاحظه و افزودن برخی نکات دقیق به متن کتاب؛ همچنین به خاطر لطف و مرحمت بی‌پایان و حقّی که بر این کمترین دارند، تقدیر و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قم</w:t>
      </w:r>
    </w:p>
    <w:p>
      <w:pPr>
        <w:pStyle w:val="BookText"/>
        <w:rPr/>
      </w:pPr>
      <w:r>
        <w:rPr>
          <w:rFonts w:ascii="IRNazanin" w:hAnsi="IRNazanin" w:eastAsia="IRNazanin"/>
          <w:color w:val="111111"/>
          <w:sz w:val="28"/>
          <w:sz w:val="28"/>
          <w:szCs w:val="28"/>
          <w:rtl w:val="true"/>
          <w:lang w:bidi="fa-IR"/>
        </w:rPr>
        <w:t>سید مرتضی میرزاده اهری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1393/5/15</w:t>
      </w:r>
      <w:bookmarkStart w:id="13" w:name="pg5537_41262"/>
    </w:p>
    <w:p>
      <w:pPr>
        <w:pStyle w:val="Heading2"/>
        <w:numPr>
          <w:ilvl w:val="1"/>
          <w:numId w:val="1"/>
        </w:numPr>
        <w:rPr/>
      </w:pPr>
      <w:bookmarkStart w:id="14" w:name="__RefHeading___Toc2472023_581953129"/>
      <w:bookmarkStart w:id="15" w:name="_Toc5"/>
      <w:bookmarkEnd w:id="13"/>
      <w:bookmarkEnd w:id="14"/>
      <w:r>
        <w:rPr>
          <w:rtl w:val="true"/>
        </w:rPr>
        <w:t>مقدمه</w:t>
      </w:r>
      <w:bookmarkEnd w:id="15"/>
    </w:p>
    <w:p>
      <w:pPr>
        <w:pStyle w:val="Heading3"/>
        <w:numPr>
          <w:ilvl w:val="2"/>
          <w:numId w:val="1"/>
        </w:numPr>
        <w:rPr/>
      </w:pPr>
      <w:bookmarkStart w:id="16" w:name="__RefHeading___Toc2472025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قواعد مهم فقهی وحقوقی است که به رغم فقدان مستند قرآنی و روایی، همواره مورد توجه فقهای متقدم و متاخر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قاعدۀ مورد بحث، یکی از قواعد فقهیه می‌باشد، قبل از ورود به اصل مبحث لازم است پیرامون علم فقه، قاعدۀ فقهی و اصولی و تفاوت آن دو، تاریخچه و تقسیمات قواعد فقهی و جایگاه قاعدۀ مزبور در آن تقسیمات، شرح کوتاهی بیان گردد که در ضمن شش قسمت به عنوان مقدمه ارائه می‌شود</w:t>
      </w:r>
      <w:r>
        <w:rPr>
          <w:rFonts w:eastAsia="IRNazanin" w:cs="IRNazanin"/>
          <w:color w:val="111111"/>
          <w:sz w:val="28"/>
          <w:szCs w:val="28"/>
          <w:rtl w:val="true"/>
          <w:lang w:bidi="fa-IR"/>
        </w:rPr>
        <w:t>:</w:t>
      </w:r>
    </w:p>
    <w:p>
      <w:pPr>
        <w:pStyle w:val="Heading3"/>
        <w:numPr>
          <w:ilvl w:val="2"/>
          <w:numId w:val="1"/>
        </w:numPr>
        <w:rPr/>
      </w:pPr>
      <w:bookmarkStart w:id="18" w:name="__RefHeading___Toc2472027_581953129"/>
      <w:bookmarkStart w:id="19" w:name="_Toc7"/>
      <w:bookmarkEnd w:id="18"/>
      <w:r>
        <w:rPr>
          <w:rtl w:val="true"/>
        </w:rPr>
        <w:t>الف</w:t>
      </w:r>
      <w:r>
        <w:rPr>
          <w:rtl w:val="true"/>
        </w:rPr>
        <w:t xml:space="preserve">) </w:t>
      </w:r>
      <w:r>
        <w:rPr>
          <w:rtl w:val="true"/>
        </w:rPr>
        <w:t>فقه</w:t>
      </w:r>
      <w:bookmarkEnd w:id="19"/>
    </w:p>
    <w:p>
      <w:pPr>
        <w:pStyle w:val="Heading4"/>
        <w:numPr>
          <w:ilvl w:val="3"/>
          <w:numId w:val="1"/>
        </w:numPr>
        <w:rPr/>
      </w:pPr>
      <w:bookmarkStart w:id="20" w:name="__RefHeading___Toc2472029_581953129"/>
      <w:bookmarkStart w:id="21" w:name="_Toc8"/>
      <w:bookmarkEnd w:id="20"/>
      <w:r>
        <w:rPr/>
        <w:t>1</w:t>
      </w:r>
      <w:r>
        <w:rPr>
          <w:rtl w:val="true"/>
        </w:rPr>
        <w:t xml:space="preserve">- </w:t>
      </w:r>
      <w:r>
        <w:rPr>
          <w:rtl w:val="true"/>
        </w:rPr>
        <w:t>فقه در لغت</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در لغت به معنای تفکر عمیق، فهمیدن چیزی، دانستن و دریافتن می‌باشد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فرهنگ فارسی معین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عالم بودن به چیزی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لغویون در عین این که معنای لغوی فقه را بیان کرده‌اند به معنای اصطلاحی آن نیز اشاره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علم احکام شرعیه از روی ادله تفصیلیه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 از آنجا که فقه، واژه‌ای عربی است، برای درک مفهوم لغوی آن، باید به سراغ لغت‌شناسان عرب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لغت‌شناسان عرب، این واژه دارای چندین معنای مختلف و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انبوه معانی بیان شده به چند معنای عمده و اساسی در ذیل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گسترده‌ترین معنای فقه،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لغت‌شناسان نیز این معنا را برای فقه بیان کرده‌اند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مؤلف قاموس قرآن پیرامون استعمالات قرآنی فقه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شُعَیْبُ ما نَفْقَهُ کَثِیراً مِمّا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بسیاری از آنچه که می‌گویی نمی‌فهمیم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یَفْقَهُونَ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قلوبی دارند که با آن‌ها نمی‌فهمند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معنای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این دو معنا، دو مفهوم مطلق هستند؛ یعنی بیان نمی‌کنند کدام فهم یا علم و آگاهی لذا به هر فهم و هر علم و آگاهی فقه گفته می‌شود و به ابزار و وسیله رسیدن به این علم و آگاهی و یا سطح اتقان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از این دو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فقه دارای دو مفهوم مطلق و بی‌محدودیت می‌باشد؛ یکی مطلق فهم و دیگری مطلق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یعنی فقه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بیشتر لغت شناسان بیان کرده 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معنا، فقه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همراه با تامل 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22" w:name="pg5537_41264"/>
    </w:p>
    <w:p>
      <w:pPr>
        <w:pStyle w:val="BookText"/>
        <w:rPr/>
      </w:pPr>
      <w:bookmarkEnd w:id="22"/>
      <w:r>
        <w:rPr>
          <w:rFonts w:ascii="IRNazanin" w:hAnsi="IRNazanin" w:eastAsia="IRNazanin"/>
          <w:color w:val="111111"/>
          <w:sz w:val="28"/>
          <w:sz w:val="28"/>
          <w:szCs w:val="28"/>
          <w:rtl w:val="true"/>
          <w:lang w:bidi="fa-IR"/>
        </w:rPr>
        <w:t>وفق این تعبیر، فقه به معنای آگاهی به مفاد و مفهوم و مقتضای کلام است که با تامل در متن و کلام به دست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قابل ملاحظه‌ای وجود دارد که به آن اشاره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العلم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هو العلم بمقتضی الکلام علی تأمّله، ولهذا لا یقال إنّ اللّه یفقه، لأنّه لا یوصف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وتقوله لمن تخاطبه تفقّه ما أقوله، ای تأمّله لتعرفه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یستعمل إلّاعلی معنی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یکادون یفقهون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بلفظ التسبیح وهو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علم الشرع فقها لأنّه مبنی عن معرفة کلام اللّه وکلام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الفهم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الفهم هو العلم بمعانی الکلام عند سماعه خاصّة، ولهذا یقال فلان سیئّ الفهم، إذا کان بطی ء العلم بمعنی ما یسمع، ولا یجوز أن یوصف اللّه بالفهم، لأنّه عالم بکلّ شیء علی ما هو به فیما لم یزل</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بنابر نظر شهید مطهری رحمه الله فقه در همه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 و گویا معنایی جز این ندارد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چهارمین معنای بیان شده برای فقه همانا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فطانت و تیز فهمی</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3" w:name="__RefHeading___Toc2472031_581953129"/>
      <w:bookmarkStart w:id="24" w:name="_Toc9"/>
      <w:bookmarkEnd w:id="23"/>
      <w:r>
        <w:rPr/>
        <w:t>2</w:t>
      </w:r>
      <w:r>
        <w:rPr>
          <w:rtl w:val="true"/>
        </w:rPr>
        <w:t xml:space="preserve">- </w:t>
      </w:r>
      <w:r>
        <w:rPr>
          <w:rtl w:val="true"/>
        </w:rPr>
        <w:t>فقه در اصطلاح</w:t>
      </w:r>
      <w:bookmarkEnd w:id="24"/>
    </w:p>
    <w:p>
      <w:pPr>
        <w:pStyle w:val="BookText"/>
        <w:rPr/>
      </w:pPr>
      <w:r>
        <w:rPr>
          <w:rFonts w:ascii="IRNazanin" w:hAnsi="IRNazanin" w:eastAsia="IRNazanin"/>
          <w:color w:val="111111"/>
          <w:sz w:val="28"/>
          <w:sz w:val="28"/>
          <w:szCs w:val="28"/>
          <w:rtl w:val="true"/>
          <w:lang w:bidi="fa-IR"/>
        </w:rPr>
        <w:t>در معنای اصطلاحی علم فقه آمده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علمی است که از فروع عملی احکام شرع بحث می‌کند و مقصود آن</w:t>
      </w:r>
    </w:p>
    <w:p>
      <w:pPr>
        <w:pStyle w:val="BookText"/>
        <w:rPr/>
      </w:pPr>
      <w:r>
        <w:rPr>
          <w:rFonts w:ascii="IRNazanin" w:hAnsi="IRNazanin" w:eastAsia="IRNazanin"/>
          <w:color w:val="111111"/>
          <w:sz w:val="28"/>
          <w:sz w:val="28"/>
          <w:szCs w:val="28"/>
          <w:rtl w:val="true"/>
          <w:lang w:bidi="fa-IR"/>
        </w:rPr>
        <w:t>تحصیل ملکه اقتدار بر اجرای اعمال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 در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علم شریعتند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معنای اعم؛ علم شرع است و فقها صاحبان نظر، در فقه هستند، در صدر اسلام قراء، فقها بودند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فقها نیز همانند لغوی‌ها برای واژه فقه چندین معنای متفاوت اصطلاحی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معانی ارائه شده، در ذیل به چند معنا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معنا،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فهم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معارف دینی یا فهم دین اسلام، مفهومی بسیار کلی است که هر یک از فقها برای آن، معنایی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معارف دین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مقررات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فقه یعنی شناخت عقاید و احکام و مقررات که خود مقررات هم اعم از مقررات اخلاقی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برخی دیگر، دایره مفهومی معارف دینی یا فهم دین را به بخشی خاص به نام حلال و حرام یا احکام و یا فروع دین محدود می‌کنند؛ لذا طبق این معنا، فقه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تعاریف و معانی، از جهت دیگر نیز دچار اطلاق است سطح علم به دین و یا احکام را مطلق رها نموده‌اند و اعم از علم اجتهادی و تقلیدی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نیز برای فقه دو تعریف دیگر می‌توان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به معنای آشنایی به احکام است؛ اعم از این که از طریق استنباط و اجتهاد به دست آمده باشد یا از طریق تلاش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به کسی که احکام دین را از رساله عملیه فراگرفته و حفظ کرده باشد فقیه گفته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اساس حیطه علم و دانش، نظر دیگری وجود دارد که فقه را به معنای دانشی</w:t>
      </w:r>
      <w:bookmarkStart w:id="25" w:name="pg5537_41266"/>
    </w:p>
    <w:p>
      <w:pPr>
        <w:pStyle w:val="BookText"/>
        <w:rPr/>
      </w:pPr>
      <w:bookmarkEnd w:id="25"/>
      <w:r>
        <w:rPr>
          <w:rFonts w:ascii="IRNazanin" w:hAnsi="IRNazanin" w:eastAsia="IRNazanin"/>
          <w:color w:val="111111"/>
          <w:sz w:val="28"/>
          <w:sz w:val="28"/>
          <w:szCs w:val="28"/>
          <w:rtl w:val="true"/>
          <w:lang w:bidi="fa-IR"/>
        </w:rPr>
        <w:t>اجتهادی در نظر می‌گیرند که بر اساس آن، فقیه با مراجعه به ادله و منابع تفصیلی، احکام دین را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تعریف، بسیاری از فقها فقه را این‌گونه تعریف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بالاحکام الشرعیة الفرعیة عن ادلتها التفصیلیة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این معنا، که به نظر می‌رسد تعریف کاملتری باشد، فقه، علمی است مانند دیگر علوم که موضوعات خاص خود را دارد</w:t>
      </w:r>
      <w:r>
        <w:rPr>
          <w:rFonts w:eastAsia="IRNazanin" w:cs="IRNazanin"/>
          <w:color w:val="111111"/>
          <w:sz w:val="28"/>
          <w:szCs w:val="28"/>
          <w:rtl w:val="true"/>
          <w:lang w:bidi="fa-IR"/>
        </w:rPr>
        <w:t>.</w:t>
      </w:r>
    </w:p>
    <w:p>
      <w:pPr>
        <w:pStyle w:val="Heading3"/>
        <w:numPr>
          <w:ilvl w:val="2"/>
          <w:numId w:val="1"/>
        </w:numPr>
        <w:rPr/>
      </w:pPr>
      <w:bookmarkStart w:id="26" w:name="__RefHeading___Toc2472033_581953129"/>
      <w:bookmarkStart w:id="27" w:name="_Toc10"/>
      <w:bookmarkEnd w:id="26"/>
      <w:r>
        <w:rPr>
          <w:rtl w:val="true"/>
        </w:rPr>
        <w:t>ب</w:t>
      </w:r>
      <w:r>
        <w:rPr>
          <w:rtl w:val="true"/>
        </w:rPr>
        <w:t xml:space="preserve">) </w:t>
      </w:r>
      <w:r>
        <w:rPr>
          <w:rtl w:val="true"/>
        </w:rPr>
        <w:t>قاعدۀ فقهی</w:t>
      </w:r>
      <w:bookmarkEnd w:id="27"/>
    </w:p>
    <w:p>
      <w:pPr>
        <w:pStyle w:val="Heading4"/>
        <w:numPr>
          <w:ilvl w:val="3"/>
          <w:numId w:val="1"/>
        </w:numPr>
        <w:rPr/>
      </w:pPr>
      <w:bookmarkStart w:id="28" w:name="__RefHeading___Toc2472035_581953129"/>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برای آشنایی با چیستی و ماهیت قاعدۀ فقهی ابتدا باید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لغت و اصطلاح مورد کنکاش قرار گیرد که در ذیل بدان می‌پردازیم</w:t>
      </w:r>
      <w:r>
        <w:rPr>
          <w:rFonts w:eastAsia="IRNazanin" w:cs="IRNazanin"/>
          <w:color w:val="111111"/>
          <w:sz w:val="28"/>
          <w:szCs w:val="28"/>
          <w:rtl w:val="true"/>
          <w:lang w:bidi="fa-IR"/>
        </w:rPr>
        <w:t>:</w:t>
      </w:r>
    </w:p>
    <w:p>
      <w:pPr>
        <w:pStyle w:val="Heading4"/>
        <w:numPr>
          <w:ilvl w:val="3"/>
          <w:numId w:val="1"/>
        </w:numPr>
        <w:rPr/>
      </w:pPr>
      <w:bookmarkStart w:id="30" w:name="__RefHeading___Toc2472037_581953129"/>
      <w:bookmarkStart w:id="31" w:name="_Toc12"/>
      <w:bookmarkEnd w:id="30"/>
      <w:r>
        <w:rPr/>
        <w:t>1</w:t>
      </w:r>
      <w:r>
        <w:rPr>
          <w:rtl w:val="true"/>
        </w:rPr>
        <w:t xml:space="preserve">- </w:t>
      </w:r>
      <w:r>
        <w:rPr>
          <w:rtl w:val="true"/>
        </w:rPr>
        <w:t>قاعده در لغت</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اساس و ریشه است و به همین مناسبت، ستون‌های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در ذیل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32" w:name="pg5537_41267"/>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أساسه، والجمیع القواعد،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یبنی علی غیر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غیر أساس</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صاحب مجمع البحرین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جمع القاعدة وهی الاساس لما فوقه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در امور مادی مانند بنیان‌های ساختمان مورد استفاده است، در امور معنوی دارای جنبۀ اساسی و زیر بنایی نیز استعمال می‌شود؛ مانند قواعد اخلاقی، قواعد اسلامی و قواعد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مسائل بنیادی هر علمی که حکم بسیاری از مسائل دیگر به آن‌ها توقّف دارد، قواعد آن علم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نیز در مقدمه‌ای که بر کتاب قواعد فقهیه مرحوم والدش نگاشته، در خصوص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الکلمة من حیث اللغة موضوعة لما هو الأساس لشیء سواء أ کان مادیّاً أو معنویاً، علی نحو ینعدم الشیء ویضمحل بسبب انتفائه فالبیت مثلًا ینعدم بانعدام أساسه والدین یندرس باندراس أساسه والعلم ینتفی بانتفاء القواعد الکلیة الموجودة فیه</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3" w:name="__RefHeading___Toc2472039_581953129"/>
      <w:bookmarkStart w:id="34" w:name="_Toc13"/>
      <w:bookmarkEnd w:id="33"/>
      <w:r>
        <w:rPr/>
        <w:t>2</w:t>
      </w:r>
      <w:r>
        <w:rPr>
          <w:rtl w:val="true"/>
        </w:rPr>
        <w:t xml:space="preserve">- </w:t>
      </w:r>
      <w:r>
        <w:rPr>
          <w:rtl w:val="true"/>
        </w:rPr>
        <w:t>قاعده در اصطلاح</w:t>
      </w:r>
      <w:bookmarkEnd w:id="34"/>
    </w:p>
    <w:p>
      <w:pPr>
        <w:pStyle w:val="BookText"/>
        <w:rPr/>
      </w:pPr>
      <w:r>
        <w:rPr>
          <w:rFonts w:ascii="IRNazanin" w:hAnsi="IRNazanin" w:eastAsia="IRNazanin"/>
          <w:color w:val="111111"/>
          <w:sz w:val="28"/>
          <w:sz w:val="28"/>
          <w:szCs w:val="28"/>
          <w:rtl w:val="true"/>
          <w:lang w:bidi="fa-IR"/>
        </w:rPr>
        <w:t>معنای اصطلاحی قاعده، رابطه تنگاتنگی با معنای لغوی آن دارد، تهانوی در توصیف معنای اصطلاحی قاعده می‌نویسد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امر کلی منطبق علی جمیع جزئیاته عند تصرّف احکامها منه</w:t>
      </w:r>
      <w:r>
        <w:rPr>
          <w:rFonts w:eastAsia="IRNazanin" w:cs="IRNazanin"/>
          <w:color w:val="111111"/>
          <w:sz w:val="28"/>
          <w:szCs w:val="28"/>
          <w:rtl w:val="true"/>
          <w:lang w:bidi="fa-IR"/>
        </w:rPr>
        <w:t>».</w:t>
      </w:r>
      <w:r>
        <w:rPr>
          <w:rStyle w:val="FootnoteAnchor"/>
          <w:rtl w:val="true"/>
        </w:rPr>
        <w:footnoteReference w:id="17"/>
      </w:r>
      <w:bookmarkStart w:id="35" w:name="pg5537_41268"/>
    </w:p>
    <w:p>
      <w:pPr>
        <w:pStyle w:val="BookText"/>
        <w:rPr/>
      </w:pPr>
      <w:bookmarkEnd w:id="35"/>
      <w:r>
        <w:rPr>
          <w:rFonts w:ascii="IRNazanin" w:hAnsi="IRNazanin" w:eastAsia="IRNazanin"/>
          <w:color w:val="111111"/>
          <w:sz w:val="28"/>
          <w:sz w:val="28"/>
          <w:szCs w:val="28"/>
          <w:rtl w:val="true"/>
          <w:lang w:bidi="fa-IR"/>
        </w:rPr>
        <w:t>حضرت استاد تعریف اصطلاحی قاعده را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قضیة کلیة منطبقة علی جمیع جزئیاتها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بنابراین، قاعده قضیه‌ای است کلی که در هنگام شناسایی احکام جزئیات از آن، بر تمامی جزئیات خود منطبق می‌باشد</w:t>
      </w:r>
      <w:r>
        <w:rPr>
          <w:rFonts w:eastAsia="IRNazanin" w:cs="IRNazanin"/>
          <w:color w:val="111111"/>
          <w:sz w:val="28"/>
          <w:szCs w:val="28"/>
          <w:rtl w:val="true"/>
          <w:lang w:bidi="fa-IR"/>
        </w:rPr>
        <w:t>.</w:t>
      </w:r>
    </w:p>
    <w:p>
      <w:pPr>
        <w:pStyle w:val="Heading4"/>
        <w:numPr>
          <w:ilvl w:val="3"/>
          <w:numId w:val="1"/>
        </w:numPr>
        <w:rPr/>
      </w:pPr>
      <w:bookmarkStart w:id="36" w:name="__RefHeading___Toc2472041_581953129"/>
      <w:bookmarkStart w:id="37" w:name="_Toc14"/>
      <w:bookmarkEnd w:id="36"/>
      <w:r>
        <w:rPr/>
        <w:t>3</w:t>
      </w:r>
      <w:r>
        <w:rPr>
          <w:rtl w:val="true"/>
        </w:rPr>
        <w:t xml:space="preserve">- </w:t>
      </w:r>
      <w:r>
        <w:rPr>
          <w:rtl w:val="true"/>
        </w:rPr>
        <w:t>قاعدۀ فقهی</w:t>
      </w:r>
      <w:bookmarkEnd w:id="37"/>
    </w:p>
    <w:p>
      <w:pPr>
        <w:pStyle w:val="BookText"/>
        <w:rPr/>
      </w:pPr>
      <w:r>
        <w:rPr>
          <w:rFonts w:ascii="IRNazanin" w:hAnsi="IRNazanin" w:eastAsia="IRNazanin"/>
          <w:color w:val="111111"/>
          <w:sz w:val="28"/>
          <w:sz w:val="28"/>
          <w:szCs w:val="28"/>
          <w:rtl w:val="true"/>
          <w:lang w:bidi="fa-IR"/>
        </w:rPr>
        <w:t>از آنچه گفته شد، علی القاعده بایستی تعریف قاعدۀ فقهی روشن شود، اما با این وجود بین فقها در تعریف آن، اتفاق نظر وجود ندارد و هر کدام از تعاریف ارائه شده، به یکی از جنبه‌های تمایز قاعده فقهی با سایر قواعد اشاره دارد،</w:t>
      </w:r>
      <w:r>
        <w:rPr>
          <w:rStyle w:val="FootnoteAnchor"/>
          <w:rtl w:val="true"/>
        </w:rPr>
        <w:footnoteReference w:id="19"/>
      </w:r>
      <w:r>
        <w:rPr>
          <w:rFonts w:ascii="IRNazanin" w:hAnsi="IRNazanin" w:eastAsia="IRNazanin"/>
          <w:color w:val="111111"/>
          <w:sz w:val="28"/>
          <w:sz w:val="28"/>
          <w:szCs w:val="28"/>
          <w:rtl w:val="true"/>
          <w:lang w:bidi="fa-IR"/>
        </w:rPr>
        <w:t>که در ذیل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در تعریف قاعده فقهی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قواعد تقع فی طریق استفادة الاحکام الشرعیة الالهیة ولا یکون ذلک من باب الاستنباط والتوسیط بل من باب التطبیق</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برخی نیز آن را چنین تعریف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فقهیة کلیة فی نصوص موجزة دستوریة تتضمن احکاما تشریعیة عامة فی الحوادث التی تدخل تحت موضوعها</w:t>
      </w:r>
      <w:r>
        <w:rPr>
          <w:rFonts w:eastAsia="IRNazanin" w:cs="IRNazanin"/>
          <w:color w:val="111111"/>
          <w:sz w:val="28"/>
          <w:szCs w:val="28"/>
          <w:rtl w:val="true"/>
          <w:lang w:bidi="fa-IR"/>
        </w:rPr>
        <w:t>».</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معاصرین نیز در تعریف قاعدۀ فقهی گفته اند</w:t>
      </w:r>
      <w:r>
        <w:rPr>
          <w:rFonts w:eastAsia="IRNazanin" w:cs="IRNazanin"/>
          <w:color w:val="111111"/>
          <w:sz w:val="28"/>
          <w:szCs w:val="28"/>
          <w:rtl w:val="true"/>
          <w:lang w:bidi="fa-IR"/>
        </w:rPr>
        <w:t>:</w:t>
      </w:r>
      <w:bookmarkStart w:id="38" w:name="pg5537_41269"/>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القواعد الفقهیة هی أحکام عامة فقهیة تجری فی أبواب مختلفة‌موضوعاتها وان کانت أخص من المسائل الأصولیة الا انها أعم من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کالبرازخ بین الأصول والفقه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تعریف علاوه بر اینکه مصادرۀ به مطلوب است، خصوصیتی از قاعدۀ فقهی به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کلی با اندکی مسامحه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فقهی، قانون کلی است که منشأ استنباط و مستند مسائل جزئی‌تر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قاعدۀ فقهی، فرمولی بسیار کلی است که منشأ استنباط احکام محدودتر واقع می‌شود و اختصاص به یک مورد خاص ندارد، بلکه مبنای احکام مختلف و متعدد قرار می‌گیرد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9" w:name="__RefHeading___Toc2472043_581953129"/>
      <w:bookmarkStart w:id="40" w:name="_Toc15"/>
      <w:bookmarkEnd w:id="39"/>
      <w:r>
        <w:rPr>
          <w:rtl w:val="true"/>
        </w:rPr>
        <w:t>پ</w:t>
      </w:r>
      <w:r>
        <w:rPr>
          <w:rtl w:val="true"/>
        </w:rPr>
        <w:t xml:space="preserve">) </w:t>
      </w:r>
      <w:r>
        <w:rPr>
          <w:rtl w:val="true"/>
        </w:rPr>
        <w:t>تفاوت بین قاعدۀ فقهی و اصولی</w:t>
      </w:r>
      <w:bookmarkEnd w:id="40"/>
    </w:p>
    <w:p>
      <w:pPr>
        <w:pStyle w:val="BookText"/>
        <w:rPr/>
      </w:pPr>
      <w:r>
        <w:rPr>
          <w:rFonts w:ascii="IRNazanin" w:hAnsi="IRNazanin" w:eastAsia="IRNazanin"/>
          <w:color w:val="111111"/>
          <w:sz w:val="28"/>
          <w:sz w:val="28"/>
          <w:szCs w:val="28"/>
          <w:rtl w:val="true"/>
          <w:lang w:bidi="fa-IR"/>
        </w:rPr>
        <w:t>روشن است که برای به دست آوردن احکام مسائل جزئی شرعی، هم به قواعد فقهی نیاز است و هم قواعد اصولی، به همین خاطر، این دو دسته از قواعد شباهت بیشتری به یک دیگر دارند، از این رو جداسازی و دریافت نقاط تمایز آن‌ها از اهمیت و دقت ویژه‌ای برخوردار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ظاهر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اصولیه‌اند،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بر اساس چه</w:t>
      </w:r>
    </w:p>
    <w:p>
      <w:pPr>
        <w:pStyle w:val="BookText"/>
        <w:rPr/>
      </w:pPr>
      <w:r>
        <w:rPr>
          <w:rFonts w:ascii="IRNazanin" w:hAnsi="IRNazanin" w:eastAsia="IRNazanin"/>
          <w:color w:val="111111"/>
          <w:sz w:val="28"/>
          <w:sz w:val="28"/>
          <w:szCs w:val="28"/>
          <w:rtl w:val="true"/>
          <w:lang w:bidi="fa-IR"/>
        </w:rPr>
        <w:t>معیاری اولی قاعدۀ اصولی است، اما دومی قاعدۀ فقهی؟</w:t>
      </w:r>
    </w:p>
    <w:p>
      <w:pPr>
        <w:pStyle w:val="BookText"/>
        <w:rPr/>
      </w:pPr>
      <w:r>
        <w:rPr>
          <w:rFonts w:ascii="IRNazanin" w:hAnsi="IRNazanin" w:eastAsia="IRNazanin"/>
          <w:color w:val="111111"/>
          <w:sz w:val="28"/>
          <w:sz w:val="28"/>
          <w:szCs w:val="28"/>
          <w:rtl w:val="true"/>
          <w:lang w:bidi="fa-IR"/>
        </w:rPr>
        <w:t>قواعد نویسان فقه هشت فرق را در اینجا بیان کرده‌اند که در ذیل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قاعده فقهی، میان مجتهد و مقلد مشترک هست ولی تطبیق قاعده اصولی ویژۀ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خصوص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بعض کلمات الشیخ الأعظم</w:t>
      </w:r>
      <w:r>
        <w:rPr>
          <w:rStyle w:val="FootnoteAnchor"/>
          <w:rtl w:val="true"/>
        </w:rPr>
        <w:footnoteReference w:id="24"/>
      </w:r>
      <w:r>
        <w:rPr>
          <w:rFonts w:ascii="IRNazanin" w:hAnsi="IRNazanin" w:eastAsia="IRNazanin"/>
          <w:color w:val="111111"/>
          <w:sz w:val="28"/>
          <w:sz w:val="28"/>
          <w:szCs w:val="28"/>
          <w:rtl w:val="true"/>
          <w:lang w:bidi="fa-IR"/>
        </w:rPr>
        <w:t>وتبعه المحقّق النائینی</w:t>
      </w:r>
      <w:r>
        <w:rPr>
          <w:rStyle w:val="FootnoteAnchor"/>
          <w:rtl w:val="true"/>
        </w:rPr>
        <w:footnoteReference w:id="25"/>
      </w:r>
      <w:r>
        <w:rPr>
          <w:rFonts w:ascii="IRNazanin" w:hAnsi="IRNazanin" w:eastAsia="IRNazanin"/>
          <w:color w:val="111111"/>
          <w:sz w:val="28"/>
          <w:sz w:val="28"/>
          <w:szCs w:val="28"/>
          <w:rtl w:val="true"/>
          <w:lang w:bidi="fa-IR"/>
        </w:rPr>
        <w:t>من ان نتیجة المسألة الأُصولیة نافعة للمجتهد فقط بخلاف القاعدة الفقهیة فإنها نافعة للمقلّد أیضاً وبعبارة اخری اعمال القاعدة الفقهیة مشترک‌بین المجتهد والمقلّد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محقق خوئی رحمه الله</w:t>
      </w:r>
      <w:r>
        <w:rPr>
          <w:rStyle w:val="FootnoteAnchor"/>
          <w:rtl w:val="true"/>
        </w:rPr>
        <w:footnoteReference w:id="27"/>
      </w:r>
      <w:r>
        <w:rPr>
          <w:rFonts w:ascii="IRNazanin" w:hAnsi="IRNazanin" w:eastAsia="IRNazanin"/>
          <w:color w:val="111111"/>
          <w:sz w:val="28"/>
          <w:sz w:val="28"/>
          <w:szCs w:val="28"/>
          <w:rtl w:val="true"/>
          <w:lang w:bidi="fa-IR"/>
        </w:rPr>
        <w:t>و به تبع ایشان برخی از معاصرین</w:t>
      </w:r>
      <w:r>
        <w:rPr>
          <w:rStyle w:val="FootnoteAnchor"/>
          <w:rtl w:val="true"/>
        </w:rPr>
        <w:footnoteReference w:id="28"/>
      </w:r>
      <w:r>
        <w:rPr>
          <w:rFonts w:ascii="IRNazanin" w:hAnsi="IRNazanin" w:eastAsia="IRNazanin"/>
          <w:color w:val="111111"/>
          <w:sz w:val="28"/>
          <w:sz w:val="28"/>
          <w:szCs w:val="28"/>
          <w:rtl w:val="true"/>
          <w:lang w:bidi="fa-IR"/>
        </w:rPr>
        <w:t>بر این تفاوت ایراد نموده و گفته‌اند چنین فرقی صحیح نیست، زیرا همان گونه که مسئله اصولیه ویژۀ مجتهد است، بسیاری از قواعد فقهیه نیز اختصاص به مجتهد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فقهیه است، و حال آنکه مقلد و غیر مجتهد نمی‌تواند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مقلّد اصلاً نمی‌داند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بعضی از قواعد فقهیه اعم باشد مانند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بسیاری از قواعد فقهیه مختص به مجتهدین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این اشکال را قبول نداشته و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ورود الإشکال؛ لأن المقصود من کون النتیجة نافعة للمقلّد، انه قادر علی التطبیق ومعنی هذا ان المقلّد بعد السؤال والفحص عن ان البیع من العقود الّتی یکون فی صحیحها الضمان، یقدر علی تطبیق القاعدة ویحکم بان فی فاسدها أیضاً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انه قدّس سرّه یعتقد بان القواعد الفقهیة من باب تطبیق المضامین ومن الواضح ان التطبیق غیر مختص بالمجتهد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مستقیما به عمل مکلف تعلق می‌گیرد بر خلاف قاعدۀ اصولی که تعلق آن به فعل مکلف با واسطه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 دیگر سخن، نتیجه مسائل اصولیه، کلی است، بر خلاف قواعد فقهیه که نتیجه اش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برائت شامل همه جا می‌گردد، اما قواعد فقهیه موضعی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این مطلب را از قول مرحوم محقق نائینی رحمه الله چنین تبیین نموده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القواعد الأُصولیة متضمنة للأحکام الکلیة الّتی لا ربط لها بالعمل بلا واسطة؛ بخلاف القاعدة الفقهیة فإنها وإن کانت قد تکون متضمنة للحکم الکلی الّا انها تصلح لاستفادة الأحکام الجزئیة منها فی الموارد الجزئیة فمثلًا قاعدة ما یضمن تکون صالحة لاستفادة الضمان منها فی البیع الشخصی المعین الفاسد وبعبارة اخری ان الفرق بینهما من باب</w:t>
      </w:r>
    </w:p>
    <w:p>
      <w:pPr>
        <w:pStyle w:val="BookText"/>
        <w:rPr/>
      </w:pPr>
      <w:r>
        <w:rPr>
          <w:rFonts w:ascii="IRNazanin" w:hAnsi="IRNazanin" w:eastAsia="IRNazanin"/>
          <w:color w:val="111111"/>
          <w:sz w:val="28"/>
          <w:sz w:val="28"/>
          <w:szCs w:val="28"/>
          <w:rtl w:val="true"/>
          <w:lang w:bidi="fa-IR"/>
        </w:rPr>
        <w:t>الفرق بین الکلیة بمعنی عدم التعلق بالعمل بلا واسطة والجزئیة بمعنی التعلق بالعمل بلا واسطة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سپس بر صحت چنین تفاوتی اشکال نموده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بیان الفرق بین القاعدة الأُصولیة والفقهیة وما ذکره من الجزئیة شامل للمسألة الفقهیة أیضاً وبعبارة اخری لسنا فی مقام الفرق بین القاعدة الأُصولیة والفقهیة فقط بل فی مقام الملاک لکون القاعدة فقهیة وما ذکره جار فی المسألة الفقهیة مع انها لیست بقاعدة فقهیة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تفسیر الکلیة والجزئیة بالمعنی الّذی ذکر علی خلاف ما هو الظاهر منهما مضافاً إلی ان بعض المسائل الأُصولیة قد تکون صالحاً للأحکام الجزئیة کالاستصحاب فتأمّل</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سوم از مرحوم محقق خوئی در نحوۀ استعمال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گفته می‌شود؛ استفاده از قاعده فقهی به نحو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کلی بر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قاعده اصولی به صورت واسطه‌ای و استنباطی بکار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الخوئی قدس سره</w:t>
      </w:r>
      <w:r>
        <w:rPr>
          <w:rStyle w:val="FootnoteAnchor"/>
          <w:rtl w:val="true"/>
        </w:rPr>
        <w:footnoteReference w:id="35"/>
      </w:r>
      <w:r>
        <w:rPr>
          <w:rFonts w:ascii="IRNazanin" w:hAnsi="IRNazanin" w:eastAsia="IRNazanin"/>
          <w:color w:val="111111"/>
          <w:sz w:val="28"/>
          <w:sz w:val="28"/>
          <w:szCs w:val="28"/>
          <w:rtl w:val="true"/>
          <w:lang w:bidi="fa-IR"/>
        </w:rPr>
        <w:t>من ان استفادة الأحکام الشرعیة من المسألة الأُصولیة یکون علی نحو التوسیط والاستنباط بخلاف القاعدة الفقهیة فإن الأحکام الشرعیة تستفاد منها علی نحو التطبیق‌ای تطبیق الکلی علی الجزئی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درستی چنین تفاوتی با دو ایراد از سوی مرحوم شهید صدر قدس سره و به تبع ایشان حضرت استاد مواجه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وأشکل علیه الشهید الصدر قدس سره</w:t>
      </w:r>
      <w:r>
        <w:rPr>
          <w:rStyle w:val="FootnoteAnchor"/>
          <w:rtl w:val="true"/>
        </w:rPr>
        <w:footnoteReference w:id="37"/>
      </w:r>
      <w:r>
        <w:rPr>
          <w:rFonts w:ascii="IRNazanin" w:hAnsi="IRNazanin" w:eastAsia="IRNazanin"/>
          <w:color w:val="111111"/>
          <w:sz w:val="28"/>
          <w:sz w:val="28"/>
          <w:szCs w:val="28"/>
          <w:rtl w:val="true"/>
          <w:lang w:bidi="fa-IR"/>
        </w:rPr>
        <w:t>بإشکالین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الاستنباط موجودة فی بعض القواعد الفقهیة‌لا تختص بالقواعد الأُصولیة ولم یذکر قدّس سرّه له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ملاک الفرق بینهما من هذه الجهة للزم ان یکون الخلاف بینهما ناشئاً من اختلاف کیفیة طرح البحث فی قاعدة فمثلًا قاعدة ان النهی عن الشیء هل یقتضی الفساد لو طرحت بعنوان البحث عن الاقتضاء لکان البطلان مستنبطاً من الاقتضاء وأمّا لو صیغت بأنه هل العبادة المنهی عنها باطلة أم لا فتأتی مسئلة التطبیق، فهذا الإیراد یدلّنا علی ان الفرق الجوهری بینهما شیء آخر والاستنباط والتطبیق یکونان من آثاره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ان هذا الوجه أیضاً غیر تام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چهارمی که در کلمات مرحوم عراقی قدس سره</w:t>
      </w:r>
      <w:r>
        <w:rPr>
          <w:rStyle w:val="FootnoteAnchor"/>
          <w:rtl w:val="true"/>
        </w:rPr>
        <w:footnoteReference w:id="40"/>
      </w:r>
      <w:r>
        <w:rPr>
          <w:rFonts w:ascii="IRNazanin" w:hAnsi="IRNazanin" w:eastAsia="IRNazanin"/>
          <w:color w:val="111111"/>
          <w:sz w:val="28"/>
          <w:sz w:val="28"/>
          <w:szCs w:val="28"/>
          <w:rtl w:val="true"/>
          <w:lang w:bidi="fa-IR"/>
        </w:rPr>
        <w:t xml:space="preserve">دیده می‌شود، این است که قاعدۀ اصولیه در تمام ابواب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طهارت تا آخر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 کارایی دارد، اما قاعده فقهیه مختص به یک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مختص باب صلاه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قاعدۀ اصولی گسترده است، در حالی که قاعده فقهیه گستردگی ندارد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حضرت استاد این فرق را نیز نپذیرفته و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القواعد الفقهیة مرتبط بجمیع أبواب الفقه فمثلاً قاعدة ان علل الشرع معرفات بناء علی کونها قاعدة فقهیة وأیضاً قاعدة لا ضرر تجری فی العبادات والمعاملات والعقود والإیقاعات نعم بعض القواعد الفقهیة مختص بباب واحد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پنجم که در کلمات مرحوم امام قدس سره</w:t>
      </w:r>
      <w:r>
        <w:rPr>
          <w:rStyle w:val="FootnoteAnchor"/>
          <w:rtl w:val="true"/>
        </w:rPr>
        <w:footnoteReference w:id="44"/>
      </w:r>
      <w:r>
        <w:rPr>
          <w:rFonts w:ascii="IRNazanin" w:hAnsi="IRNazanin" w:eastAsia="IRNazanin"/>
          <w:color w:val="111111"/>
          <w:sz w:val="28"/>
          <w:sz w:val="28"/>
          <w:szCs w:val="28"/>
          <w:rtl w:val="true"/>
          <w:lang w:bidi="fa-IR"/>
        </w:rPr>
        <w:t>و برخی محققین</w:t>
      </w:r>
      <w:r>
        <w:rPr>
          <w:rStyle w:val="FootnoteAnchor"/>
          <w:rtl w:val="true"/>
        </w:rPr>
        <w:footnoteReference w:id="45"/>
      </w:r>
      <w:r>
        <w:rPr>
          <w:rFonts w:ascii="IRNazanin" w:hAnsi="IRNazanin" w:eastAsia="IRNazanin"/>
          <w:color w:val="111111"/>
          <w:sz w:val="28"/>
          <w:sz w:val="28"/>
          <w:szCs w:val="28"/>
          <w:rtl w:val="true"/>
          <w:lang w:bidi="fa-IR"/>
        </w:rPr>
        <w:t>آمده، این است که قاعده فقهی، استقلالی است در حالی که قاعده اصولی آلی بوده و ابزاری برای استنباط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قواعد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قواعد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دو تعبیر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این مطلب را چنین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کلمات السید المحقّق الإمام الخمینی قدس سره من ان القواعد الأُصولیة آلیة بخلاف القاعدة الفقهیة فإنها استقلالیة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سپس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الفرق متین جدّاً ولکن لا یستفاد منه الملاک فی کون القاعدة فقهیة فتأمّل</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در قواعد اصولی متوقف بر قواعد فقهی نیست، اما نتیجه گیری در قواعد فقهی، معمولاً متوقف بر قاعده‌های اصولی می‌باشد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تفاوت در کلمات</w:t>
      </w:r>
    </w:p>
    <w:p>
      <w:pPr>
        <w:pStyle w:val="BookText"/>
        <w:rPr/>
      </w:pPr>
      <w:r>
        <w:rPr>
          <w:rFonts w:ascii="IRNazanin" w:hAnsi="IRNazanin" w:eastAsia="IRNazanin"/>
          <w:color w:val="111111"/>
          <w:sz w:val="28"/>
          <w:sz w:val="28"/>
          <w:szCs w:val="28"/>
          <w:rtl w:val="true"/>
          <w:lang w:bidi="fa-IR"/>
        </w:rPr>
        <w:t>محقق حکیم قدس سره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هدف قاعده اصولی بیان شیوه‌های اجتهاد و استنباط است اما هدف قاعده فقهی بیان حکم حوادث جزئی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معاصرین تفاوت دیگری نیز قائلند که به ملاک تمایز علوم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علوم به محمولات است،</w:t>
      </w:r>
      <w:r>
        <w:rPr>
          <w:rStyle w:val="FootnoteAnchor"/>
          <w:rtl w:val="true"/>
        </w:rPr>
        <w:footnoteReference w:id="52"/>
      </w:r>
      <w:r>
        <w:rPr>
          <w:rFonts w:ascii="IRNazanin" w:hAnsi="IRNazanin" w:eastAsia="IRNazanin"/>
          <w:color w:val="111111"/>
          <w:sz w:val="28"/>
          <w:sz w:val="28"/>
          <w:szCs w:val="28"/>
          <w:rtl w:val="true"/>
          <w:lang w:bidi="fa-IR"/>
        </w:rPr>
        <w:t>بر خلاف آنچه معروف است که تمایز علوم به موضوعات است، ما معتقدیم تمایز علوم به محمول هایی است که متصف به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یک جدولی را تهیه کند، در یک جدول، مسائل اصولی را بیاورد، در جدول دیگر قواعد فقهیه را بیاورد، قهراً در می‌یابد که فرق اینها با توجه به محمولات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قواعد اصولی، محمول،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درتمام مسائل اصولی محمول لبّاً حجیت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ظاهراً حجیت نیست، ولی لبّاً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الأمر یدل علی الوجوب أو لا؟ این لبّاً به حجیت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قواعد فقهیه، محمول؛ یا احکام تکلیفیه خمسه است یا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الصوم واجب، و احکام وضعیه مانند ضمان و عدم ضمان، صحت و عدم صحت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در تمام قواعد فقهیه، بحث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احکام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الفرق بین القواعد الأصولیه و القواعد الفقهیة، بالمحمولات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bookmarkStart w:id="41" w:name="pg5537_41277"/>
    </w:p>
    <w:p>
      <w:pPr>
        <w:pStyle w:val="BookText"/>
        <w:rPr/>
      </w:pPr>
      <w:bookmarkEnd w:id="41"/>
      <w:r>
        <w:rPr>
          <w:rFonts w:ascii="IRNazanin" w:hAnsi="IRNazanin" w:eastAsia="IRNazanin"/>
          <w:color w:val="111111"/>
          <w:sz w:val="28"/>
          <w:sz w:val="28"/>
          <w:szCs w:val="28"/>
          <w:rtl w:val="true"/>
          <w:lang w:bidi="fa-IR"/>
        </w:rPr>
        <w:t>به نظر می‌رسد این تفاوت نیز به نوعی عبارت اخرای تفاوت سوم از مرحوم محقق خوئی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قواعد اصولی که وفق این تعبیر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می‌باشند، به نوعی نقش واسطه را برای فقه دارند</w:t>
      </w:r>
      <w:r>
        <w:rPr>
          <w:rFonts w:eastAsia="IRNazanin" w:cs="IRNazanin"/>
          <w:color w:val="111111"/>
          <w:sz w:val="28"/>
          <w:szCs w:val="28"/>
          <w:rtl w:val="true"/>
          <w:lang w:bidi="fa-IR"/>
        </w:rPr>
        <w:t>.</w:t>
      </w:r>
    </w:p>
    <w:p>
      <w:pPr>
        <w:pStyle w:val="Heading3"/>
        <w:numPr>
          <w:ilvl w:val="2"/>
          <w:numId w:val="1"/>
        </w:numPr>
        <w:rPr/>
      </w:pPr>
      <w:bookmarkStart w:id="42" w:name="__RefHeading___Toc2472045_581953129"/>
      <w:bookmarkStart w:id="43" w:name="_Toc16"/>
      <w:bookmarkEnd w:id="42"/>
      <w:r>
        <w:rPr>
          <w:rtl w:val="true"/>
        </w:rPr>
        <w:t>ت</w:t>
      </w:r>
      <w:r>
        <w:rPr>
          <w:rtl w:val="true"/>
        </w:rPr>
        <w:t xml:space="preserve">) </w:t>
      </w:r>
      <w:r>
        <w:rPr>
          <w:rtl w:val="true"/>
        </w:rPr>
        <w:t>تاریخچه قواعد فقهیه</w:t>
      </w:r>
      <w:bookmarkEnd w:id="43"/>
    </w:p>
    <w:p>
      <w:pPr>
        <w:pStyle w:val="Heading4"/>
        <w:numPr>
          <w:ilvl w:val="3"/>
          <w:numId w:val="1"/>
        </w:numPr>
        <w:rPr/>
      </w:pPr>
      <w:bookmarkStart w:id="44" w:name="__RefHeading___Toc2472047_58195312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قبل از پرداختن به تاریخچۀ قواعد فقهی و تدوین و نگارش آن در طول تاریخ اسلام باید توجه داشت که قواعد فقهی سه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نخست، قواعدی هستند که به طور کامل از کتاب و سنت گرفته شده‌اند، مانند قاعده لا ضرر، قاعدۀ ید، و قاعدۀ تسلیط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دسته‌ای از قواعد می‌باشند که هر چند در کتاب و سنت بالخصوص ذکر نشده‌اند یا به تعبیر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اما مستند به نصوص شرعی یا دیگر ادلۀ فقهی هستند، مانند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قواعد فقهیه‌ای هستند که فقهاء با ملاحطۀ موارد متعدد و اتخاذ وحدت ملاک آنها را 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قواعد در فقه عامه بسیار مرسوم است و اغلب،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امامیه نیز از همان آغاز با الهام از سنت حضرات معصومین علیهم السلام</w:t>
      </w:r>
      <w:r>
        <w:rPr>
          <w:rStyle w:val="FootnoteAnchor"/>
          <w:rtl w:val="true"/>
        </w:rPr>
        <w:footnoteReference w:id="55"/>
      </w:r>
      <w:r>
        <w:rPr>
          <w:rFonts w:ascii="IRNazanin" w:hAnsi="IRNazanin" w:eastAsia="IRNazanin"/>
          <w:color w:val="111111"/>
          <w:sz w:val="28"/>
          <w:sz w:val="28"/>
          <w:szCs w:val="28"/>
          <w:rtl w:val="true"/>
          <w:lang w:bidi="fa-IR"/>
        </w:rPr>
        <w:t>در معرفی قواعد و اصول کلی فقهی به وسیلۀ استخراج ملاک و یافتن موازین و اصول مهم و معرفی آنها کوشش کرده‌اند و در تدوین قواعد فقهی سهم عمده‌ای داشته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نوعاً روش متقدمین از فقهای شیعه این بوده است که بحث از قواعد فقهی را در لابلای مباحث و مسائل فقهی مطرح نمایند و ظاهراً تا قرن هفتم کتاب مستقلی</w:t>
      </w:r>
      <w:bookmarkStart w:id="46" w:name="pg5537_41278"/>
    </w:p>
    <w:p>
      <w:pPr>
        <w:pStyle w:val="BookText"/>
        <w:rPr/>
      </w:pPr>
      <w:bookmarkEnd w:id="46"/>
      <w:r>
        <w:rPr>
          <w:rFonts w:ascii="IRNazanin" w:hAnsi="IRNazanin" w:eastAsia="IRNazanin"/>
          <w:color w:val="111111"/>
          <w:sz w:val="28"/>
          <w:sz w:val="28"/>
          <w:szCs w:val="28"/>
          <w:rtl w:val="true"/>
          <w:lang w:bidi="fa-IR"/>
        </w:rPr>
        <w:t>پیرامون قواعد فقهیه توسط فقهای امامیه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مختصراً به تاریخچۀ کتب قواعد فقهی و مولفان آنها پرداخته می‌شود</w:t>
      </w:r>
      <w:r>
        <w:rPr>
          <w:rFonts w:eastAsia="IRNazanin" w:cs="IRNazanin"/>
          <w:color w:val="111111"/>
          <w:sz w:val="28"/>
          <w:szCs w:val="28"/>
          <w:rtl w:val="true"/>
          <w:lang w:bidi="fa-IR"/>
        </w:rPr>
        <w:t>:</w:t>
      </w:r>
    </w:p>
    <w:p>
      <w:pPr>
        <w:pStyle w:val="Heading4"/>
        <w:numPr>
          <w:ilvl w:val="3"/>
          <w:numId w:val="1"/>
        </w:numPr>
        <w:rPr/>
      </w:pPr>
      <w:bookmarkStart w:id="47" w:name="__RefHeading___Toc2472049_581953129"/>
      <w:bookmarkStart w:id="48" w:name="_Toc18"/>
      <w:bookmarkEnd w:id="47"/>
      <w:r>
        <w:rPr/>
        <w:t>1</w:t>
      </w:r>
      <w:r>
        <w:rPr>
          <w:rtl w:val="true"/>
        </w:rPr>
        <w:t xml:space="preserve">- </w:t>
      </w:r>
      <w:r>
        <w:rPr>
          <w:rtl w:val="true"/>
        </w:rPr>
        <w:t xml:space="preserve">شهید اول </w:t>
      </w:r>
      <w:r>
        <w:rPr>
          <w:rtl w:val="true"/>
        </w:rPr>
        <w:t xml:space="preserve">( </w:t>
      </w:r>
      <w:r>
        <w:rPr/>
        <w:t>786</w:t>
      </w:r>
      <w:r>
        <w:rPr>
          <w:rtl w:val="true"/>
        </w:rPr>
        <w:t>-</w:t>
      </w:r>
      <w:r>
        <w:rPr/>
        <w:t>734</w:t>
      </w:r>
      <w:r>
        <w:rPr>
          <w:rtl w:val="true"/>
        </w:rPr>
        <w:t xml:space="preserve"> </w:t>
      </w:r>
      <w:r>
        <w:rPr>
          <w:rtl w:val="true"/>
        </w:rPr>
        <w:t>ق</w:t>
      </w:r>
      <w:r>
        <w:rPr>
          <w:rtl w:val="true"/>
        </w:rPr>
        <w:t>)</w:t>
      </w:r>
      <w:bookmarkEnd w:id="48"/>
    </w:p>
    <w:p>
      <w:pPr>
        <w:pStyle w:val="BookText"/>
        <w:rPr/>
      </w:pPr>
      <w:r>
        <w:rPr>
          <w:rFonts w:ascii="IRNazanin" w:hAnsi="IRNazanin" w:eastAsia="IRNazanin"/>
          <w:color w:val="111111"/>
          <w:sz w:val="28"/>
          <w:sz w:val="28"/>
          <w:szCs w:val="28"/>
          <w:rtl w:val="true"/>
          <w:lang w:bidi="fa-IR"/>
        </w:rPr>
        <w:t xml:space="preserve">نخستین کتابی که تحت عنوان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است و بخش عمده‌ای از آن به بیان قواعد فقه اختصاص دارد،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مشتمل بر سیصد و سی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یکصد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نامدار این کتاب بی‌مانندی اثرش را در میان مذهب امامیه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رحمه الله در اجازۀ خود به ابن خازن، کتابش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صنّفته کتاب القواعد والفوائد فی الفقه مختصر یشتمل علی ضوابط کلیّة اصولیّة وفرعیّة تستنبط منها أحکام شّرعیة لم یعمل للأصحاب مثله</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49" w:name="__RefHeading___Toc2472051_581953129"/>
      <w:bookmarkStart w:id="50" w:name="_Toc19"/>
      <w:bookmarkEnd w:id="49"/>
      <w:r>
        <w:rPr/>
        <w:t>2</w:t>
      </w:r>
      <w:r>
        <w:rPr>
          <w:rtl w:val="true"/>
        </w:rPr>
        <w:t xml:space="preserve">- </w:t>
      </w:r>
      <w:r>
        <w:rPr>
          <w:rtl w:val="true"/>
        </w:rPr>
        <w:t xml:space="preserve">فاضل مقداد </w:t>
      </w:r>
      <w:r>
        <w:rPr>
          <w:rtl w:val="true"/>
        </w:rPr>
        <w:t>(</w:t>
      </w:r>
      <w:r>
        <w:rPr>
          <w:rtl w:val="true"/>
        </w:rPr>
        <w:t xml:space="preserve">متوفای </w:t>
      </w:r>
      <w:r>
        <w:rPr/>
        <w:t>826</w:t>
      </w:r>
      <w:r>
        <w:rPr>
          <w:rtl w:val="true"/>
        </w:rPr>
        <w:t xml:space="preserve"> </w:t>
      </w:r>
      <w:r>
        <w:rPr>
          <w:rtl w:val="true"/>
        </w:rPr>
        <w:t>ق</w:t>
      </w:r>
      <w:r>
        <w:rPr>
          <w:rtl w:val="true"/>
        </w:rPr>
        <w:t>)</w:t>
      </w:r>
      <w:bookmarkEnd w:id="50"/>
    </w:p>
    <w:p>
      <w:pPr>
        <w:pStyle w:val="BookText"/>
        <w:rPr/>
      </w:pPr>
      <w:r>
        <w:rPr>
          <w:rFonts w:ascii="IRNazanin" w:hAnsi="IRNazanin" w:eastAsia="IRNazanin"/>
          <w:color w:val="111111"/>
          <w:sz w:val="28"/>
          <w:sz w:val="28"/>
          <w:szCs w:val="28"/>
          <w:rtl w:val="true"/>
          <w:lang w:bidi="fa-IR"/>
        </w:rPr>
        <w:t>بعد از شهید اول رحمه الله، شاگرد بزرگوارش فاضل مقداد رحمه الله، کتاب شهید را تنضید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کاستی کتاب شهید این است که قواعد فقهی را از قواعد عربی جدا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فاضل مقداد رحمه الله، کتاب مزبور را به ترتیب فروع فقهی مرتب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 الفقهیة علی مذهب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در حقیقت تنضید شدۀ کتاب مرحوم شهید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قواعد فقهیه را یکجا آورده، و قواعد ادبی را که می‌تواند مبدأ استدلال باشد در فصل دیگر مطرح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فاضل مقداد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کتاب شهید رحمه الله نیفزوده است</w:t>
      </w:r>
      <w:r>
        <w:rPr>
          <w:rFonts w:eastAsia="IRNazanin" w:cs="IRNazanin"/>
          <w:color w:val="111111"/>
          <w:sz w:val="28"/>
          <w:szCs w:val="28"/>
          <w:rtl w:val="true"/>
          <w:lang w:bidi="fa-IR"/>
        </w:rPr>
        <w:t>.</w:t>
      </w:r>
      <w:bookmarkStart w:id="51" w:name="pg5537_41279"/>
    </w:p>
    <w:p>
      <w:pPr>
        <w:pStyle w:val="Heading4"/>
        <w:numPr>
          <w:ilvl w:val="3"/>
          <w:numId w:val="1"/>
        </w:numPr>
        <w:rPr/>
      </w:pPr>
      <w:bookmarkStart w:id="52" w:name="__RefHeading___Toc2472053_581953129"/>
      <w:bookmarkStart w:id="53" w:name="_Toc20"/>
      <w:bookmarkEnd w:id="51"/>
      <w:bookmarkEnd w:id="52"/>
      <w:r>
        <w:rPr/>
        <w:t>3</w:t>
      </w:r>
      <w:r>
        <w:rPr>
          <w:rtl w:val="true"/>
        </w:rPr>
        <w:t xml:space="preserve">- </w:t>
      </w:r>
      <w:r>
        <w:rPr>
          <w:rtl w:val="true"/>
        </w:rPr>
        <w:t xml:space="preserve">شهید ثانی </w:t>
      </w:r>
      <w:r>
        <w:rPr>
          <w:rtl w:val="true"/>
        </w:rPr>
        <w:t xml:space="preserve">( </w:t>
      </w:r>
      <w:r>
        <w:rPr/>
        <w:t>966</w:t>
      </w:r>
      <w:r>
        <w:rPr>
          <w:rtl w:val="true"/>
        </w:rPr>
        <w:t>-</w:t>
      </w:r>
      <w:r>
        <w:rPr/>
        <w:t>911</w:t>
      </w:r>
      <w:r>
        <w:rPr>
          <w:rtl w:val="true"/>
        </w:rPr>
        <w:t xml:space="preserve"> </w:t>
      </w:r>
      <w:r>
        <w:rPr>
          <w:rtl w:val="true"/>
        </w:rPr>
        <w:t>ق</w:t>
      </w:r>
      <w:r>
        <w:rPr>
          <w:rtl w:val="true"/>
        </w:rPr>
        <w:t>)</w:t>
      </w:r>
      <w:bookmarkEnd w:id="53"/>
    </w:p>
    <w:p>
      <w:pPr>
        <w:pStyle w:val="BookText"/>
        <w:rPr/>
      </w:pPr>
      <w:r>
        <w:rPr>
          <w:rFonts w:ascii="IRNazanin" w:hAnsi="IRNazanin" w:eastAsia="IRNazanin"/>
          <w:color w:val="111111"/>
          <w:sz w:val="28"/>
          <w:sz w:val="28"/>
          <w:szCs w:val="28"/>
          <w:rtl w:val="true"/>
          <w:lang w:bidi="fa-IR"/>
        </w:rPr>
        <w:t>سومین فقیهی که در قواعد فقهیه کتاب نوشته، شهید ثانی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الأصولیة و العربیة لتفریع فوائد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نیز به نوعی تحریر کتاب شهید اول می‌باشد</w:t>
      </w:r>
      <w:r>
        <w:rPr>
          <w:rFonts w:eastAsia="IRNazanin" w:cs="IRNazanin"/>
          <w:color w:val="111111"/>
          <w:sz w:val="28"/>
          <w:szCs w:val="28"/>
          <w:rtl w:val="true"/>
          <w:lang w:bidi="fa-IR"/>
        </w:rPr>
        <w:t>.</w:t>
      </w:r>
    </w:p>
    <w:p>
      <w:pPr>
        <w:pStyle w:val="Heading4"/>
        <w:numPr>
          <w:ilvl w:val="3"/>
          <w:numId w:val="1"/>
        </w:numPr>
        <w:rPr/>
      </w:pPr>
      <w:bookmarkStart w:id="54" w:name="__RefHeading___Toc2472055_581953129"/>
      <w:bookmarkStart w:id="55" w:name="_Toc21"/>
      <w:bookmarkEnd w:id="54"/>
      <w:r>
        <w:rPr/>
        <w:t>4</w:t>
      </w:r>
      <w:r>
        <w:rPr>
          <w:rtl w:val="true"/>
        </w:rPr>
        <w:t xml:space="preserve">- </w:t>
      </w:r>
      <w:r>
        <w:rPr>
          <w:rtl w:val="true"/>
        </w:rPr>
        <w:t xml:space="preserve">شیخ جعفر کاشف الغطاء </w:t>
      </w:r>
      <w:r>
        <w:rPr>
          <w:rtl w:val="true"/>
        </w:rPr>
        <w:t>(</w:t>
      </w:r>
      <w:r>
        <w:rPr>
          <w:rtl w:val="true"/>
        </w:rPr>
        <w:t xml:space="preserve">متوفای </w:t>
      </w:r>
      <w:r>
        <w:rPr/>
        <w:t>1227</w:t>
      </w:r>
      <w:r>
        <w:rPr>
          <w:rtl w:val="true"/>
        </w:rPr>
        <w:t xml:space="preserve"> </w:t>
      </w:r>
      <w:r>
        <w:rPr>
          <w:rtl w:val="true"/>
        </w:rPr>
        <w:t>ق</w:t>
      </w:r>
      <w:r>
        <w:rPr>
          <w:rtl w:val="true"/>
        </w:rPr>
        <w:t>)</w:t>
      </w:r>
      <w:bookmarkEnd w:id="55"/>
    </w:p>
    <w:p>
      <w:pPr>
        <w:pStyle w:val="BookText"/>
        <w:rPr/>
      </w:pPr>
      <w:r>
        <w:rPr>
          <w:rFonts w:ascii="IRNazanin" w:hAnsi="IRNazanin" w:eastAsia="IRNazanin"/>
          <w:color w:val="111111"/>
          <w:sz w:val="28"/>
          <w:sz w:val="28"/>
          <w:szCs w:val="28"/>
          <w:rtl w:val="true"/>
          <w:lang w:bidi="fa-IR"/>
        </w:rPr>
        <w:t>چهارمین شخصیتی که در زمینۀ قواعد فقهیه دارای تألیف است، مرحوم شیخ جعفر کاشف الغطاء رحمه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کتابی در قواعد فقهیه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شانزده قاعده را در آن بحث نموده است</w:t>
      </w:r>
      <w:r>
        <w:rPr>
          <w:rFonts w:eastAsia="IRNazanin" w:cs="IRNazanin"/>
          <w:color w:val="111111"/>
          <w:sz w:val="28"/>
          <w:szCs w:val="28"/>
          <w:rtl w:val="true"/>
          <w:lang w:bidi="fa-IR"/>
        </w:rPr>
        <w:t>.</w:t>
      </w:r>
    </w:p>
    <w:p>
      <w:pPr>
        <w:pStyle w:val="Heading4"/>
        <w:numPr>
          <w:ilvl w:val="3"/>
          <w:numId w:val="1"/>
        </w:numPr>
        <w:rPr/>
      </w:pPr>
      <w:bookmarkStart w:id="56" w:name="__RefHeading___Toc2472057_581953129"/>
      <w:bookmarkStart w:id="57" w:name="_Toc22"/>
      <w:bookmarkEnd w:id="56"/>
      <w:r>
        <w:rPr/>
        <w:t>5</w:t>
      </w:r>
      <w:r>
        <w:rPr>
          <w:rtl w:val="true"/>
        </w:rPr>
        <w:t xml:space="preserve">- </w:t>
      </w:r>
      <w:r>
        <w:rPr>
          <w:rtl w:val="true"/>
        </w:rPr>
        <w:t xml:space="preserve">سید عبداللّه شبّر </w:t>
      </w:r>
      <w:r>
        <w:rPr>
          <w:rtl w:val="true"/>
        </w:rPr>
        <w:t>(</w:t>
      </w:r>
      <w:r>
        <w:rPr>
          <w:rtl w:val="true"/>
        </w:rPr>
        <w:t xml:space="preserve">متوفای </w:t>
      </w:r>
      <w:r>
        <w:rPr/>
        <w:t>1241</w:t>
      </w:r>
      <w:r>
        <w:rPr>
          <w:rtl w:val="true"/>
        </w:rPr>
        <w:t xml:space="preserve"> </w:t>
      </w:r>
      <w:r>
        <w:rPr>
          <w:rtl w:val="true"/>
        </w:rPr>
        <w:t>ق</w:t>
      </w:r>
      <w:r>
        <w:rPr>
          <w:rtl w:val="true"/>
        </w:rPr>
        <w:t>)</w:t>
      </w:r>
      <w:bookmarkEnd w:id="57"/>
    </w:p>
    <w:p>
      <w:pPr>
        <w:pStyle w:val="BookText"/>
        <w:rPr/>
      </w:pPr>
      <w:r>
        <w:rPr>
          <w:rFonts w:ascii="IRNazanin" w:hAnsi="IRNazanin" w:eastAsia="IRNazanin"/>
          <w:color w:val="111111"/>
          <w:sz w:val="28"/>
          <w:sz w:val="28"/>
          <w:szCs w:val="28"/>
          <w:rtl w:val="true"/>
          <w:lang w:bidi="fa-IR"/>
        </w:rPr>
        <w:t xml:space="preserve">مرحوم شبّر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معروف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پنجمین فقیهی است که در موضوع قواعد فقهیه دست به تألیف 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الأصلیة و القواعد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4"/>
        <w:numPr>
          <w:ilvl w:val="3"/>
          <w:numId w:val="1"/>
        </w:numPr>
        <w:rPr/>
      </w:pPr>
      <w:bookmarkStart w:id="58" w:name="__RefHeading___Toc2472059_581953129"/>
      <w:bookmarkStart w:id="59" w:name="_Toc23"/>
      <w:bookmarkEnd w:id="58"/>
      <w:r>
        <w:rPr/>
        <w:t>6</w:t>
      </w:r>
      <w:r>
        <w:rPr>
          <w:rtl w:val="true"/>
        </w:rPr>
        <w:t xml:space="preserve">- </w:t>
      </w:r>
      <w:r>
        <w:rPr>
          <w:rtl w:val="true"/>
        </w:rPr>
        <w:t xml:space="preserve">ملا احمد نراقی </w:t>
      </w:r>
      <w:r>
        <w:rPr>
          <w:rtl w:val="true"/>
        </w:rPr>
        <w:t>(</w:t>
      </w:r>
      <w:r>
        <w:rPr>
          <w:rtl w:val="true"/>
        </w:rPr>
        <w:t xml:space="preserve">متوفای </w:t>
      </w:r>
      <w:r>
        <w:rPr/>
        <w:t>1245</w:t>
      </w:r>
      <w:r>
        <w:rPr>
          <w:rtl w:val="true"/>
        </w:rPr>
        <w:t xml:space="preserve"> </w:t>
      </w:r>
      <w:r>
        <w:rPr>
          <w:rtl w:val="true"/>
        </w:rPr>
        <w:t>ق</w:t>
      </w:r>
      <w:r>
        <w:rPr>
          <w:rtl w:val="true"/>
        </w:rPr>
        <w:t>)</w:t>
      </w:r>
      <w:bookmarkEnd w:id="59"/>
    </w:p>
    <w:p>
      <w:pPr>
        <w:pStyle w:val="BookText"/>
        <w:rPr/>
      </w:pPr>
      <w:r>
        <w:rPr>
          <w:rFonts w:ascii="IRNazanin" w:hAnsi="IRNazanin" w:eastAsia="IRNazanin"/>
          <w:color w:val="111111"/>
          <w:sz w:val="28"/>
          <w:sz w:val="28"/>
          <w:szCs w:val="28"/>
          <w:rtl w:val="true"/>
          <w:lang w:bidi="fa-IR"/>
        </w:rPr>
        <w:t>ایشان در زمینۀ قواعد فقهیه ایجاد موجهای بسیاری از ابتکار و نوآوری نموده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فاضل نراقی رحمه الله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 من مهمات أدله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نموده که از آخرین مصنفات وی بوده و مشتمل بر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عائده از کتاب مزبور، یکی از قواعد فقهی را مورد بحث و استدلال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کتاب تعدادی از قواعد منطقی نیز مطرح شده است</w:t>
      </w:r>
      <w:r>
        <w:rPr>
          <w:rFonts w:eastAsia="IRNazanin" w:cs="IRNazanin"/>
          <w:color w:val="111111"/>
          <w:sz w:val="28"/>
          <w:szCs w:val="28"/>
          <w:rtl w:val="true"/>
          <w:lang w:bidi="fa-IR"/>
        </w:rPr>
        <w:t>.</w:t>
      </w:r>
      <w:r>
        <w:rPr>
          <w:rStyle w:val="FootnoteAnchor"/>
          <w:rtl w:val="true"/>
        </w:rPr>
        <w:footnoteReference w:id="57"/>
      </w:r>
      <w:bookmarkStart w:id="60" w:name="pg5537_41280"/>
    </w:p>
    <w:p>
      <w:pPr>
        <w:pStyle w:val="Heading4"/>
        <w:numPr>
          <w:ilvl w:val="3"/>
          <w:numId w:val="1"/>
        </w:numPr>
        <w:rPr/>
      </w:pPr>
      <w:bookmarkStart w:id="61" w:name="__RefHeading___Toc2472061_581953129"/>
      <w:bookmarkStart w:id="62" w:name="_Toc24"/>
      <w:bookmarkEnd w:id="60"/>
      <w:bookmarkEnd w:id="61"/>
      <w:r>
        <w:rPr/>
        <w:t>7</w:t>
      </w:r>
      <w:r>
        <w:rPr>
          <w:rtl w:val="true"/>
        </w:rPr>
        <w:t xml:space="preserve">- </w:t>
      </w:r>
      <w:r>
        <w:rPr>
          <w:rtl w:val="true"/>
        </w:rPr>
        <w:t xml:space="preserve">سید میر عبد الفتاح مراغی </w:t>
      </w:r>
      <w:r>
        <w:rPr>
          <w:rtl w:val="true"/>
        </w:rPr>
        <w:t>(</w:t>
      </w:r>
      <w:r>
        <w:rPr>
          <w:rtl w:val="true"/>
        </w:rPr>
        <w:t xml:space="preserve">متوفای </w:t>
      </w:r>
      <w:r>
        <w:rPr/>
        <w:t>1250</w:t>
      </w:r>
      <w:r>
        <w:rPr>
          <w:rtl w:val="true"/>
        </w:rPr>
        <w:t xml:space="preserve"> </w:t>
      </w:r>
      <w:r>
        <w:rPr>
          <w:rtl w:val="true"/>
        </w:rPr>
        <w:t>ق</w:t>
      </w:r>
      <w:r>
        <w:rPr>
          <w:rtl w:val="true"/>
        </w:rPr>
        <w:t>)</w:t>
      </w:r>
      <w:bookmarkEnd w:id="62"/>
    </w:p>
    <w:p>
      <w:pPr>
        <w:pStyle w:val="BookText"/>
        <w:rPr/>
      </w:pPr>
      <w:r>
        <w:rPr>
          <w:rFonts w:ascii="IRNazanin" w:hAnsi="IRNazanin" w:eastAsia="IRNazanin"/>
          <w:color w:val="111111"/>
          <w:sz w:val="28"/>
          <w:sz w:val="28"/>
          <w:szCs w:val="28"/>
          <w:rtl w:val="true"/>
          <w:lang w:bidi="fa-IR"/>
        </w:rPr>
        <w:t xml:space="preserve">مرحوم سید میر عبد الفتاح بن علی حسینی مراغی رحمه الله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در این کتاب به فرمایشات مرحوم نراقی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تاریخ بیست و هشتم ماه رمضان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نگارش 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مشتمل بر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قواعد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با آنکه بارها مطالبی را از استاد خود نقل کرده، اما نامی از وی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الذریعه معتقد است که منظور ایشان از استادش، شیخ علی بن جعفر کاشف الغطاء رحمه الله</w:t>
      </w:r>
      <w:r>
        <w:rPr>
          <w:rStyle w:val="FootnoteAnchor"/>
          <w:rtl w:val="true"/>
        </w:rPr>
        <w:footnoteReference w:id="58"/>
      </w:r>
      <w:r>
        <w:rPr>
          <w:rFonts w:ascii="IRNazanin" w:hAnsi="IRNazanin" w:eastAsia="IRNazanin"/>
          <w:color w:val="111111"/>
          <w:sz w:val="28"/>
          <w:sz w:val="28"/>
          <w:szCs w:val="28"/>
          <w:rtl w:val="true"/>
          <w:lang w:bidi="fa-IR"/>
        </w:rPr>
        <w:t>است، اما محقق سبحانی عقیده دارد که منظور، همان مرحوم نراقی رحمه الله می‌باشد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تبریز 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چاپ سنگی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توسط جامعه مدرّسین در دو جلد چاپ شده است</w:t>
      </w:r>
      <w:r>
        <w:rPr>
          <w:rFonts w:eastAsia="IRNazanin" w:cs="IRNazanin"/>
          <w:color w:val="111111"/>
          <w:sz w:val="28"/>
          <w:szCs w:val="28"/>
          <w:rtl w:val="true"/>
          <w:lang w:bidi="fa-IR"/>
        </w:rPr>
        <w:t>.</w:t>
      </w:r>
    </w:p>
    <w:p>
      <w:pPr>
        <w:pStyle w:val="Heading4"/>
        <w:numPr>
          <w:ilvl w:val="3"/>
          <w:numId w:val="1"/>
        </w:numPr>
        <w:rPr/>
      </w:pPr>
      <w:bookmarkStart w:id="63" w:name="__RefHeading___Toc2472063_581953129"/>
      <w:bookmarkStart w:id="64" w:name="_Toc25"/>
      <w:bookmarkEnd w:id="63"/>
      <w:r>
        <w:rPr/>
        <w:t>8</w:t>
      </w:r>
      <w:r>
        <w:rPr>
          <w:rtl w:val="true"/>
        </w:rPr>
        <w:t xml:space="preserve">- </w:t>
      </w:r>
      <w:r>
        <w:rPr>
          <w:rtl w:val="true"/>
        </w:rPr>
        <w:t xml:space="preserve">سید محمد مهدی قزوینی حلی نجفی </w:t>
      </w:r>
      <w:r>
        <w:rPr>
          <w:rtl w:val="true"/>
        </w:rPr>
        <w:t>(</w:t>
      </w:r>
      <w:r>
        <w:rPr>
          <w:rtl w:val="true"/>
        </w:rPr>
        <w:t xml:space="preserve">متوفای </w:t>
      </w:r>
      <w:r>
        <w:rPr/>
        <w:t>1300</w:t>
      </w:r>
      <w:r>
        <w:rPr>
          <w:rtl w:val="true"/>
        </w:rPr>
        <w:t xml:space="preserve"> </w:t>
      </w:r>
      <w:r>
        <w:rPr>
          <w:rtl w:val="true"/>
        </w:rPr>
        <w:t>ق</w:t>
      </w:r>
      <w:r>
        <w:rPr>
          <w:rtl w:val="true"/>
        </w:rPr>
        <w:t>)</w:t>
      </w:r>
      <w:bookmarkEnd w:id="64"/>
    </w:p>
    <w:p>
      <w:pPr>
        <w:pStyle w:val="BookText"/>
        <w:rPr/>
      </w:pPr>
      <w:r>
        <w:rPr>
          <w:rFonts w:ascii="IRNazanin" w:hAnsi="IRNazanin" w:eastAsia="IRNazanin"/>
          <w:color w:val="111111"/>
          <w:sz w:val="28"/>
          <w:sz w:val="28"/>
          <w:szCs w:val="28"/>
          <w:rtl w:val="true"/>
          <w:lang w:bidi="fa-IR"/>
        </w:rPr>
        <w:t xml:space="preserve">وی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دربردارندۀ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فقهی است</w:t>
      </w:r>
      <w:r>
        <w:rPr>
          <w:rFonts w:eastAsia="IRNazanin" w:cs="IRNazanin"/>
          <w:color w:val="111111"/>
          <w:sz w:val="28"/>
          <w:szCs w:val="28"/>
          <w:rtl w:val="true"/>
          <w:lang w:bidi="fa-IR"/>
        </w:rPr>
        <w:t>.</w:t>
      </w:r>
    </w:p>
    <w:p>
      <w:pPr>
        <w:pStyle w:val="Heading4"/>
        <w:numPr>
          <w:ilvl w:val="3"/>
          <w:numId w:val="1"/>
        </w:numPr>
        <w:rPr/>
      </w:pPr>
      <w:bookmarkStart w:id="65" w:name="__RefHeading___Toc2472065_581953129"/>
      <w:bookmarkStart w:id="66" w:name="_Toc26"/>
      <w:bookmarkEnd w:id="65"/>
      <w:r>
        <w:rPr/>
        <w:t>9</w:t>
      </w:r>
      <w:r>
        <w:rPr>
          <w:rtl w:val="true"/>
        </w:rPr>
        <w:t xml:space="preserve">- </w:t>
      </w:r>
      <w:r>
        <w:rPr>
          <w:rtl w:val="true"/>
        </w:rPr>
        <w:t xml:space="preserve">نظر علی طالقانی </w:t>
      </w:r>
      <w:r>
        <w:rPr>
          <w:rtl w:val="true"/>
        </w:rPr>
        <w:t xml:space="preserve">( </w:t>
      </w:r>
      <w:r>
        <w:rPr/>
        <w:t>1306</w:t>
      </w:r>
      <w:r>
        <w:rPr>
          <w:rtl w:val="true"/>
        </w:rPr>
        <w:t>-</w:t>
      </w:r>
      <w:r>
        <w:rPr/>
        <w:t>1240</w:t>
      </w:r>
      <w:r>
        <w:rPr>
          <w:rtl w:val="true"/>
        </w:rPr>
        <w:t xml:space="preserve"> </w:t>
      </w:r>
      <w:r>
        <w:rPr>
          <w:rtl w:val="true"/>
        </w:rPr>
        <w:t>ق</w:t>
      </w:r>
      <w:r>
        <w:rPr>
          <w:rtl w:val="true"/>
        </w:rPr>
        <w:t>)</w:t>
      </w:r>
      <w:bookmarkEnd w:id="66"/>
    </w:p>
    <w:p>
      <w:pPr>
        <w:pStyle w:val="BookText"/>
        <w:rPr/>
      </w:pPr>
      <w:r>
        <w:rPr>
          <w:rFonts w:ascii="IRNazanin" w:hAnsi="IRNazanin" w:eastAsia="IRNazanin"/>
          <w:color w:val="111111"/>
          <w:sz w:val="28"/>
          <w:sz w:val="28"/>
          <w:szCs w:val="28"/>
          <w:rtl w:val="true"/>
          <w:lang w:bidi="fa-IR"/>
        </w:rPr>
        <w:t>مرحوم ملا نظر علی طالقانی رحمه الله اولین فقیهی است که در قرن چهاردهم هجری پیرامون قواعد فقهیه دست به تألیف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مناطات الأحکام فی 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4"/>
        <w:numPr>
          <w:ilvl w:val="3"/>
          <w:numId w:val="1"/>
        </w:numPr>
        <w:rPr/>
      </w:pPr>
      <w:bookmarkStart w:id="67" w:name="__RefHeading___Toc2472067_581953129"/>
      <w:bookmarkStart w:id="68" w:name="_Toc27"/>
      <w:bookmarkEnd w:id="67"/>
      <w:r>
        <w:rPr/>
        <w:t>10</w:t>
      </w:r>
      <w:r>
        <w:rPr>
          <w:rtl w:val="true"/>
        </w:rPr>
        <w:t xml:space="preserve">- </w:t>
      </w:r>
      <w:r>
        <w:rPr>
          <w:rtl w:val="true"/>
        </w:rPr>
        <w:t xml:space="preserve">ملا حبیب اللّه کاشانی </w:t>
      </w:r>
      <w:r>
        <w:rPr>
          <w:rtl w:val="true"/>
        </w:rPr>
        <w:t>(</w:t>
      </w:r>
      <w:r>
        <w:rPr>
          <w:rtl w:val="true"/>
        </w:rPr>
        <w:t xml:space="preserve">متوفای </w:t>
      </w:r>
      <w:r>
        <w:rPr/>
        <w:t>1340</w:t>
      </w:r>
      <w:r>
        <w:rPr>
          <w:rtl w:val="true"/>
        </w:rPr>
        <w:t xml:space="preserve"> </w:t>
      </w:r>
      <w:r>
        <w:rPr>
          <w:rtl w:val="true"/>
        </w:rPr>
        <w:t>ق</w:t>
      </w:r>
      <w:r>
        <w:rPr>
          <w:rtl w:val="true"/>
        </w:rPr>
        <w:t>)</w:t>
      </w:r>
      <w:bookmarkEnd w:id="6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حبیب اللّه کاشانی رحمه الله دریایی از معارف ادبیات و فقه و اصول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مستقصی قواعد المدارک و منتهی ضوابط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پانصد قاعده فقهیه را بحث نموده است</w:t>
      </w:r>
      <w:r>
        <w:rPr>
          <w:rFonts w:eastAsia="IRNazanin" w:cs="IRNazanin"/>
          <w:color w:val="111111"/>
          <w:sz w:val="28"/>
          <w:szCs w:val="28"/>
          <w:rtl w:val="true"/>
          <w:lang w:bidi="fa-IR"/>
        </w:rPr>
        <w:t>.</w:t>
      </w:r>
      <w:bookmarkStart w:id="69" w:name="pg5537_41281"/>
    </w:p>
    <w:p>
      <w:pPr>
        <w:pStyle w:val="Heading4"/>
        <w:numPr>
          <w:ilvl w:val="3"/>
          <w:numId w:val="1"/>
        </w:numPr>
        <w:rPr/>
      </w:pPr>
      <w:bookmarkStart w:id="70" w:name="__RefHeading___Toc2472069_581953129"/>
      <w:bookmarkStart w:id="71" w:name="_Toc28"/>
      <w:bookmarkEnd w:id="69"/>
      <w:bookmarkEnd w:id="70"/>
      <w:r>
        <w:rPr/>
        <w:t>11</w:t>
      </w:r>
      <w:r>
        <w:rPr>
          <w:rtl w:val="true"/>
        </w:rPr>
        <w:t xml:space="preserve">- </w:t>
      </w:r>
      <w:r>
        <w:rPr>
          <w:rtl w:val="true"/>
        </w:rPr>
        <w:t xml:space="preserve">شیخ مهدی خالصی کاظمی </w:t>
      </w:r>
      <w:r>
        <w:rPr>
          <w:rtl w:val="true"/>
        </w:rPr>
        <w:t>(</w:t>
      </w:r>
      <w:r>
        <w:rPr>
          <w:rtl w:val="true"/>
        </w:rPr>
        <w:t xml:space="preserve">متوفای </w:t>
      </w:r>
      <w:r>
        <w:rPr/>
        <w:t>1343</w:t>
      </w:r>
      <w:r>
        <w:rPr>
          <w:rtl w:val="true"/>
        </w:rPr>
        <w:t xml:space="preserve"> </w:t>
      </w:r>
      <w:r>
        <w:rPr>
          <w:rtl w:val="true"/>
        </w:rPr>
        <w:t>ق</w:t>
      </w:r>
      <w:r>
        <w:rPr>
          <w:rtl w:val="true"/>
        </w:rPr>
        <w:t>)</w:t>
      </w:r>
      <w:bookmarkEnd w:id="71"/>
    </w:p>
    <w:p>
      <w:pPr>
        <w:pStyle w:val="BookText"/>
        <w:rPr/>
      </w:pPr>
      <w:r>
        <w:rPr>
          <w:rFonts w:ascii="IRNazanin" w:hAnsi="IRNazanin" w:eastAsia="IRNazanin"/>
          <w:color w:val="111111"/>
          <w:sz w:val="28"/>
          <w:sz w:val="28"/>
          <w:szCs w:val="28"/>
          <w:rtl w:val="true"/>
          <w:lang w:bidi="fa-IR"/>
        </w:rPr>
        <w:t xml:space="preserve">مرحوم شیخ مهدی بن حسین بن عزیز خالصی کاظمی رحمه الله نیز دارای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دو مجلد به چاپ رسیده است</w:t>
      </w:r>
      <w:r>
        <w:rPr>
          <w:rFonts w:eastAsia="IRNazanin" w:cs="IRNazanin"/>
          <w:color w:val="111111"/>
          <w:sz w:val="28"/>
          <w:szCs w:val="28"/>
          <w:rtl w:val="true"/>
          <w:lang w:bidi="fa-IR"/>
        </w:rPr>
        <w:t>.</w:t>
      </w:r>
    </w:p>
    <w:p>
      <w:pPr>
        <w:pStyle w:val="Heading4"/>
        <w:numPr>
          <w:ilvl w:val="3"/>
          <w:numId w:val="1"/>
        </w:numPr>
        <w:rPr/>
      </w:pPr>
      <w:bookmarkStart w:id="72" w:name="__RefHeading___Toc2472071_581953129"/>
      <w:bookmarkStart w:id="73" w:name="_Toc29"/>
      <w:bookmarkEnd w:id="72"/>
      <w:r>
        <w:rPr/>
        <w:t>12</w:t>
      </w:r>
      <w:r>
        <w:rPr>
          <w:rtl w:val="true"/>
        </w:rPr>
        <w:t xml:space="preserve">- </w:t>
      </w:r>
      <w:r>
        <w:rPr>
          <w:rtl w:val="true"/>
        </w:rPr>
        <w:t xml:space="preserve">شیخ محمدحسین کاشف الغطاء </w:t>
      </w:r>
      <w:r>
        <w:rPr>
          <w:rtl w:val="true"/>
        </w:rPr>
        <w:t xml:space="preserve">( </w:t>
      </w:r>
      <w:r>
        <w:rPr/>
        <w:t>1373</w:t>
      </w:r>
      <w:r>
        <w:rPr>
          <w:rtl w:val="true"/>
        </w:rPr>
        <w:t>-</w:t>
      </w:r>
      <w:r>
        <w:rPr/>
        <w:t>1294</w:t>
      </w:r>
      <w:r>
        <w:rPr>
          <w:rtl w:val="true"/>
        </w:rPr>
        <w:t xml:space="preserve"> </w:t>
      </w:r>
      <w:r>
        <w:rPr>
          <w:rtl w:val="true"/>
        </w:rPr>
        <w:t>ق</w:t>
      </w:r>
      <w:r>
        <w:rPr>
          <w:rtl w:val="true"/>
        </w:rPr>
        <w:t>)</w:t>
      </w:r>
      <w:bookmarkEnd w:id="73"/>
    </w:p>
    <w:p>
      <w:pPr>
        <w:pStyle w:val="BookText"/>
        <w:rPr/>
      </w:pPr>
      <w:r>
        <w:rPr>
          <w:rFonts w:ascii="IRNazanin" w:hAnsi="IRNazanin" w:eastAsia="IRNazanin"/>
          <w:color w:val="111111"/>
          <w:sz w:val="28"/>
          <w:sz w:val="28"/>
          <w:szCs w:val="28"/>
          <w:rtl w:val="true"/>
          <w:lang w:bidi="fa-IR"/>
        </w:rPr>
        <w:t xml:space="preserve">در زمان حکومت عثمانی که تمام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حکومت او بود، در عهد سلطان عبد العزیز عثمانی، گروهی از دانشمندان بزرگ دولت ترکان عثمانی، به کمک علمای مصر، کتابی نوشتند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الاحکام العدلیة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قواعد فقهیه را مطابق مذهب حنفی در آن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محاکم سنی مذهب آن زمان این کتاب مدرک و مستند بود، مثل قانون مدنی جمهوری اسلامی ایران که در حال حاضر مستند احکام 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حکومت مزبور آن را چاپ کرده و چندین شرح نیز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محاکم عراق هم مجلّة الاحکام را مطرح می‌کردند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کاشف الغطاء رحمه الله این مجله را طبق فقه امامیه بازنویسی نموده و سیزده قاعده هم بر آن افزوده و کتاب خویش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گردانیده است</w:t>
      </w:r>
      <w:r>
        <w:rPr>
          <w:rFonts w:eastAsia="IRNazanin" w:cs="IRNazanin"/>
          <w:color w:val="111111"/>
          <w:sz w:val="28"/>
          <w:szCs w:val="28"/>
          <w:rtl w:val="true"/>
          <w:lang w:bidi="fa-IR"/>
        </w:rPr>
        <w:t>.</w:t>
      </w:r>
      <w:bookmarkStart w:id="74" w:name="pg5537_41282"/>
    </w:p>
    <w:p>
      <w:pPr>
        <w:pStyle w:val="Heading4"/>
        <w:numPr>
          <w:ilvl w:val="3"/>
          <w:numId w:val="1"/>
        </w:numPr>
        <w:rPr/>
      </w:pPr>
      <w:bookmarkStart w:id="75" w:name="__RefHeading___Toc2472073_581953129"/>
      <w:bookmarkStart w:id="76" w:name="_Toc30"/>
      <w:bookmarkEnd w:id="74"/>
      <w:bookmarkEnd w:id="75"/>
      <w:r>
        <w:rPr/>
        <w:t>13</w:t>
      </w:r>
      <w:r>
        <w:rPr>
          <w:rtl w:val="true"/>
        </w:rPr>
        <w:t xml:space="preserve">- </w:t>
      </w:r>
      <w:r>
        <w:rPr>
          <w:rtl w:val="true"/>
        </w:rPr>
        <w:t xml:space="preserve">سید حسن موسوی بجنوردی </w:t>
      </w:r>
      <w:r>
        <w:rPr>
          <w:rtl w:val="true"/>
        </w:rPr>
        <w:t xml:space="preserve">( </w:t>
      </w:r>
      <w:r>
        <w:rPr/>
        <w:t>1396</w:t>
      </w:r>
      <w:r>
        <w:rPr>
          <w:rtl w:val="true"/>
        </w:rPr>
        <w:t>-</w:t>
      </w:r>
      <w:r>
        <w:rPr/>
        <w:t>1316</w:t>
      </w:r>
      <w:r>
        <w:rPr>
          <w:rtl w:val="true"/>
        </w:rPr>
        <w:t xml:space="preserve"> </w:t>
      </w:r>
      <w:r>
        <w:rPr>
          <w:rtl w:val="true"/>
        </w:rPr>
        <w:t>ق</w:t>
      </w:r>
      <w:r>
        <w:rPr>
          <w:rtl w:val="true"/>
        </w:rPr>
        <w:t>)</w:t>
      </w:r>
      <w:bookmarkEnd w:id="76"/>
    </w:p>
    <w:p>
      <w:pPr>
        <w:pStyle w:val="BookText"/>
        <w:rPr/>
      </w:pPr>
      <w:r>
        <w:rPr>
          <w:rFonts w:ascii="IRNazanin" w:hAnsi="IRNazanin" w:eastAsia="IRNazanin"/>
          <w:color w:val="111111"/>
          <w:sz w:val="28"/>
          <w:sz w:val="28"/>
          <w:szCs w:val="28"/>
          <w:rtl w:val="true"/>
          <w:lang w:bidi="fa-IR"/>
        </w:rPr>
        <w:t xml:space="preserve">ایشان نیز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هفت مجلد چاپ شده و در آن،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مبسوط ترین اثری است که در زمینۀ قواعد فقهی تألیف شده است</w:t>
      </w:r>
      <w:r>
        <w:rPr>
          <w:rFonts w:eastAsia="IRNazanin" w:cs="IRNazanin"/>
          <w:color w:val="111111"/>
          <w:sz w:val="28"/>
          <w:szCs w:val="28"/>
          <w:rtl w:val="true"/>
          <w:lang w:bidi="fa-IR"/>
        </w:rPr>
        <w:t>.</w:t>
      </w:r>
    </w:p>
    <w:p>
      <w:pPr>
        <w:pStyle w:val="Heading4"/>
        <w:numPr>
          <w:ilvl w:val="3"/>
          <w:numId w:val="1"/>
        </w:numPr>
        <w:rPr/>
      </w:pPr>
      <w:bookmarkStart w:id="77" w:name="__RefHeading___Toc2472075_581953129"/>
      <w:bookmarkStart w:id="78" w:name="_Toc31"/>
      <w:bookmarkEnd w:id="77"/>
      <w:r>
        <w:rPr/>
        <w:t>14</w:t>
      </w:r>
      <w:r>
        <w:rPr>
          <w:rtl w:val="true"/>
        </w:rPr>
        <w:t xml:space="preserve">- </w:t>
      </w:r>
      <w:r>
        <w:rPr>
          <w:rtl w:val="true"/>
        </w:rPr>
        <w:t xml:space="preserve">شیخ محمد فاضل لنکرانی </w:t>
      </w:r>
      <w:r>
        <w:rPr>
          <w:rtl w:val="true"/>
        </w:rPr>
        <w:t xml:space="preserve">( </w:t>
      </w:r>
      <w:r>
        <w:rPr/>
        <w:t>1428</w:t>
      </w:r>
      <w:r>
        <w:rPr>
          <w:rtl w:val="true"/>
        </w:rPr>
        <w:t>-</w:t>
      </w:r>
      <w:r>
        <w:rPr/>
        <w:t>1350</w:t>
      </w:r>
      <w:r>
        <w:rPr>
          <w:rtl w:val="true"/>
        </w:rPr>
        <w:t xml:space="preserve"> </w:t>
      </w:r>
      <w:r>
        <w:rPr>
          <w:rtl w:val="true"/>
        </w:rPr>
        <w:t>ق</w:t>
      </w:r>
      <w:r>
        <w:rPr>
          <w:rtl w:val="true"/>
        </w:rPr>
        <w:t>)</w:t>
      </w:r>
      <w:bookmarkEnd w:id="78"/>
    </w:p>
    <w:p>
      <w:pPr>
        <w:pStyle w:val="BookText"/>
        <w:rPr/>
      </w:pPr>
      <w:r>
        <w:rPr>
          <w:rFonts w:ascii="IRNazanin" w:hAnsi="IRNazanin" w:eastAsia="IRNazanin"/>
          <w:color w:val="111111"/>
          <w:sz w:val="28"/>
          <w:sz w:val="28"/>
          <w:szCs w:val="28"/>
          <w:rtl w:val="true"/>
          <w:lang w:bidi="fa-IR"/>
        </w:rPr>
        <w:t xml:space="preserve">مرحوم آیة‌اللّه محمد فاضل لنکرانی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در قواعد فقهیه دارد که در یک مجلد با مقدمۀ حضرت استاد به چاپ رسیده است</w:t>
      </w:r>
      <w:r>
        <w:rPr>
          <w:rFonts w:eastAsia="IRNazanin" w:cs="IRNazanin"/>
          <w:color w:val="111111"/>
          <w:sz w:val="28"/>
          <w:szCs w:val="28"/>
          <w:rtl w:val="true"/>
          <w:lang w:bidi="fa-IR"/>
        </w:rPr>
        <w:t>.</w:t>
      </w:r>
    </w:p>
    <w:p>
      <w:pPr>
        <w:pStyle w:val="Heading4"/>
        <w:numPr>
          <w:ilvl w:val="3"/>
          <w:numId w:val="1"/>
        </w:numPr>
        <w:rPr/>
      </w:pPr>
      <w:bookmarkStart w:id="79" w:name="__RefHeading___Toc2472077_581953129"/>
      <w:bookmarkStart w:id="80" w:name="_Toc32"/>
      <w:bookmarkEnd w:id="79"/>
      <w:r>
        <w:rPr/>
        <w:t>15</w:t>
      </w:r>
      <w:r>
        <w:rPr>
          <w:rtl w:val="true"/>
        </w:rPr>
        <w:t xml:space="preserve">- </w:t>
      </w:r>
      <w:r>
        <w:rPr>
          <w:rtl w:val="true"/>
        </w:rPr>
        <w:t xml:space="preserve">شیخ ناصر مکارم شیرازی </w:t>
      </w:r>
      <w:r>
        <w:rPr>
          <w:rtl w:val="true"/>
        </w:rPr>
        <w:t>(</w:t>
      </w:r>
      <w:r>
        <w:rPr>
          <w:rtl w:val="true"/>
        </w:rPr>
        <w:t>معاصر</w:t>
      </w:r>
      <w:r>
        <w:rPr>
          <w:rtl w:val="true"/>
        </w:rPr>
        <w:t>)</w:t>
      </w:r>
      <w:bookmarkEnd w:id="80"/>
    </w:p>
    <w:p>
      <w:pPr>
        <w:pStyle w:val="BookText"/>
        <w:rPr/>
      </w:pPr>
      <w:r>
        <w:rPr>
          <w:rFonts w:ascii="IRNazanin" w:hAnsi="IRNazanin" w:eastAsia="IRNazanin"/>
          <w:color w:val="111111"/>
          <w:sz w:val="28"/>
          <w:sz w:val="28"/>
          <w:szCs w:val="28"/>
          <w:rtl w:val="true"/>
          <w:lang w:bidi="fa-IR"/>
        </w:rPr>
        <w:t xml:space="preserve">ایشان نیز کتابی دارد در دو جلد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سی قاعده فقهی را بحث نموده است</w:t>
      </w:r>
      <w:r>
        <w:rPr>
          <w:rFonts w:eastAsia="IRNazanin" w:cs="IRNazanin"/>
          <w:color w:val="111111"/>
          <w:sz w:val="28"/>
          <w:szCs w:val="28"/>
          <w:rtl w:val="true"/>
          <w:lang w:bidi="fa-IR"/>
        </w:rPr>
        <w:t>.</w:t>
      </w:r>
    </w:p>
    <w:p>
      <w:pPr>
        <w:pStyle w:val="Heading4"/>
        <w:numPr>
          <w:ilvl w:val="3"/>
          <w:numId w:val="1"/>
        </w:numPr>
        <w:rPr/>
      </w:pPr>
      <w:bookmarkStart w:id="81" w:name="__RefHeading___Toc2472079_581953129"/>
      <w:bookmarkStart w:id="82" w:name="_Toc33"/>
      <w:bookmarkEnd w:id="81"/>
      <w:r>
        <w:rPr/>
        <w:t>16</w:t>
      </w:r>
      <w:r>
        <w:rPr>
          <w:rtl w:val="true"/>
        </w:rPr>
        <w:t xml:space="preserve">- </w:t>
      </w:r>
      <w:r>
        <w:rPr>
          <w:rtl w:val="true"/>
        </w:rPr>
        <w:t xml:space="preserve">سید محمد کاظم مصطفوی </w:t>
      </w:r>
      <w:r>
        <w:rPr>
          <w:rtl w:val="true"/>
        </w:rPr>
        <w:t>(</w:t>
      </w:r>
      <w:r>
        <w:rPr>
          <w:rtl w:val="true"/>
        </w:rPr>
        <w:t>معاصر</w:t>
      </w:r>
      <w:r>
        <w:rPr>
          <w:rtl w:val="true"/>
        </w:rPr>
        <w:t>)</w:t>
      </w:r>
      <w:bookmarkEnd w:id="82"/>
    </w:p>
    <w:p>
      <w:pPr>
        <w:pStyle w:val="BookText"/>
        <w:rPr/>
      </w:pPr>
      <w:r>
        <w:rPr>
          <w:rFonts w:ascii="IRNazanin" w:hAnsi="IRNazanin" w:eastAsia="IRNazanin"/>
          <w:color w:val="111111"/>
          <w:sz w:val="28"/>
          <w:sz w:val="28"/>
          <w:szCs w:val="28"/>
          <w:rtl w:val="true"/>
          <w:lang w:bidi="fa-IR"/>
        </w:rPr>
        <w:t xml:space="preserve">ایشان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قاعدۀ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دربردارنده یکصدقاعده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انتشارات اسلامی در یک مجلد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کتابهای ذکر شده که همگی به زبان عربی نگارش یافته‌اند، دربارۀ قواعد فقه امامیه چندین کتاب نیز به زبان فارسی نوشته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فقه؛ تألیف میرزا محمود شهابی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انتشارات دانشگاه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فقه؛ تألیف حاج شیخ علی بابا فیروزکوهی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بارها به چاپ رسیده که آخرین چاپ آن مربوط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فقهی؛ تألیف سید محمد موسوی بجنوردی که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تهران منتشر شده است</w:t>
      </w:r>
      <w:r>
        <w:rPr>
          <w:rFonts w:eastAsia="IRNazanin" w:cs="IRNazanin"/>
          <w:color w:val="111111"/>
          <w:sz w:val="28"/>
          <w:szCs w:val="28"/>
          <w:rtl w:val="true"/>
          <w:lang w:bidi="fa-IR"/>
        </w:rPr>
        <w:t>.</w:t>
      </w:r>
      <w:bookmarkStart w:id="83" w:name="pg5537_41283"/>
    </w:p>
    <w:p>
      <w:pPr>
        <w:pStyle w:val="BookText"/>
        <w:rPr/>
      </w:pPr>
      <w:bookmarkEnd w:id="8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فقه؛ تألیف سید مصطفی محقق داماد که در چهار مجلد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4" w:name="__RefHeading___Toc2472081_581953129"/>
      <w:bookmarkStart w:id="85" w:name="_Toc34"/>
      <w:bookmarkEnd w:id="84"/>
      <w:r>
        <w:rPr>
          <w:rtl w:val="true"/>
        </w:rPr>
        <w:t>ث</w:t>
      </w:r>
      <w:r>
        <w:rPr>
          <w:rtl w:val="true"/>
        </w:rPr>
        <w:t xml:space="preserve">) </w:t>
      </w:r>
      <w:r>
        <w:rPr>
          <w:rtl w:val="true"/>
        </w:rPr>
        <w:t>تقسیمات قواعد فقهی</w:t>
      </w:r>
      <w:bookmarkEnd w:id="85"/>
    </w:p>
    <w:p>
      <w:pPr>
        <w:pStyle w:val="Heading4"/>
        <w:numPr>
          <w:ilvl w:val="3"/>
          <w:numId w:val="1"/>
        </w:numPr>
        <w:rPr/>
      </w:pPr>
      <w:bookmarkStart w:id="86" w:name="__RefHeading___Toc2472083_581953129"/>
      <w:bookmarkStart w:id="87" w:name="_Toc35"/>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قواعد فقهی از جنبه‌های گوناگونی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در اینجا دو گونه تقسیم‌بندی ذکر نموده است که اولی از شهید اول و دومی از شهید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صدر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این دو نوع تقسیم بندی قواعد فقهی را بررسی می‌کنیم و سپس به تقسیمات دیگری که توسط فقها مطرح شده است اشاره خواهیم نمود</w:t>
      </w:r>
      <w:r>
        <w:rPr>
          <w:rFonts w:eastAsia="IRNazanin" w:cs="IRNazanin"/>
          <w:color w:val="111111"/>
          <w:sz w:val="28"/>
          <w:szCs w:val="28"/>
          <w:rtl w:val="true"/>
          <w:lang w:bidi="fa-IR"/>
        </w:rPr>
        <w:t>.</w:t>
      </w:r>
    </w:p>
    <w:p>
      <w:pPr>
        <w:pStyle w:val="Heading4"/>
        <w:numPr>
          <w:ilvl w:val="3"/>
          <w:numId w:val="1"/>
        </w:numPr>
        <w:rPr/>
      </w:pPr>
      <w:bookmarkStart w:id="88" w:name="__RefHeading___Toc2472085_581953129"/>
      <w:bookmarkStart w:id="89" w:name="_Toc36"/>
      <w:bookmarkEnd w:id="88"/>
      <w:r>
        <w:rPr>
          <w:rtl w:val="true"/>
        </w:rPr>
        <w:t>تقسیم نخست</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الشهید الأوّل</w:t>
      </w:r>
      <w:r>
        <w:rPr>
          <w:rStyle w:val="FootnoteAnchor"/>
          <w:rtl w:val="true"/>
        </w:rPr>
        <w:footnoteReference w:id="61"/>
      </w:r>
      <w:r>
        <w:rPr>
          <w:rFonts w:ascii="IRNazanin" w:hAnsi="IRNazanin" w:eastAsia="IRNazanin"/>
          <w:color w:val="111111"/>
          <w:sz w:val="28"/>
          <w:sz w:val="28"/>
          <w:szCs w:val="28"/>
          <w:rtl w:val="true"/>
          <w:lang w:bidi="fa-IR"/>
        </w:rPr>
        <w:t>فإنه قسم القواعد الفقهیة لا باعتبار کل باب بل باعتبار الموضوعات وإلیک ما ذکره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المرتبطة بالاجتهاد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الجاریة فی المناکحات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الموجودة فی القضاء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باب الجنایات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العبادات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العقود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الإرث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الحدود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الدیات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القصاص</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التقسیم باعتبار الأبواب والموضوعات والظاهر انه لم یکن بصدد التقسیم الصناعی للقواعد الفقهیة وإنما استقصی القواعد المختلفة فی الأبواب المتعددة ولا حظها ونظّمها باعتبار الموضوعات المختلفة وبناء علی ذلک لم تکن منحصرة فیما ذکره بل کلما ازداد التتبع والاستقصاء ازدادت القواعد والموضوعات</w:t>
      </w:r>
      <w:r>
        <w:rPr>
          <w:rFonts w:eastAsia="IRNazanin" w:cs="IRNazanin"/>
          <w:color w:val="111111"/>
          <w:sz w:val="28"/>
          <w:szCs w:val="28"/>
          <w:rtl w:val="true"/>
          <w:lang w:bidi="fa-IR"/>
        </w:rPr>
        <w:t>».</w:t>
      </w:r>
      <w:r>
        <w:rPr>
          <w:rStyle w:val="FootnoteAnchor"/>
          <w:rtl w:val="true"/>
        </w:rPr>
        <w:footnoteReference w:id="62"/>
      </w:r>
      <w:bookmarkStart w:id="90" w:name="pg5537_41284"/>
    </w:p>
    <w:p>
      <w:pPr>
        <w:pStyle w:val="BookText"/>
        <w:rPr/>
      </w:pPr>
      <w:bookmarkEnd w:id="90"/>
      <w:r>
        <w:rPr>
          <w:rFonts w:ascii="IRNazanin" w:hAnsi="IRNazanin" w:eastAsia="IRNazanin"/>
          <w:color w:val="111111"/>
          <w:sz w:val="28"/>
          <w:sz w:val="28"/>
          <w:szCs w:val="28"/>
          <w:rtl w:val="true"/>
          <w:lang w:bidi="fa-IR"/>
        </w:rPr>
        <w:t xml:space="preserve">این تقسیم‌بندی از شهید اول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قواعد فقهی را بر اساس موضوعات و ابواب مختلف فقهی به شرح زیر بخش بندی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مربوط به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جاری در حقوق خانواده و مناکحات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مربوط به ابواب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باب 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ابواب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مربوط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مربوط به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باب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 مربوط به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باب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رحمه الله در حقیقت قواعد فقهی مختلفی که اختصاص به بابی از ابواب فقه دارد، احصاء نموده و طبق تقسیم بندی علم فقه، آنها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تقسیم ایشان، نمی‌تواند به عنوان تقسیم بندی مستقلی که از روی ملاک مختص به قواعد فقهیه صورت گرفته باشد، به شمار آید</w:t>
      </w:r>
      <w:r>
        <w:rPr>
          <w:rFonts w:eastAsia="IRNazanin" w:cs="IRNazanin"/>
          <w:color w:val="111111"/>
          <w:sz w:val="28"/>
          <w:szCs w:val="28"/>
          <w:rtl w:val="true"/>
          <w:lang w:bidi="fa-IR"/>
        </w:rPr>
        <w:t>.</w:t>
      </w:r>
    </w:p>
    <w:p>
      <w:pPr>
        <w:pStyle w:val="Heading4"/>
        <w:numPr>
          <w:ilvl w:val="3"/>
          <w:numId w:val="1"/>
        </w:numPr>
        <w:rPr/>
      </w:pPr>
      <w:bookmarkStart w:id="91" w:name="__RefHeading___Toc2472087_581953129"/>
      <w:bookmarkStart w:id="92" w:name="_Toc37"/>
      <w:bookmarkEnd w:id="91"/>
      <w:r>
        <w:rPr>
          <w:rtl w:val="true"/>
        </w:rPr>
        <w:t>تقسیم دوم</w:t>
      </w:r>
      <w:bookmarkEnd w:id="92"/>
    </w:p>
    <w:p>
      <w:pPr>
        <w:pStyle w:val="BookText"/>
        <w:rPr/>
      </w:pPr>
      <w:r>
        <w:rPr>
          <w:rFonts w:ascii="IRNazanin" w:hAnsi="IRNazanin" w:eastAsia="IRNazanin"/>
          <w:color w:val="111111"/>
          <w:sz w:val="28"/>
          <w:sz w:val="28"/>
          <w:szCs w:val="28"/>
          <w:rtl w:val="true"/>
          <w:lang w:bidi="fa-IR"/>
        </w:rPr>
        <w:t>تقسیم‌بندی دوم از مرحوم شهید صدر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قواعد فقهی را به پنج دسته تقسیم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الشهید الصدر قدس سره</w:t>
      </w:r>
      <w:r>
        <w:rPr>
          <w:rStyle w:val="FootnoteAnchor"/>
          <w:rtl w:val="true"/>
        </w:rPr>
        <w:footnoteReference w:id="63"/>
      </w:r>
      <w:r>
        <w:rPr>
          <w:rFonts w:ascii="IRNazanin" w:hAnsi="IRNazanin" w:eastAsia="IRNazanin"/>
          <w:color w:val="111111"/>
          <w:sz w:val="28"/>
          <w:sz w:val="28"/>
          <w:szCs w:val="28"/>
          <w:rtl w:val="true"/>
          <w:lang w:bidi="fa-IR"/>
        </w:rPr>
        <w:t>فإنه قسمها إلی خمسة أقسام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بقاعدة بمعناها الفنی کقاعدة لا ضرر فإن القاعدة</w:t>
      </w:r>
    </w:p>
    <w:p>
      <w:pPr>
        <w:pStyle w:val="BookText"/>
        <w:rPr/>
      </w:pPr>
      <w:r>
        <w:rPr>
          <w:rFonts w:ascii="IRNazanin" w:hAnsi="IRNazanin" w:eastAsia="IRNazanin"/>
          <w:color w:val="111111"/>
          <w:sz w:val="28"/>
          <w:sz w:val="28"/>
          <w:szCs w:val="28"/>
          <w:rtl w:val="true"/>
          <w:lang w:bidi="fa-IR"/>
        </w:rPr>
        <w:t>متقومة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تکون أمراً کلیاً والثانی وجود نکتة ثبوتیة واحدة ترجع إلی حقیقة واحدة وهی فی الأحکام الشرعیة والقواعد المجعولة الشرعیة عبارة عن وحدة الجعل کقاعدة علی الید وحجیّة خبر الثقة وفی المجعولات غیر الشرعیة کقاعدة الملازمة بین وجوب الشیء ووجوب ذیه عبارة عن الوحدة النفس الأمریة امّا مثل قاعدة لا ضرر فإنها مجموعة من التشریعات العدمیة جمعت فی عبارة واحدة فبما انها غیر راجعة إلی نکتة واحدة وجعل واحد بل کلها فی عرض واحد فلیست بقاعدة بالمعنی الفنی لها وهذا نظیر ان یقال کل حکم ثبت للرجل فی المعاملات فهو ثابت للمرأة أیضاً فهو تجمیع جعول متعددة تحت تعبیر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به معنای اصطلاحی و فنی در فقه، قاعده محسوب نمی‌شوند، همچون قاعده لاضرر؛ چه این که قاعده بودن چیزی در فقه به دو امر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امر کلی باشد و در محدوده وسیع و گسترده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ثبوتی واحدی در آن وجود داشته باشد و به حقیقت واحدی برگشت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احکام شرعی و قواعدی که شرعاً جعل شده، به همان وحدت جعل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قاعده علی الید و حجیت خبر واحد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قواعدی مثل لا ضرر از مجموعه تشریعیات عدمی است که در عبارت لا ضرر و یا لا حرج جمع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به این‌گونه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مصطلح و فنی آن اطلاق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قاعدة بمعناها الفنی مع دلالتها فی نفسها علی حکم واقعی کلی مجعول بجعل واحد کقاعدة ما یضمن الّتی ترجع إلی ضمان الید فهی قاعدة دالّة علی نکتة ثبوتیة واحدة تدلّ بنفسها علی الحکم الشرعی الواقعی ولا تکون طریقاً لا ثبات الحکم الشرعی ومن هذه القاعدة یستفاد الضمان فی البیع الفاسد فهو غیر مجعول مستقلا بل</w:t>
      </w:r>
    </w:p>
    <w:p>
      <w:pPr>
        <w:pStyle w:val="BookText"/>
        <w:rPr/>
      </w:pPr>
      <w:r>
        <w:rPr>
          <w:rFonts w:ascii="IRNazanin" w:hAnsi="IRNazanin" w:eastAsia="IRNazanin"/>
          <w:color w:val="111111"/>
          <w:sz w:val="28"/>
          <w:sz w:val="28"/>
          <w:szCs w:val="28"/>
          <w:rtl w:val="true"/>
          <w:lang w:bidi="fa-IR"/>
        </w:rPr>
        <w:t>حصة من القاعدة الکلیة و من هذا البیان یتضح ان القاعدة الأُصولیة تقع فی طریق إثبات الجعل الشرعی بخلاف القاعدة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معنای فنی و اصطلاحی قاعده فقهی است و مستقلاً بر حکم واقعی کلی که مجعول به جعل واحد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ضمان ید بوده و فی نفسه دلالت بر حکم شرعی واقعی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طریق اثبات حکم شرعی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ادله اجتهادی کتاب، سنت، اجماع و عقل استخراج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قواعد گرچه دلالت بر حکم شرعی واقعی دارند، اما این گونه نیست که مانند قواعد اصولیه، ابزار استنباط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شرعی دیگری از این گونه قواعد استخراج می‌شود؛ مثل حکم ضمان در عقد فاسد که به عنوان مصداق قاعده ما یضمن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قاعدة مع دلالتها علی الحکم الظاهری وبها یحرز صغری الحکم الشرعی کقاعدة الفراغ فهذا القسم کالسابق لا یقع فی طریق إثبات الجعل الشرعی بل یقع فی طریق إثبات مصداق متعلّق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بر حکم ظاهری دلالت می‌کنند و به وسیله آنها صغرای قیاس در استدلال به حکم شرعی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قاعده فراغ، این قسم هم در طریق اثبات حکم شرعی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طریق اثبات متعلق و مصداق حکم شرعی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قاعدة مع دلالتها علی الحکم الظاهری وبها نتوصّل إلی الحجة علی أصل الجعل کقاعدة الطهارة فی الشبهات الحکمیّة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دلالت بر حکم ظاهری داشته و توسط آنها حجت شرعی مبنی بر</w:t>
      </w:r>
    </w:p>
    <w:p>
      <w:pPr>
        <w:pStyle w:val="BookText"/>
        <w:rPr/>
      </w:pPr>
      <w:r>
        <w:rPr>
          <w:rFonts w:ascii="IRNazanin" w:hAnsi="IRNazanin" w:eastAsia="IRNazanin"/>
          <w:color w:val="111111"/>
          <w:sz w:val="28"/>
          <w:sz w:val="28"/>
          <w:szCs w:val="28"/>
          <w:rtl w:val="true"/>
          <w:lang w:bidi="fa-IR"/>
        </w:rPr>
        <w:t>اصل جعل قاعده توسط شارع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قاعدۀ طهارت در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قاعدة فقهیة استدلالیة استند الفقیه إلیها فی الاستنباط کقاعدة ظهور الأمر بالغسل فی الإرشاد إلی النجاسة والفرق بین القواعد الأُصولیة وهذین القسمین من القواعد الفقهیة عدم اختصاص القواعد الأُصولیة بباب فقهی معیّن بخلافهما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 استدلالی که فقیه در مقام استنباط به آنها استناد می‌کند و به ابواب خاصّی اختصاص دارد، بر خلاف قواعد اصولی که اختصاص به باب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قاعده غرور و قاعده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پس از تبیین کلام شهید صدر قدس سره، به نوعی تقسیم‌بندی ایشان را تنقیح نموده،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التقسیم مع قطع النظر عن بعض المناقشات الواردة علی بعض الأقسام، انما هو باعتبار الحکم الشرعی الّذی تدلّ علیه القاعدة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فالقاعدة الفقهیة اما ان تدلّ علی الحکم الشرعی الواقعی أو تدلّ علی الحکم الشرعی الظاهری وأیضاً امّا ان تکون بنفسها دالّة علی الحکم الشرعی وأمّا ان تقع فی طریق إثبات الحکم الشرعی وأیضاً امّا ان لا تدلّ علی الحکم الشرعی أصلًا بل تدلّ علی نفی الحکم الشرعی کقاعدة لا ضرر و لا جرح وقاعدة الحدود تدرأ بالشبهات وبعض القواعد الفقهیة فی مقام تبیین متعلّق الأحکام ولیس فی دائرة الأحکام نفیاً وإثباتاً نظیر کل ما توعد الشرع علیه بخصوصه فإنه کبیرة فهذه القاعدة فی مقام بیان تشخیص الذنب الکبیر ونظیر قاعدة کل ما لم یرد فیه دیة فی الشرع ففیه الحکومة فتحصل ان القواعد الفقهیة امّا ان تکون بصدد بیان متعلّق أو موضوعات الأحکام وأمّا ان تکون بصدد بیان الأحکام الکلیة نفیاً أو إثباتاً، واقعیّة أو ظاهریة</w:t>
      </w:r>
      <w:r>
        <w:rPr>
          <w:rFonts w:eastAsia="IRNazanin" w:cs="IRNazanin"/>
          <w:color w:val="111111"/>
          <w:sz w:val="28"/>
          <w:szCs w:val="28"/>
          <w:rtl w:val="true"/>
          <w:lang w:bidi="fa-IR"/>
        </w:rPr>
        <w:t>.</w:t>
      </w:r>
      <w:r>
        <w:rPr>
          <w:rStyle w:val="FootnoteAnchor"/>
          <w:rtl w:val="true"/>
        </w:rPr>
        <w:footnoteReference w:id="64"/>
      </w:r>
      <w:bookmarkStart w:id="93" w:name="pg5537_41288"/>
    </w:p>
    <w:p>
      <w:pPr>
        <w:pStyle w:val="BookText"/>
        <w:rPr/>
      </w:pPr>
      <w:bookmarkEnd w:id="93"/>
      <w:r>
        <w:rPr>
          <w:rFonts w:ascii="IRNazanin" w:hAnsi="IRNazanin" w:eastAsia="IRNazanin"/>
          <w:color w:val="111111"/>
          <w:sz w:val="28"/>
          <w:sz w:val="28"/>
          <w:szCs w:val="28"/>
          <w:rtl w:val="true"/>
          <w:lang w:bidi="fa-IR"/>
        </w:rPr>
        <w:t xml:space="preserve">ما حصل کلام استاد این که؛ ملاک شهید صدر قدس سره در تقسیم قواعد فقهی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جزئی که مصادیق قاعده کلی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یک تقسیم ثنائی می‌توان گفت که قواعد فقهیه بر دو نوع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قواعدی که در صدد بیان متعلق یا موضوع حکم شرعی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قواعدی که در صدد بیان احکام کلی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تقسیمات دیگری نیز وجود دارند که در ذیل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94" w:name="__RefHeading___Toc2472089_581953129"/>
      <w:bookmarkStart w:id="95" w:name="_Toc38"/>
      <w:bookmarkEnd w:id="94"/>
      <w:r>
        <w:rPr>
          <w:rtl w:val="true"/>
        </w:rPr>
        <w:t>تقسیم سوم</w:t>
      </w:r>
      <w:bookmarkEnd w:id="95"/>
    </w:p>
    <w:p>
      <w:pPr>
        <w:pStyle w:val="BookText"/>
        <w:rPr/>
      </w:pPr>
      <w:r>
        <w:rPr>
          <w:rFonts w:ascii="IRNazanin" w:hAnsi="IRNazanin" w:eastAsia="IRNazanin"/>
          <w:color w:val="111111"/>
          <w:sz w:val="28"/>
          <w:sz w:val="28"/>
          <w:szCs w:val="28"/>
          <w:rtl w:val="true"/>
          <w:lang w:bidi="fa-IR"/>
        </w:rPr>
        <w:t>برخی فقهای معاصر، قواعد فقهی را به پنج گروه تقسیم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قواعدی که اختصاص به باب فقهی خاصی ندارند، بلکه در تمام یا بیشتر ابواب فقه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قواعدی که اختصاص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به 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در سایر ابواب،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ضمان امین و قاعده تلف درزمان 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قواعدی که مختص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قاعدۀ فراغ و تجاوز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قواعدی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به معنی اعم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علاوه بر معاملات به معنی الاخص، شامل نکاح،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دسته، قواعد مدنی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قاعدۀ طهارت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استکشافی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قواعدی که برای انکشاف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موضوع خارجی که تحت ادلۀ احکام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حجیت بینه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bookmarkStart w:id="96" w:name="pg5537_41289"/>
    </w:p>
    <w:p>
      <w:pPr>
        <w:pStyle w:val="Heading4"/>
        <w:numPr>
          <w:ilvl w:val="3"/>
          <w:numId w:val="1"/>
        </w:numPr>
        <w:rPr/>
      </w:pPr>
      <w:bookmarkStart w:id="97" w:name="__RefHeading___Toc2472091_581953129"/>
      <w:bookmarkStart w:id="98" w:name="_Toc39"/>
      <w:bookmarkEnd w:id="96"/>
      <w:bookmarkEnd w:id="97"/>
      <w:r>
        <w:rPr>
          <w:rtl w:val="true"/>
        </w:rPr>
        <w:t>تقسیم چهارم</w:t>
      </w:r>
      <w:bookmarkEnd w:id="98"/>
    </w:p>
    <w:p>
      <w:pPr>
        <w:pStyle w:val="BookText"/>
        <w:rPr/>
      </w:pPr>
      <w:r>
        <w:rPr>
          <w:rFonts w:ascii="IRNazanin" w:hAnsi="IRNazanin" w:eastAsia="IRNazanin"/>
          <w:color w:val="111111"/>
          <w:sz w:val="28"/>
          <w:sz w:val="28"/>
          <w:szCs w:val="28"/>
          <w:rtl w:val="true"/>
          <w:lang w:bidi="fa-IR"/>
        </w:rPr>
        <w:t>برخی حقوقدانان درتقسیم قاعده فقهی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فقهی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حکم شارع به عنوان واقعی شیء عام و کلی تعلق گرفته باشد، بدون آنکه جهل به واقع، در موضوع ملحوظ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قواعد فقهی واقعی هستند و دلیل اثبات کنندۀ آنها، دلیل اجتهادی است؛ مثل ضمان ید، اتلاف و تسبیب که در آنها، حکم ضمان به عنوانهای کلی وضع ید بر مال غیر، اتلاف و تسبیب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حکم شارع به شیء عام و کلی تعلق یافته، ولی آن شیء نه به عنوان واقعی، بلکه به عنوان شیء مجهول الحکم موضوع و متعلق حکم شارع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قواعد فقهی را اصول عملیه می‌گویند؛ مانند اصل طهارت و اصل برائت که در اولی، حکم طهارت نسبت به موضوعی که پاکی و نجسی آن مشخص نیست جاری است و در دومی، حکم برائت یا اباحه بر هر موضوعی که حکم آن مجهول است،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موضوع حکم شرعی در تمام این موارد، شیء کلی است، ولی نه به عنوان واقعی خود شیء، بلکه به این عنوان که حکم شرعی آن شیء،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عملیه آن دسته از قواعد فقهی است که مفاد آن حکم ظاهری و موضوع آن، اشیا به عنوان مجهول الحکم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تقسیم بندی، همان تقسیم اول از تقسیمات ثنایی شهید صدر به تبیین حضرت استاد است</w:t>
      </w:r>
      <w:r>
        <w:rPr>
          <w:rFonts w:eastAsia="IRNazanin" w:cs="IRNazanin"/>
          <w:color w:val="111111"/>
          <w:sz w:val="28"/>
          <w:szCs w:val="28"/>
          <w:rtl w:val="true"/>
          <w:lang w:bidi="fa-IR"/>
        </w:rPr>
        <w:t>.</w:t>
      </w:r>
      <w:r>
        <w:rPr>
          <w:rStyle w:val="FootnoteAnchor"/>
          <w:rtl w:val="true"/>
        </w:rPr>
        <w:footnoteReference w:id="68"/>
      </w:r>
      <w:bookmarkStart w:id="99" w:name="pg5537_41290"/>
    </w:p>
    <w:p>
      <w:pPr>
        <w:pStyle w:val="BookText"/>
        <w:rPr/>
      </w:pPr>
      <w:bookmarkEnd w:id="99"/>
      <w:r>
        <w:rPr>
          <w:rFonts w:ascii="IRNazanin" w:hAnsi="IRNazanin" w:eastAsia="IRNazanin"/>
          <w:color w:val="111111"/>
          <w:sz w:val="28"/>
          <w:sz w:val="28"/>
          <w:szCs w:val="28"/>
          <w:rtl w:val="true"/>
          <w:lang w:bidi="fa-IR"/>
        </w:rPr>
        <w:t>البته تقسیمات دیگری نیز در کلام فقها دیده می‌شود که به جهت عدم ترتب فایده و پرهیز از اطالۀ کلام، از ذکر آنها خودداری می‌شود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00" w:name="__RefHeading___Toc2472093_581953129"/>
      <w:bookmarkStart w:id="101" w:name="_Toc40"/>
      <w:bookmarkEnd w:id="100"/>
      <w:r>
        <w:rPr>
          <w:rtl w:val="true"/>
        </w:rPr>
        <w:t>ج</w:t>
      </w:r>
      <w:r>
        <w:rPr>
          <w:rtl w:val="true"/>
        </w:rPr>
        <w:t xml:space="preserve">) </w:t>
      </w:r>
      <w:r>
        <w:rPr>
          <w:rtl w:val="true"/>
        </w:rPr>
        <w:t xml:space="preserve">جایگاه قاعدۀ </w:t>
      </w:r>
      <w:r>
        <w:rPr>
          <w:rtl w:val="true"/>
        </w:rPr>
        <w:t>«</w:t>
      </w:r>
      <w:r>
        <w:rPr>
          <w:rtl w:val="true"/>
        </w:rPr>
        <w:t>من ملک</w:t>
      </w:r>
      <w:r>
        <w:rPr>
          <w:rtl w:val="true"/>
        </w:rPr>
        <w:t xml:space="preserve">» </w:t>
      </w:r>
      <w:r>
        <w:rPr>
          <w:rtl w:val="true"/>
        </w:rPr>
        <w:t>در تقسیمات قواعد فقهی</w:t>
      </w:r>
      <w:bookmarkEnd w:id="101"/>
    </w:p>
    <w:p>
      <w:pPr>
        <w:pStyle w:val="BookText"/>
        <w:rPr/>
      </w:pPr>
      <w:r>
        <w:rPr>
          <w:rFonts w:ascii="IRNazanin" w:hAnsi="IRNazanin" w:eastAsia="IRNazanin"/>
          <w:color w:val="111111"/>
          <w:sz w:val="28"/>
          <w:sz w:val="28"/>
          <w:szCs w:val="28"/>
          <w:rtl w:val="true"/>
          <w:lang w:bidi="fa-IR"/>
        </w:rPr>
        <w:t>گذشت که فقها و حقوقدانان، قواعد فقهی را از جهات گوناگون به اقسام مختلف تقسیم کرده‌اند که ما به چهار نوع آن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تقسیمات مذکور، به نظر می‌رسد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قواعد ظاهریه استکشافی و مربوط به باب قضا بوده و مصادیق آن اختصاص به باب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قاعدۀ مورد بحث، در زمرۀ قواعدی است که فی نفسه، دلالت بر حکم شرعی ندارد؛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اثبات حکم شرعی واقع می‌شود</w:t>
      </w:r>
      <w:r>
        <w:rPr>
          <w:rFonts w:eastAsia="IRNazanin" w:cs="IRNazanin"/>
          <w:color w:val="111111"/>
          <w:sz w:val="28"/>
          <w:szCs w:val="28"/>
          <w:rtl w:val="true"/>
          <w:lang w:bidi="fa-IR"/>
        </w:rPr>
        <w:t>.</w:t>
      </w:r>
    </w:p>
    <w:p>
      <w:pPr>
        <w:pStyle w:val="Heading3"/>
        <w:numPr>
          <w:ilvl w:val="2"/>
          <w:numId w:val="1"/>
        </w:numPr>
        <w:rPr/>
      </w:pPr>
      <w:bookmarkStart w:id="102" w:name="__RefHeading___Toc2472095_581953129"/>
      <w:bookmarkStart w:id="103" w:name="_Toc41"/>
      <w:bookmarkEnd w:id="102"/>
      <w:r>
        <w:rPr>
          <w:rtl w:val="true"/>
        </w:rPr>
        <w:t>چ</w:t>
      </w:r>
      <w:r>
        <w:rPr>
          <w:rtl w:val="true"/>
        </w:rPr>
        <w:t xml:space="preserve">) </w:t>
      </w:r>
      <w:r>
        <w:rPr>
          <w:rtl w:val="true"/>
        </w:rPr>
        <w:t>پیشینۀ تحقیق</w:t>
      </w:r>
      <w:bookmarkEnd w:id="103"/>
    </w:p>
    <w:p>
      <w:pPr>
        <w:pStyle w:val="BookText"/>
        <w:rPr/>
      </w:pPr>
      <w:r>
        <w:rPr>
          <w:rFonts w:ascii="IRNazanin" w:hAnsi="IRNazanin" w:eastAsia="IRNazanin"/>
          <w:color w:val="111111"/>
          <w:sz w:val="28"/>
          <w:sz w:val="28"/>
          <w:szCs w:val="28"/>
          <w:rtl w:val="true"/>
          <w:lang w:bidi="fa-IR"/>
        </w:rPr>
        <w:t xml:space="preserve">در آثار متقدمین از فقهای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اما این بزرگان بحث مستقلی دربارۀ آن ارائه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اول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فقیهی است که صفحاتی از اثر قیم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این قاعده اختصاص داده و از آن با این تعبیر یاد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قدر علی إنشاء شیءٍ قدر علی الاقرار به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کتب قواعد فقهیه از فقهای عامّه نیز از قاعدۀ مزبور بحث نموده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 محمد بن بهادر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معاصر شهید اول بوده،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المنثور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چند به اصل قاعده و استثنائات وارد بر آن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اسداللّه تستری کاظمی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چون در آخر رساله وی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هذا آخر مبلغ النظر و نتیجه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آن را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آقا بزرگ تهرانی سبب تألیف این رساله اختلاف نظر میان ایشان و استادشان مرحوم کاشف الغطاء بر سر این مسأله بوده است که آیا اقرار زوج به طلاق در حق زوجه نافذ است یا خیر؟ استاد وی نظر به عدم نفوذ داشته و ایشان قائل به نفوذ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تألیف رساله و ملاحظه استادشان، مطالب کتاب با عبارت زیر تأیید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ما ذکره ولدنا المحقّق المدقق العلامه الشیخ اسد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شیخ آقا بزرگ قدس سره، وی نسخه‌ای از این رساله را در کتابخانه شخصی سید محمد جزایری ملاحظه نموده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مرتضی انصاری رحمه الله، رسالۀ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قاعده 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آخر کتاب مکاسب وی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رساله به همراه سایر رسائل فقهی شیخ از سوی گروه تحقیق آثار شیخ وابسته به کنگرۀ جهانی بزرگداشت دویستمین سالگرد ولادت شیخ انصاری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یک مجلد در قم با تحقیقی کامل به زیور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رساله سه شرح 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مرحوم شیخ عبداللّه مامقانی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حاشیه مبسوط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خیارات کتاب مکاسب شیخ انصاری در نجف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مرحوم میرزا فتاح شهیدی تبریزی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خاتمه جلد دوم حاشیه کبیر او بر مکاسب،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تبریز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حاشیه گونه مرحوم امام خمینی قدس سره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یک جلد توسط مؤسسه تنظیم و نشر آثار امام خمینی قدس سره،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ثقة‌الاسلام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قاعده 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علیمحمد مدرس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برجستۀ مرحوم میرزا محمد حسن شیرازی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وجیزة فی قاعده من ملک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همراه چند رساله دیگر در یک جلد با مقدّمه فرزندش سید حسن مدرس، به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به صورت چاپ سنگی در اصفهان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رسالۀ مزبور در سایت تحقیقات علوم انسانی موجود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حسین کاشف الغطاء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وزین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تحریر المجله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پیرامون آن به صورت موجز بحث نموده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حسن بجنوردی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محقّق حضرت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آیة‌اللّه محمد فاضل لنکرانی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مبسوط و مکفی مورد بحث قرار داده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ناصر مکارم شیرازی از فقهای معاصر؛ بیست و نهمین قاعدۀ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الاقرار و 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از آن دو در کنار هم بحث نموده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 تقی طباطبایی قمی از فقهای معاصر نیز اولین قاعدۀ کتاب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البهیة فی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مطلب اختصاص داده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معاصرینی که پیرامون قاعدۀ مزبور قلم‌فرسایی نموده‌اند، محقق محترم آقای سید محمد کاظم مصطفوی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قاعدة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بزرگوار آقای شیخ باقر ایروانی از معاصرین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تمهیدیة فی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قاعدۀ اقرار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مورد بحث قرار داده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این بود مباحث تمهیدی که به عنوان مقدمه برای ورود به بحث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سبک و سیاق حضرت استاد در تدریس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ترتیب ارائۀ مطالب عمدتاً بر اساس رساله‌ای که مرحوم شیخ اعظم؛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نموده، بوده است، این نوشتار نیز در حالت کلی بر همین اساس تدوین شده و مباحث پیرامون این قاعده، در ضمن دو مبحث به شرح زیر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 مستندات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اول، مستندات و ادلۀ قاعده در ضمن دو فصل مطرح خواهد شد، تا وجود و اعتبار چنین قاعده‌ای اثبات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طریقه اثبات آن با دیگر قواعد متفاوت می‌باشد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 خود شامل سه فصل می‌باشد که فصل نخست اختصاص به بررسی مفردات قاعده و تفکیک الفاظ آن داشته، پس از آن با بررسی موارد و مصادیق قاعده، مبحث ادامه یافته و در فصل دوم شرایط و حدود اجرای قاعده، زمان اعتبار اقرار مقر، و مسائل دیگر پیرامون آن و سپس در فصل سوم گسترۀ قاعدۀ مورد بحث قرار خواهد گرفت، ان شاء اللّه</w:t>
      </w:r>
      <w:r>
        <w:rPr>
          <w:rFonts w:eastAsia="IRNazanin" w:cs="IRNazanin"/>
          <w:color w:val="111111"/>
          <w:sz w:val="28"/>
          <w:szCs w:val="28"/>
          <w:rtl w:val="true"/>
          <w:lang w:bidi="fa-IR"/>
        </w:rPr>
        <w:t>.</w:t>
      </w:r>
      <w:bookmarkStart w:id="104" w:name="pg5537_41296"/>
    </w:p>
    <w:p>
      <w:pPr>
        <w:pStyle w:val="Heading2"/>
        <w:numPr>
          <w:ilvl w:val="1"/>
          <w:numId w:val="1"/>
        </w:numPr>
        <w:rPr/>
      </w:pPr>
      <w:bookmarkStart w:id="105" w:name="__RefHeading___Toc2472097_581953129"/>
      <w:bookmarkStart w:id="106" w:name="_Toc42"/>
      <w:bookmarkEnd w:id="104"/>
      <w:bookmarkEnd w:id="105"/>
      <w:r>
        <w:rPr>
          <w:rtl w:val="true"/>
        </w:rPr>
        <w:t>مبحث اول</w:t>
      </w:r>
      <w:r>
        <w:rPr>
          <w:rtl w:val="true"/>
        </w:rPr>
        <w:t xml:space="preserve">: </w:t>
      </w:r>
      <w:r>
        <w:rPr>
          <w:rtl w:val="true"/>
        </w:rPr>
        <w:t xml:space="preserve">ادله و مستندات قاعده </w:t>
      </w:r>
      <w:r>
        <w:rPr>
          <w:rtl w:val="true"/>
        </w:rPr>
        <w:t>«</w:t>
      </w:r>
      <w:r>
        <w:rPr>
          <w:rtl w:val="true"/>
        </w:rPr>
        <w:t>من ملک</w:t>
      </w:r>
      <w:r>
        <w:rPr>
          <w:rtl w:val="true"/>
        </w:rPr>
        <w:t>»</w:t>
      </w:r>
      <w:bookmarkEnd w:id="1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472099_581953129"/>
      <w:bookmarkStart w:id="108" w:name="_Toc43"/>
      <w:bookmarkEnd w:id="107"/>
      <w:r>
        <w:rPr>
          <w:rtl w:val="true"/>
        </w:rPr>
        <w:t>اشاره</w:t>
      </w:r>
      <w:bookmarkStart w:id="109" w:name="pg5537_41298"/>
      <w:bookmarkEnd w:id="108"/>
    </w:p>
    <w:p>
      <w:pPr>
        <w:pStyle w:val="Heading3"/>
        <w:numPr>
          <w:ilvl w:val="2"/>
          <w:numId w:val="1"/>
        </w:numPr>
        <w:rPr/>
      </w:pPr>
      <w:bookmarkStart w:id="110" w:name="__RefHeading___Toc2472101_581953129"/>
      <w:bookmarkStart w:id="111" w:name="_Toc44"/>
      <w:bookmarkEnd w:id="109"/>
      <w:bookmarkEnd w:id="110"/>
      <w:r>
        <w:rPr>
          <w:rtl w:val="true"/>
        </w:rPr>
        <w:t>مبحث اول</w:t>
      </w:r>
      <w:r>
        <w:rPr>
          <w:rtl w:val="true"/>
        </w:rPr>
        <w:t xml:space="preserve">: </w:t>
      </w:r>
      <w:r>
        <w:rPr>
          <w:rtl w:val="true"/>
        </w:rPr>
        <w:t xml:space="preserve">ادله و مستندات قاعده </w:t>
      </w:r>
      <w:r>
        <w:rPr>
          <w:rtl w:val="true"/>
        </w:rPr>
        <w:t>«</w:t>
      </w:r>
      <w:r>
        <w:rPr>
          <w:rtl w:val="true"/>
        </w:rPr>
        <w:t>من ملک</w:t>
      </w:r>
      <w:r>
        <w:rPr>
          <w:rtl w:val="true"/>
        </w:rPr>
        <w:t>»</w:t>
      </w:r>
      <w:bookmarkEnd w:id="111"/>
    </w:p>
    <w:p>
      <w:pPr>
        <w:pStyle w:val="Heading4"/>
        <w:numPr>
          <w:ilvl w:val="3"/>
          <w:numId w:val="1"/>
        </w:numPr>
        <w:rPr/>
      </w:pPr>
      <w:bookmarkStart w:id="112" w:name="__RefHeading___Toc2472103_581953129"/>
      <w:bookmarkStart w:id="113" w:name="_Toc45"/>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متن قاعده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و سنت، چنین قاعده‌ای با این متن از حضرات معصومین علیهم السلام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فتاوای فقهای عظام؛ مانند شیخ طوسی رحمه الله تا متأخرینی همچون صاحب جواهر رحمه الله مبتنی بر همین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مستند برخی از قواعد فقهیه، آیۀ قرآن است، برخی تنها مستند روایی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تعدادی از قواعد نیز بنای عقلاست و برخی دیگر، تنها از پشتوانۀ اجماع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قواعد فقهیه نیز دو یا چند مستند از ادلۀ مذکور 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اولین قدم اینست که مستندات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ببینیم این قاعده، در میان ادلّه چه جایگاهی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داشته باشیم که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مستندات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قسمت بحث دربارۀ قاعده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نتوانیم دلایل کافی بر حجیت آن اقامه کنیم، استناد به قاعده در غیر مواردی که از جانب فقها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آتی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بدون اثبات حجیت قاعده، نمی‌توان آن را به عنوان قاعده‌ای کلی تلقی نمود که بر تمام مصادیق خود شمول داشته و اختصاص به باب یا موارد خاصی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اعتبار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متعددی قابل طرح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فقها برای آن یازده مستند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از این مستندات، به صورت دلیل مستقلی برای این قاعده مطرح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سیرۀ متشرعه، بنای عقلا، ظهور معتبر و ملازمۀ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دلیل دیگر، عبارتست از شش قاعدۀ فقهی هم عرض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به این صورت که ادعا شود ادلۀ این قواعد، بر حجیت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ادلۀ مستقل را مطرح نموده و سپس قواعد شش گانه را به عنوان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خواهیم داد</w:t>
      </w:r>
      <w:r>
        <w:rPr>
          <w:rFonts w:eastAsia="IRNazanin" w:cs="IRNazanin"/>
          <w:color w:val="111111"/>
          <w:sz w:val="28"/>
          <w:szCs w:val="28"/>
          <w:rtl w:val="true"/>
          <w:lang w:bidi="fa-IR"/>
        </w:rPr>
        <w:t>.</w:t>
      </w:r>
      <w:bookmarkStart w:id="114" w:name="pg5537_41300"/>
    </w:p>
    <w:p>
      <w:pPr>
        <w:pStyle w:val="Heading4"/>
        <w:numPr>
          <w:ilvl w:val="3"/>
          <w:numId w:val="1"/>
        </w:numPr>
        <w:rPr/>
      </w:pPr>
      <w:bookmarkStart w:id="115" w:name="__RefHeading___Toc2472105_581953129"/>
      <w:bookmarkStart w:id="116" w:name="_Toc46"/>
      <w:bookmarkEnd w:id="114"/>
      <w:bookmarkEnd w:id="115"/>
      <w:r>
        <w:rPr>
          <w:rtl w:val="true"/>
        </w:rPr>
        <w:t>فصل اول</w:t>
      </w:r>
      <w:r>
        <w:rPr>
          <w:rtl w:val="true"/>
        </w:rPr>
        <w:t xml:space="preserve">: </w:t>
      </w:r>
      <w:r>
        <w:rPr>
          <w:rtl w:val="true"/>
        </w:rPr>
        <w:t xml:space="preserve">ادلۀ مستقل قاعدۀ </w:t>
      </w:r>
      <w:r>
        <w:rPr>
          <w:rtl w:val="true"/>
        </w:rPr>
        <w:t>«</w:t>
      </w:r>
      <w:r>
        <w:rPr>
          <w:rtl w:val="true"/>
        </w:rPr>
        <w:t>من ملک</w:t>
      </w:r>
      <w:r>
        <w:rPr>
          <w:rtl w:val="true"/>
        </w:rPr>
        <w:t>»</w:t>
      </w:r>
      <w:bookmarkEnd w:id="116"/>
    </w:p>
    <w:p>
      <w:pPr>
        <w:pStyle w:val="Heading5"/>
        <w:numPr>
          <w:ilvl w:val="4"/>
          <w:numId w:val="1"/>
        </w:numPr>
        <w:rPr/>
      </w:pPr>
      <w:bookmarkStart w:id="117" w:name="__RefHeading___Toc2472107_581953129"/>
      <w:bookmarkStart w:id="118" w:name="_Toc47"/>
      <w:bookmarkEnd w:id="117"/>
      <w:r>
        <w:rPr>
          <w:rtl w:val="true"/>
        </w:rPr>
        <w:t>دلیل اول</w:t>
      </w:r>
      <w:r>
        <w:rPr>
          <w:rtl w:val="true"/>
        </w:rPr>
        <w:t xml:space="preserve">: </w:t>
      </w:r>
      <w:r>
        <w:rPr>
          <w:rtl w:val="true"/>
        </w:rPr>
        <w:t>اجماع</w:t>
      </w:r>
      <w:bookmarkEnd w:id="118"/>
    </w:p>
    <w:p>
      <w:pPr>
        <w:pStyle w:val="Heading6"/>
        <w:numPr>
          <w:ilvl w:val="5"/>
          <w:numId w:val="1"/>
        </w:numPr>
        <w:rPr/>
      </w:pPr>
      <w:bookmarkStart w:id="119" w:name="__RefHeading___Toc2472109_581953129"/>
      <w:bookmarkStart w:id="120" w:name="_Toc48"/>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ابتدا کلمات فقها را مورد بررسی قرار می‌دهیم تا اولاً مفاد قاعده، اجمالاً روشن شود و ثانیاً ببینیم که آیا از کلمات ایشان، می‌توان اجماعی برای این قاعده به دست آورد یا خیر؟ زیرا اگر اجماع حاصل شود، اگر چه آیه یا روایتی دال بر آن نباشد، این قاعده، مستند و مستدل خواهد بود به دلیل اجماع</w:t>
      </w:r>
      <w:r>
        <w:rPr>
          <w:rFonts w:eastAsia="IRNazanin" w:cs="IRNazanin"/>
          <w:color w:val="111111"/>
          <w:sz w:val="28"/>
          <w:szCs w:val="28"/>
          <w:rtl w:val="true"/>
          <w:lang w:bidi="fa-IR"/>
        </w:rPr>
        <w:t>.</w:t>
      </w:r>
    </w:p>
    <w:p>
      <w:pPr>
        <w:pStyle w:val="Heading6"/>
        <w:numPr>
          <w:ilvl w:val="5"/>
          <w:numId w:val="1"/>
        </w:numPr>
        <w:rPr/>
      </w:pPr>
      <w:bookmarkStart w:id="121" w:name="__RefHeading___Toc2472111_581953129"/>
      <w:bookmarkStart w:id="122" w:name="_Toc49"/>
      <w:bookmarkEnd w:id="121"/>
      <w:r>
        <w:rPr>
          <w:rtl w:val="true"/>
        </w:rPr>
        <w:t>الف</w:t>
      </w:r>
      <w:r>
        <w:rPr>
          <w:rtl w:val="true"/>
        </w:rPr>
        <w:t xml:space="preserve">) </w:t>
      </w:r>
      <w:r>
        <w:rPr>
          <w:rtl w:val="true"/>
        </w:rPr>
        <w:t xml:space="preserve">قاعده </w:t>
      </w:r>
      <w:r>
        <w:rPr>
          <w:rtl w:val="true"/>
        </w:rPr>
        <w:t>«</w:t>
      </w:r>
      <w:r>
        <w:rPr>
          <w:rtl w:val="true"/>
        </w:rPr>
        <w:t>من ملک</w:t>
      </w:r>
      <w:r>
        <w:rPr>
          <w:rtl w:val="true"/>
        </w:rPr>
        <w:t xml:space="preserve">» </w:t>
      </w:r>
      <w:r>
        <w:rPr>
          <w:rtl w:val="true"/>
        </w:rPr>
        <w:t>در کلمات فقها</w:t>
      </w:r>
      <w:bookmarkEnd w:id="122"/>
    </w:p>
    <w:p>
      <w:pPr>
        <w:pStyle w:val="Heading6"/>
        <w:numPr>
          <w:ilvl w:val="5"/>
          <w:numId w:val="1"/>
        </w:numPr>
        <w:rPr/>
      </w:pPr>
      <w:bookmarkStart w:id="123" w:name="__RefHeading___Toc2472113_581953129"/>
      <w:bookmarkStart w:id="124" w:name="_Toc50"/>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در کلمات فقهای عظام، در خصوص قاعدۀ مزبور، هم از حیث اثبات و هم از حیث نفی تعابیر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جانب اثباتی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جانب نفی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یکون مالکاً علی الإنشاء فی شیءٍ لا یکون إقراره نافذا</w:t>
      </w:r>
      <w:r>
        <w:rPr>
          <w:rFonts w:eastAsia="IRNazanin" w:cs="IRNazanin"/>
          <w:color w:val="111111"/>
          <w:sz w:val="28"/>
          <w:szCs w:val="28"/>
          <w:rtl w:val="true"/>
          <w:lang w:bidi="fa-IR"/>
        </w:rPr>
        <w:t>».</w:t>
      </w:r>
      <w:r>
        <w:rPr>
          <w:rStyle w:val="FootnoteAnchor"/>
          <w:rtl w:val="true"/>
        </w:rPr>
        <w:footnoteReference w:id="8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رحمه الله از جمله فقهایی است که قاعده را از جانب اثبات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bookmarkStart w:id="125" w:name="pg5537_41301"/>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قدر علی إنشاء شیءٍ قدر علی الإقرار به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یعنی هر کسی که صلاحیت دارد در مورد چیزی انشاء کند، اقرار او در مورد انشاء خود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مجاز است در مورد مالی انشاء بیع، هبه، یا وقف کند، این شخص اگر اقرار کرد که من مال مزبور را وقف کردم، این اقرار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مرحوم علامه رحمه الله قاعده را بصورت نفی طرح نموده،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لا یتمکن من إنشاء شیءٍ لا ینفذ إقراره فیه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یعنی هر کسی که در موردی، تمکن از انشاء ندارد؛ اقرار او در آن مورد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اشکال و صور مختلف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مسائلی که بر آنها در مقام استدلال، به قاعدۀ مزبور استناد شده است؛ از منظر فقهای امامیه و عامه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این کلمات، معنای قاعده را نیز اجمالاً روشن می‌کند</w:t>
      </w:r>
      <w:r>
        <w:rPr>
          <w:rFonts w:eastAsia="IRNazanin" w:cs="IRNazanin"/>
          <w:color w:val="111111"/>
          <w:sz w:val="28"/>
          <w:szCs w:val="28"/>
          <w:rtl w:val="true"/>
          <w:lang w:bidi="fa-IR"/>
        </w:rPr>
        <w:t>.</w:t>
      </w:r>
    </w:p>
    <w:p>
      <w:pPr>
        <w:pStyle w:val="Heading6"/>
        <w:numPr>
          <w:ilvl w:val="5"/>
          <w:numId w:val="1"/>
        </w:numPr>
        <w:rPr/>
      </w:pPr>
      <w:bookmarkStart w:id="126" w:name="__RefHeading___Toc2472115_581953129"/>
      <w:bookmarkStart w:id="127" w:name="_Toc51"/>
      <w:bookmarkEnd w:id="126"/>
      <w:r>
        <w:rPr/>
        <w:t>1</w:t>
      </w:r>
      <w:r>
        <w:rPr>
          <w:rtl w:val="true"/>
        </w:rPr>
        <w:t xml:space="preserve">- </w:t>
      </w:r>
      <w:r>
        <w:rPr>
          <w:rtl w:val="true"/>
        </w:rPr>
        <w:t xml:space="preserve">قاعده </w:t>
      </w:r>
      <w:r>
        <w:rPr>
          <w:rtl w:val="true"/>
        </w:rPr>
        <w:t>«</w:t>
      </w:r>
      <w:r>
        <w:rPr>
          <w:rtl w:val="true"/>
        </w:rPr>
        <w:t>من ملک</w:t>
      </w:r>
      <w:r>
        <w:rPr>
          <w:rtl w:val="true"/>
        </w:rPr>
        <w:t xml:space="preserve">» </w:t>
      </w:r>
      <w:r>
        <w:rPr>
          <w:rtl w:val="true"/>
        </w:rPr>
        <w:t>در کلمات فقهای امامیه</w:t>
      </w:r>
      <w:bookmarkEnd w:id="127"/>
    </w:p>
    <w:p>
      <w:pPr>
        <w:pStyle w:val="Heading6"/>
        <w:numPr>
          <w:ilvl w:val="5"/>
          <w:numId w:val="1"/>
        </w:numPr>
        <w:rPr/>
      </w:pPr>
      <w:bookmarkStart w:id="128" w:name="__RefHeading___Toc2472117_581953129"/>
      <w:bookmarkStart w:id="129" w:name="_Toc52"/>
      <w:bookmarkEnd w:id="128"/>
      <w:r>
        <w:rPr/>
        <w:t>1-1</w:t>
      </w:r>
      <w:r>
        <w:rPr>
          <w:rtl w:val="true"/>
        </w:rPr>
        <w:t xml:space="preserve">. </w:t>
      </w:r>
      <w:r>
        <w:rPr>
          <w:rtl w:val="true"/>
        </w:rPr>
        <w:t>کلام اول شیخ طوسی در مبسوط‌</w:t>
      </w:r>
      <w:bookmarkEnd w:id="129"/>
    </w:p>
    <w:p>
      <w:pPr>
        <w:pStyle w:val="BookText"/>
        <w:rPr/>
      </w:pPr>
      <w:r>
        <w:rPr>
          <w:rFonts w:ascii="IRNazanin" w:hAnsi="IRNazanin" w:eastAsia="IRNazanin"/>
          <w:color w:val="111111"/>
          <w:sz w:val="28"/>
          <w:sz w:val="28"/>
          <w:szCs w:val="28"/>
          <w:rtl w:val="true"/>
          <w:lang w:bidi="fa-IR"/>
        </w:rPr>
        <w:t>مرحوم شیخ الطائفه رحمه الله نخستین کسی است که به این قاعده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مسئلۀ اقرار عبد مأذون در تجارت،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یتعلق بالتجارة مثل ثمن المبیع وأرش المعیب، وما أشبه ذلک، فإنه یقبل إقراره، لأن من ملک شیئاً ملک الإقرار به</w:t>
      </w:r>
      <w:r>
        <w:rPr>
          <w:rFonts w:eastAsia="IRNazanin" w:cs="IRNazanin"/>
          <w:color w:val="111111"/>
          <w:sz w:val="28"/>
          <w:szCs w:val="28"/>
          <w:rtl w:val="true"/>
          <w:lang w:bidi="fa-IR"/>
        </w:rPr>
        <w:t>».</w:t>
      </w:r>
      <w:r>
        <w:rPr>
          <w:rStyle w:val="FootnoteAnchor"/>
          <w:rtl w:val="true"/>
        </w:rPr>
        <w:footnoteReference w:id="8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عبدی از جانب مولایش اذن در تجارت نداشته باشد، اقرارش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مأذون باشد، در صورتی که مال مقرّبه مربوط به امر تجارت باشد،</w:t>
      </w:r>
    </w:p>
    <w:p>
      <w:pPr>
        <w:pStyle w:val="BookText"/>
        <w:rPr/>
      </w:pPr>
      <w:r>
        <w:rPr>
          <w:rFonts w:ascii="IRNazanin" w:hAnsi="IRNazanin" w:eastAsia="IRNazanin"/>
          <w:color w:val="111111"/>
          <w:sz w:val="28"/>
          <w:sz w:val="28"/>
          <w:szCs w:val="28"/>
          <w:rtl w:val="true"/>
          <w:lang w:bidi="fa-IR"/>
        </w:rPr>
        <w:t>مانند ثمن مبیع و ارش معیب، اقرار او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در مقام استدلال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من ملک شیئا ملک الاقرار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عبدی مأذون در تجارت است، مالی را فروخته و اقرار می‌کند که ثمن مبیع، ده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مأذونی، ارش یک عیبی را گرفته، سپس اقرار می‌کند که ارش دو هزار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اقرارش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بین عبد مأذون و بین آذِن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 مثل اینکه آن کسی که به او اذن داده، ادعا کند که عبد مال را به قیمت بیشتری مثلاً بیست هزار تومان فروخته، عبد چون مالک این انشاء بوده مالک اقرار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ملک شیئاً ملک الإقرار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ینظر فیه، فان کان الإقرار بقدر ما فی یده من مال التجارة قبل وقضی منه، وإن کان أکثر کان الفاضل فی یده</w:t>
      </w:r>
      <w:r>
        <w:rPr>
          <w:rStyle w:val="FootnoteAnchor"/>
          <w:rtl w:val="true"/>
        </w:rPr>
        <w:footnoteReference w:id="85"/>
      </w:r>
      <w:r>
        <w:rPr>
          <w:rFonts w:ascii="IRNazanin" w:hAnsi="IRNazanin" w:eastAsia="IRNazanin"/>
          <w:color w:val="111111"/>
          <w:sz w:val="28"/>
          <w:sz w:val="28"/>
          <w:szCs w:val="28"/>
          <w:rtl w:val="true"/>
          <w:lang w:bidi="fa-IR"/>
        </w:rPr>
        <w:t>یتبع به إذا أعتق</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یعنی در صورتی حرف عبد قابل قبول است که مبلغ بیش از قیمت مبیع نباشد و الا اگر مبلغ و پول بیش از قیمت مال التجاره باشد،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قیمت مالی که فروخته یکصد تومان است، اما عبد پانصد تومان در دستش دارد، اقرار او در یکصد تومان قابل سماع است، اما در چهار صد تومان مازاد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مازاد تابع خود عبد است، هر موقع آزاد شد، خودش می‌داند که با مازاد چه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مازاد مربوط به عبد است، اگر واقعاً مال خودش است بر می‌دارد و اگر مال دیگری است، به صاحبش برمی‌گرداند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تومان فروختم، و همین ده هزار تومان هم در</w:t>
      </w:r>
      <w:bookmarkStart w:id="130" w:name="pg5537_41303"/>
    </w:p>
    <w:p>
      <w:pPr>
        <w:pStyle w:val="BookText"/>
        <w:rPr/>
      </w:pPr>
      <w:bookmarkEnd w:id="130"/>
      <w:r>
        <w:rPr>
          <w:rFonts w:ascii="IRNazanin" w:hAnsi="IRNazanin" w:eastAsia="IRNazanin"/>
          <w:color w:val="111111"/>
          <w:sz w:val="28"/>
          <w:sz w:val="28"/>
          <w:szCs w:val="28"/>
          <w:rtl w:val="true"/>
          <w:lang w:bidi="fa-IR"/>
        </w:rPr>
        <w:t>دستش بود، اقرار او قبول و ثمن از او گرفته می‌شود، ولی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مال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موجود بود، آن ده هزار تومان اضافه نیز در ذمه‌اش می‌آید و بعد از اینکه آزاد شد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پس از نقل کلام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ادریس نیز در سرائر</w:t>
      </w:r>
      <w:r>
        <w:rPr>
          <w:rStyle w:val="FootnoteAnchor"/>
          <w:rtl w:val="true"/>
        </w:rPr>
        <w:footnoteReference w:id="87"/>
      </w:r>
      <w:r>
        <w:rPr>
          <w:rFonts w:ascii="IRNazanin" w:hAnsi="IRNazanin" w:eastAsia="IRNazanin"/>
          <w:color w:val="111111"/>
          <w:sz w:val="28"/>
          <w:sz w:val="28"/>
          <w:szCs w:val="28"/>
          <w:rtl w:val="true"/>
          <w:lang w:bidi="fa-IR"/>
        </w:rPr>
        <w:t>همین مطلب شیخ را از مبسوط نقل کرده بدون اینکه اعتراضی بر شیخ طوسی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دأب ابن ادریس این است که در سرائر، هر کجا حرفی از شیخ طوسی نقل می‌کند؛ اگر مورد رضایتش نباشد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عبارت شیخ طوسی را آورده و اشکالی وارد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نظر ابن ادریس نیزهمین است که عبد مأذون در تجارت،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است، پس هر چه را که اقرار کرد، همان اقرار از وی مورد قبول است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علاوه بر ابن ادریس، دیگر فقیهان نیز به پیروی از شیخ طوسی در کتب خود این مسأله را مطرح کرده و با اندکی تفاوت در تعبیر، نظر وی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قاضی ابن برّاج در کتاب مهذّب، که پس از طرح مسأله، در مقام استدلال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المالک للشّیء یملک الاقرار به</w:t>
      </w:r>
      <w:r>
        <w:rPr>
          <w:rFonts w:eastAsia="IRNazanin" w:cs="IRNazanin"/>
          <w:color w:val="111111"/>
          <w:sz w:val="28"/>
          <w:szCs w:val="28"/>
          <w:rtl w:val="true"/>
          <w:lang w:bidi="fa-IR"/>
        </w:rPr>
        <w:t>».</w:t>
      </w:r>
      <w:r>
        <w:rPr>
          <w:rStyle w:val="FootnoteAnchor"/>
          <w:rtl w:val="true"/>
        </w:rPr>
        <w:footnoteReference w:id="90"/>
      </w:r>
    </w:p>
    <w:p>
      <w:pPr>
        <w:pStyle w:val="Heading6"/>
        <w:numPr>
          <w:ilvl w:val="5"/>
          <w:numId w:val="1"/>
        </w:numPr>
        <w:rPr/>
      </w:pPr>
      <w:bookmarkStart w:id="131" w:name="__RefHeading___Toc2472119_581953129"/>
      <w:bookmarkStart w:id="132" w:name="_Toc53"/>
      <w:bookmarkEnd w:id="131"/>
      <w:r>
        <w:rPr/>
        <w:t>2-1</w:t>
      </w:r>
      <w:r>
        <w:rPr>
          <w:rtl w:val="true"/>
        </w:rPr>
        <w:t xml:space="preserve">. </w:t>
      </w:r>
      <w:r>
        <w:rPr>
          <w:rtl w:val="true"/>
        </w:rPr>
        <w:t>کلام دوم شیخ طوسی در مبسوط‌</w:t>
      </w:r>
      <w:bookmarkEnd w:id="132"/>
    </w:p>
    <w:p>
      <w:pPr>
        <w:pStyle w:val="BookText"/>
        <w:rPr/>
      </w:pPr>
      <w:r>
        <w:rPr>
          <w:rFonts w:ascii="IRNazanin" w:hAnsi="IRNazanin" w:eastAsia="IRNazanin"/>
          <w:color w:val="111111"/>
          <w:sz w:val="28"/>
          <w:sz w:val="28"/>
          <w:szCs w:val="28"/>
          <w:rtl w:val="true"/>
          <w:lang w:bidi="fa-IR"/>
        </w:rPr>
        <w:t>شیخ در جای دیگر از مبسوط آورده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أذن لعبده فی التجارة فرکبه دین فإن کان أذن له فی الاستدانة فإن</w:t>
      </w:r>
      <w:bookmarkStart w:id="133" w:name="pg5537_41304"/>
    </w:p>
    <w:p>
      <w:pPr>
        <w:pStyle w:val="BookText"/>
        <w:rPr/>
      </w:pPr>
      <w:bookmarkEnd w:id="133"/>
      <w:r>
        <w:rPr>
          <w:rFonts w:ascii="IRNazanin" w:hAnsi="IRNazanin" w:eastAsia="IRNazanin"/>
          <w:color w:val="111111"/>
          <w:sz w:val="28"/>
          <w:sz w:val="28"/>
          <w:szCs w:val="28"/>
          <w:rtl w:val="true"/>
          <w:lang w:bidi="fa-IR"/>
        </w:rPr>
        <w:t>کان فی یده مال قضی منه وإن لم یکن فی یده مال کان علی السید القضاء عنه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یعنی در صورتی که مولا به عبد خود اجازه تجارت داده باشد و عبد در اثر آن بدهکار شود، چنانچه عبد از سوی مولا اجازه قرض کردن نیز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مولا به او گفته که اگر کم آوردی می‌توانی قرض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دو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مالی در دست عبد باقی باشد، بدهی وی از همان مال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 به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زید ده تومان بدهکارم، مالی نیز به ارزش ده تومان در دست عبد موجود است، از همین مال، قرض را ادا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او اذن داده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مالی در دست عبد باقی نمانده، مولا باید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اینجا مسئله دیگری را مطرح نموده و هرچند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 اما مضمون قاعده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صورتی ادای دین عبد لازم می‌شود که اقرار عبد مبنی بر استقراض وی مقبول باشد و این مطلب یعنی همان مضمون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w:t>
      </w:r>
    </w:p>
    <w:p>
      <w:pPr>
        <w:pStyle w:val="Heading6"/>
        <w:numPr>
          <w:ilvl w:val="5"/>
          <w:numId w:val="1"/>
        </w:numPr>
        <w:rPr/>
      </w:pPr>
      <w:bookmarkStart w:id="134" w:name="__RefHeading___Toc2472121_581953129"/>
      <w:bookmarkStart w:id="135" w:name="_Toc54"/>
      <w:bookmarkEnd w:id="134"/>
      <w:r>
        <w:rPr/>
        <w:t>3-1</w:t>
      </w:r>
      <w:r>
        <w:rPr>
          <w:rtl w:val="true"/>
        </w:rPr>
        <w:t xml:space="preserve"> </w:t>
      </w:r>
      <w:r>
        <w:rPr>
          <w:rtl w:val="true"/>
        </w:rPr>
        <w:t>کلام قاضی ابن برّاج در مهذّب</w:t>
      </w:r>
      <w:bookmarkEnd w:id="135"/>
    </w:p>
    <w:p>
      <w:pPr>
        <w:pStyle w:val="BookText"/>
        <w:rPr/>
      </w:pPr>
      <w:r>
        <w:rPr>
          <w:rFonts w:ascii="IRNazanin" w:hAnsi="IRNazanin" w:eastAsia="IRNazanin"/>
          <w:color w:val="111111"/>
          <w:sz w:val="28"/>
          <w:sz w:val="28"/>
          <w:szCs w:val="28"/>
          <w:rtl w:val="true"/>
          <w:lang w:bidi="fa-IR"/>
        </w:rPr>
        <w:t>قاضی رحمه الله در مهذب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له عبد فکاتبه فی صحته ثم مرض وأقر انه قبض مال الکتابة صح إقراره وعتق العبد، لان المریض یملک القبض ویملک الإقرار به مثل الصحیح</w:t>
      </w:r>
      <w:r>
        <w:rPr>
          <w:rFonts w:eastAsia="IRNazanin" w:cs="IRNazanin"/>
          <w:color w:val="111111"/>
          <w:sz w:val="28"/>
          <w:szCs w:val="28"/>
          <w:rtl w:val="true"/>
          <w:lang w:bidi="fa-IR"/>
        </w:rPr>
        <w:t>».</w:t>
      </w:r>
      <w:r>
        <w:rPr>
          <w:rStyle w:val="FootnoteAnchor"/>
          <w:rtl w:val="true"/>
        </w:rPr>
        <w:footnoteReference w:id="9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کلام قاضی رحمه الله به تعبیر شیخ انصاری رحمه الله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المریض المکاتِب</w:t>
      </w:r>
      <w:r>
        <w:rPr>
          <w:rStyle w:val="FootnoteAnchor"/>
          <w:rtl w:val="true"/>
        </w:rPr>
        <w:footnoteReference w:id="93"/>
      </w:r>
      <w:r>
        <w:rPr>
          <w:rFonts w:ascii="IRNazanin" w:hAnsi="IRNazanin" w:eastAsia="IRNazanin"/>
          <w:color w:val="111111"/>
          <w:sz w:val="28"/>
          <w:sz w:val="28"/>
          <w:szCs w:val="28"/>
          <w:rtl w:val="true"/>
          <w:lang w:bidi="fa-IR"/>
        </w:rPr>
        <w:t>لعبده</w:t>
      </w:r>
      <w:r>
        <w:rPr>
          <w:rStyle w:val="FootnoteAnchor"/>
          <w:rtl w:val="true"/>
        </w:rPr>
        <w:footnoteReference w:id="94"/>
      </w:r>
      <w:r>
        <w:rPr>
          <w:rFonts w:ascii="IRNazanin" w:hAnsi="IRNazanin" w:eastAsia="IRNazanin"/>
          <w:color w:val="111111"/>
          <w:sz w:val="28"/>
          <w:sz w:val="28"/>
          <w:szCs w:val="28"/>
          <w:rtl w:val="true"/>
          <w:lang w:bidi="fa-IR"/>
        </w:rPr>
        <w:t>فی حال الصّحة بأنّه قبض مال الکتابة، صحّ إقراره وعتق العبد، لأنّ المریض یملک القبض فیملک الاقرار به مثل الصحیح</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شخصی مریض است و عبدی دارد مکاتب، یعنی در حال صحتش، با عبد خود مکاتبه بسته است که اگر وجه معینی بدهد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مکاتب من است، وجه مقرر را داده و معتق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از آن را داده و اگر بقیه‌اش را بدهد، آزاد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اقرار مولا هرچند که در بستر بیماری و در مرض موت به سر می‌برد، مورد قبول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مریض رو به موت، در برخی تصرفاتش محدودیت دارد و اقرار او به اندازۀ ثلث مال مقبول می‌گردد، اما در این مورد، نسبت به کل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مالک قبض هست و می‌تواند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 مرض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وجه مشخص را قبض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مالک است و سلطه دارد که عبد خود را مکاتب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قدرتی را داراست، اقرارش نیز در این خصوص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الاقراربه</w:t>
      </w:r>
      <w:r>
        <w:rPr>
          <w:rFonts w:eastAsia="IRNazanin" w:cs="IRNazanin"/>
          <w:color w:val="111111"/>
          <w:sz w:val="28"/>
          <w:szCs w:val="28"/>
          <w:rtl w:val="true"/>
          <w:lang w:bidi="fa-IR"/>
        </w:rPr>
        <w:t>».</w:t>
      </w:r>
      <w:bookmarkStart w:id="136" w:name="pg5537_41306"/>
    </w:p>
    <w:p>
      <w:pPr>
        <w:pStyle w:val="Heading6"/>
        <w:numPr>
          <w:ilvl w:val="5"/>
          <w:numId w:val="1"/>
        </w:numPr>
        <w:rPr/>
      </w:pPr>
      <w:bookmarkStart w:id="137" w:name="__RefHeading___Toc2472123_581953129"/>
      <w:bookmarkStart w:id="138" w:name="_Toc55"/>
      <w:bookmarkEnd w:id="136"/>
      <w:bookmarkEnd w:id="137"/>
      <w:r>
        <w:rPr/>
        <w:t>4-1</w:t>
      </w:r>
      <w:r>
        <w:rPr>
          <w:rtl w:val="true"/>
        </w:rPr>
        <w:t xml:space="preserve">. </w:t>
      </w:r>
      <w:r>
        <w:rPr>
          <w:rtl w:val="true"/>
        </w:rPr>
        <w:t>کلام اول محقق در شرایع</w:t>
      </w:r>
      <w:bookmarkEnd w:id="138"/>
    </w:p>
    <w:p>
      <w:pPr>
        <w:pStyle w:val="BookText"/>
        <w:rPr/>
      </w:pPr>
      <w:r>
        <w:rPr>
          <w:rFonts w:ascii="IRNazanin" w:hAnsi="IRNazanin" w:eastAsia="IRNazanin"/>
          <w:color w:val="111111"/>
          <w:sz w:val="28"/>
          <w:sz w:val="28"/>
          <w:szCs w:val="28"/>
          <w:rtl w:val="true"/>
          <w:lang w:bidi="fa-IR"/>
        </w:rPr>
        <w:t>مرحوم محقّق رحمه الله صاحب شرایع</w:t>
      </w:r>
      <w:r>
        <w:rPr>
          <w:rStyle w:val="FootnoteAnchor"/>
          <w:rtl w:val="true"/>
        </w:rPr>
        <w:footnoteReference w:id="96"/>
      </w:r>
      <w:r>
        <w:rPr>
          <w:rFonts w:ascii="IRNazanin" w:hAnsi="IRNazanin" w:eastAsia="IRNazanin"/>
          <w:color w:val="111111"/>
          <w:sz w:val="28"/>
          <w:sz w:val="28"/>
          <w:szCs w:val="28"/>
          <w:rtl w:val="true"/>
          <w:lang w:bidi="fa-IR"/>
        </w:rPr>
        <w:t>در کتاب الاقرار، ضمن بیان شرایط مقرّ، در مورد عبد مأذون در تجارت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مأذونا فی التجارة فأقر بما یتعلق بها قبل لأنّه یملک التصرف فیملک الإقرار ویؤخذ ما أقر به مما فی یده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یعنی اقرار عبد مأذون در تجارت، در صورتی که مربوط به اموال متعلق بر امر تجارت باشد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یملک التّصرف فیملک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139" w:name="__RefHeading___Toc2472125_581953129"/>
      <w:bookmarkStart w:id="140" w:name="_Toc56"/>
      <w:bookmarkEnd w:id="139"/>
      <w:r>
        <w:rPr/>
        <w:t>5-1</w:t>
      </w:r>
      <w:r>
        <w:rPr>
          <w:rtl w:val="true"/>
        </w:rPr>
        <w:t xml:space="preserve">. </w:t>
      </w:r>
      <w:r>
        <w:rPr>
          <w:rtl w:val="true"/>
        </w:rPr>
        <w:t>کلام دوم محقق در شرایع</w:t>
      </w:r>
      <w:bookmarkEnd w:id="140"/>
    </w:p>
    <w:p>
      <w:pPr>
        <w:pStyle w:val="BookText"/>
        <w:rPr/>
      </w:pPr>
      <w:r>
        <w:rPr>
          <w:rFonts w:ascii="IRNazanin" w:hAnsi="IRNazanin" w:eastAsia="IRNazanin"/>
          <w:color w:val="111111"/>
          <w:sz w:val="28"/>
          <w:sz w:val="28"/>
          <w:szCs w:val="28"/>
          <w:rtl w:val="true"/>
          <w:lang w:bidi="fa-IR"/>
        </w:rPr>
        <w:t>محقق در کتاب الوکاله، در باب تنازع بین وکیل و موکل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الوکیل التصرف وأنکر الموکل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أو قبضت،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الوکیلِ لأنّه أقر بما له أن یفعله</w:t>
      </w:r>
      <w:r>
        <w:rPr>
          <w:rFonts w:eastAsia="IRNazanin" w:cs="IRNazanin"/>
          <w:color w:val="111111"/>
          <w:sz w:val="28"/>
          <w:szCs w:val="28"/>
          <w:rtl w:val="true"/>
          <w:lang w:bidi="fa-IR"/>
        </w:rPr>
        <w:t>».</w:t>
      </w:r>
      <w:r>
        <w:rPr>
          <w:rStyle w:val="FootnoteAnchor"/>
          <w:rtl w:val="true"/>
        </w:rPr>
        <w:footnoteReference w:id="9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وکیل، ادعای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مورد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فروختم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کردم، برخی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قول او مقدّم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اقرّ بماله ان یفعله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زیرا او به چیزی اقرار کرده که حق انجام آن را داشته است</w:t>
      </w:r>
      <w:r>
        <w:rPr>
          <w:rFonts w:eastAsia="IRNazanin" w:cs="IRNazanin"/>
          <w:color w:val="111111"/>
          <w:sz w:val="28"/>
          <w:szCs w:val="28"/>
          <w:rtl w:val="true"/>
          <w:lang w:bidi="fa-IR"/>
        </w:rPr>
        <w:t>.</w:t>
      </w:r>
      <w:bookmarkStart w:id="141" w:name="pg5537_41307"/>
    </w:p>
    <w:p>
      <w:pPr>
        <w:pStyle w:val="BookText"/>
        <w:rPr/>
      </w:pPr>
      <w:bookmarkEnd w:id="141"/>
      <w:r>
        <w:rPr>
          <w:rFonts w:ascii="IRNazanin" w:hAnsi="IRNazanin" w:eastAsia="IRNazanin"/>
          <w:color w:val="111111"/>
          <w:sz w:val="28"/>
          <w:sz w:val="28"/>
          <w:szCs w:val="28"/>
          <w:rtl w:val="true"/>
          <w:lang w:bidi="fa-IR"/>
        </w:rPr>
        <w:t xml:space="preserve">برای مثال فرض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کرده تا خانه او را بفروشد،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شما را فروختم، اما موکل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قول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زید، عمرو را وکیل فروش خانه کرده، حال که این قدرت را داشته که خانۀ زید را بفروشد، وقتی می‌گوید فروخته‌ام، باید حرفش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چون زید مالک فروختن بود، یعنی این سلطه و اختیار را داشته که آن را بفروشد، پس وقتی گفت من فروخته‌ام، موکل بایستی سخن او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بین وکیل و موکل اختلاف شد، وکیل اقرار کرد که من خانه‌ات را فروختم به ده هزار تومان، اما مالک ادعا کرد که گران تر فروختی، قول وکیل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وکیل در اینجا مالک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الموکل أمکن، لکن الأول أشبه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یعنی در این مسأله امکان اینکه به تقدیم قول موکل نیز قائل شویم وجود دارد اما قول اول به قواعد نزدیک تر است</w:t>
      </w:r>
      <w:r>
        <w:rPr>
          <w:rFonts w:eastAsia="IRNazanin" w:cs="IRNazanin"/>
          <w:color w:val="111111"/>
          <w:sz w:val="28"/>
          <w:szCs w:val="28"/>
          <w:rtl w:val="true"/>
          <w:lang w:bidi="fa-IR"/>
        </w:rPr>
        <w:t>.</w:t>
      </w:r>
      <w:r>
        <w:rPr>
          <w:rStyle w:val="FootnoteAnchor"/>
          <w:rtl w:val="true"/>
        </w:rPr>
        <w:footnoteReference w:id="101"/>
      </w:r>
    </w:p>
    <w:p>
      <w:pPr>
        <w:pStyle w:val="Heading6"/>
        <w:numPr>
          <w:ilvl w:val="5"/>
          <w:numId w:val="1"/>
        </w:numPr>
        <w:rPr/>
      </w:pPr>
      <w:bookmarkStart w:id="142" w:name="__RefHeading___Toc2472127_581953129"/>
      <w:bookmarkStart w:id="143" w:name="_Toc57"/>
      <w:bookmarkEnd w:id="142"/>
      <w:r>
        <w:rPr/>
        <w:t>6-1</w:t>
      </w:r>
      <w:r>
        <w:rPr>
          <w:rtl w:val="true"/>
        </w:rPr>
        <w:t xml:space="preserve">. </w:t>
      </w:r>
      <w:r>
        <w:rPr>
          <w:rtl w:val="true"/>
        </w:rPr>
        <w:t>کلام اول علامه در قواعد</w:t>
      </w:r>
      <w:bookmarkEnd w:id="143"/>
    </w:p>
    <w:p>
      <w:pPr>
        <w:pStyle w:val="BookText"/>
        <w:rPr/>
      </w:pPr>
      <w:r>
        <w:rPr>
          <w:rFonts w:ascii="IRNazanin" w:hAnsi="IRNazanin" w:eastAsia="IRNazanin"/>
          <w:color w:val="111111"/>
          <w:sz w:val="28"/>
          <w:sz w:val="28"/>
          <w:szCs w:val="28"/>
          <w:rtl w:val="true"/>
          <w:lang w:bidi="fa-IR"/>
        </w:rPr>
        <w:t>کلام علامه حلی قدس سره در باب تنازع وکیل و موکل در قواعد، شبیه کلام محقق در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چنین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والموکل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التصرّف،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تصرّفت کما أذنت</w:t>
      </w:r>
    </w:p>
    <w:p>
      <w:pPr>
        <w:pStyle w:val="BookText"/>
        <w:rPr/>
      </w:pPr>
      <w:r>
        <w:rPr>
          <w:rFonts w:ascii="IRNazanin" w:hAnsi="IRNazanin" w:eastAsia="IRNazanin"/>
          <w:color w:val="111111"/>
          <w:sz w:val="28"/>
          <w:sz w:val="28"/>
          <w:szCs w:val="28"/>
          <w:rtl w:val="true"/>
          <w:lang w:bidi="fa-IR"/>
        </w:rPr>
        <w:t>فی بیع أو عتق، فیقول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تتصرّف بعد، فالأقرب تقدیم قول الوکیل، لأنّه أمین وقادر علی الإنشاء والتصرّف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تقدیم قول الموکّل، للأصل الدالّ علی عدم إلزام الموکّل بإقرار غیره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الإنشاء و التصرف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صریح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تلویحاً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علامه در آثار دیگر خود، نظرات متفاوتی ابراز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 سره در این خصوص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اختلف کلام العلّامة رحمه الله فی هذه المسألة، فجزم فی الإرشاد</w:t>
      </w:r>
      <w:r>
        <w:rPr>
          <w:rStyle w:val="FootnoteAnchor"/>
          <w:rtl w:val="true"/>
        </w:rPr>
        <w:footnoteReference w:id="103"/>
      </w:r>
      <w:r>
        <w:rPr>
          <w:rFonts w:ascii="IRNazanin" w:hAnsi="IRNazanin" w:eastAsia="IRNazanin"/>
          <w:color w:val="111111"/>
          <w:sz w:val="28"/>
          <w:sz w:val="28"/>
          <w:szCs w:val="28"/>
          <w:rtl w:val="true"/>
          <w:lang w:bidi="fa-IR"/>
        </w:rPr>
        <w:t>بتقدیم قول الوکیل من غیر نقل خلاف، وقرّبه فی القواعد</w:t>
      </w:r>
      <w:r>
        <w:rPr>
          <w:rStyle w:val="FootnoteAnchor"/>
          <w:rtl w:val="true"/>
        </w:rPr>
        <w:footnoteReference w:id="104"/>
      </w:r>
      <w:r>
        <w:rPr>
          <w:rFonts w:ascii="IRNazanin" w:hAnsi="IRNazanin" w:eastAsia="IRNazanin"/>
          <w:color w:val="111111"/>
          <w:sz w:val="28"/>
          <w:sz w:val="28"/>
          <w:szCs w:val="28"/>
          <w:rtl w:val="true"/>
          <w:lang w:bidi="fa-IR"/>
        </w:rPr>
        <w:t>وجزم فی التذکرة</w:t>
      </w:r>
      <w:r>
        <w:rPr>
          <w:rStyle w:val="FootnoteAnchor"/>
          <w:rtl w:val="true"/>
        </w:rPr>
        <w:footnoteReference w:id="10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بتقدیم قول الموکّل إن کان النزاع بعد عزل الوکیل، واستقرب کون الحکم قبل العزل مثله، لأصالة عدم التصرّف، وأصالة بقاء الملک علی مالکه، توقّف فی التحریر</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bookmarkStart w:id="144" w:name="pg5537_41309"/>
    </w:p>
    <w:p>
      <w:pPr>
        <w:pStyle w:val="BookText"/>
        <w:rPr/>
      </w:pPr>
      <w:bookmarkEnd w:id="144"/>
      <w:r>
        <w:rPr>
          <w:rFonts w:ascii="IRNazanin" w:hAnsi="IRNazanin" w:eastAsia="IRNazanin"/>
          <w:color w:val="111111"/>
          <w:sz w:val="28"/>
          <w:sz w:val="28"/>
          <w:szCs w:val="28"/>
          <w:rtl w:val="true"/>
          <w:lang w:bidi="fa-IR"/>
        </w:rPr>
        <w:t xml:space="preserve">یعنی در این مسأله، علامه حلّی در کتب مختلف خود، نظرات متفاوتی ابراز کرده است؛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ذکر نظر مخالف، قول وکیل را با قطعیّت مقدّم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نظر را ترجیح داده،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جزماً قائل به تقدیم قول موکل شده و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نزاع بین وکیل و موکل، بعد از عزل وکیل رخ دهد، یقیناً قول موکل مقدم است و در صورتی که نزاع قبل از برکناری وکیل واقع شود، باز تقدیم جانب موکل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بر عدم تصرف و بقاء ملکیت برای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نظری از خود ارائه نداده و توقف نموده است</w:t>
      </w:r>
      <w:r>
        <w:rPr>
          <w:rFonts w:eastAsia="IRNazanin" w:cs="IRNazanin"/>
          <w:color w:val="111111"/>
          <w:sz w:val="28"/>
          <w:szCs w:val="28"/>
          <w:rtl w:val="true"/>
          <w:lang w:bidi="fa-IR"/>
        </w:rPr>
        <w:t>.</w:t>
      </w:r>
    </w:p>
    <w:p>
      <w:pPr>
        <w:pStyle w:val="Heading6"/>
        <w:numPr>
          <w:ilvl w:val="5"/>
          <w:numId w:val="1"/>
        </w:numPr>
        <w:rPr/>
      </w:pPr>
      <w:bookmarkStart w:id="145" w:name="__RefHeading___Toc2472129_581953129"/>
      <w:bookmarkStart w:id="146" w:name="_Toc58"/>
      <w:bookmarkEnd w:id="145"/>
      <w:r>
        <w:rPr/>
        <w:t>7-1</w:t>
      </w:r>
      <w:r>
        <w:rPr>
          <w:rtl w:val="true"/>
        </w:rPr>
        <w:t xml:space="preserve">. </w:t>
      </w:r>
      <w:r>
        <w:rPr>
          <w:rtl w:val="true"/>
        </w:rPr>
        <w:t>کلام دوم علامه در قواعد</w:t>
      </w:r>
      <w:bookmarkEnd w:id="146"/>
    </w:p>
    <w:p>
      <w:pPr>
        <w:pStyle w:val="BookText"/>
        <w:rPr/>
      </w:pPr>
      <w:r>
        <w:rPr>
          <w:rFonts w:ascii="IRNazanin" w:hAnsi="IRNazanin" w:eastAsia="IRNazanin"/>
          <w:color w:val="111111"/>
          <w:sz w:val="28"/>
          <w:sz w:val="28"/>
          <w:szCs w:val="28"/>
          <w:rtl w:val="true"/>
          <w:lang w:bidi="fa-IR"/>
        </w:rPr>
        <w:t>علامه حلّی قدس سره در کتاب الجهاد قواعد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المسلم قبل الأسر بالذمام قبل لا بعده إذ لا یصح منه حینئذ إنشاؤه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یعنی اگر مسلمانی قبل از اسارت کافر اقرار به امان نماید، 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اقرار وی پس از اسارت کافر مورد قبول نیست؛ زیرا انشای امان در این حال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مذکور را مورد تصریح قرار داده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 المسلم بأمان المشرک، فإن کان فی وقت یصحّ منه إنشاء الأمان، صحّ إقراره وقبل منه إجماعاً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مسلمانی کافر حربی را قبل از آنکه در جنگ اسیر شود امان دهد، و همان موقع اقرار کند که من به او امان دادم؛ اقرارش مسموع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زیرا مسلمان قبل از به اسارت در آمدن کافر، مالکیت امان دادن به 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الأمان فیملک الإقرار، لذا این مورد نیز از مصادیق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سپس مرحوم علامه قدس سره نسبت بدان ادّعای اجماع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علامه، مرحوم محقّق نیز در کتاب الجهاد شرایع، طی مبحثی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المسلم أنه أذم لمشرک فإن کان فی وقت یصح منه إنشاء الأمان قبل</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اگر مسلمانی اقرار کند به مشرکی امان داده است، هرگاه اقرار در زمانی صورت پذیرد که انشای امان صحیح است، اقرار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شرح عبارت مذکور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احترز به عمّا لو وقع الإقرار بعد الأسر، فإنّه لا یقبل، وإن أسنده الی ما</w:t>
      </w:r>
      <w:bookmarkStart w:id="147" w:name="pg5537_41311"/>
    </w:p>
    <w:p>
      <w:pPr>
        <w:pStyle w:val="BookText"/>
        <w:rPr/>
      </w:pPr>
      <w:bookmarkEnd w:id="147"/>
      <w:r>
        <w:rPr>
          <w:rFonts w:ascii="IRNazanin" w:hAnsi="IRNazanin" w:eastAsia="IRNazanin"/>
          <w:color w:val="111111"/>
          <w:sz w:val="28"/>
          <w:sz w:val="28"/>
          <w:szCs w:val="28"/>
          <w:rtl w:val="true"/>
          <w:lang w:bidi="fa-IR"/>
        </w:rPr>
        <w:t>قبله، من الحال الّتی یصحّ فیها الأمان، لأنّه إقرار فی حقّ الغیر فلا یسمع</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یعنی محقق با بیان فوق از موردی احتراز کرده است که اقرار پس از اسارت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چنین موردی اقرار پذیرفته نخواهد شد، هر چند مقرّ آن را به زمانی استناد دهد که امان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چنین اقراری، اقرار در حق غیر است و مسموع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این مسأله را مطرح کرده ولی بر خلاف علامه، ادعای اجماع ننموده است</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148" w:name="__RefHeading___Toc2472131_581953129"/>
      <w:bookmarkStart w:id="149" w:name="_Toc59"/>
      <w:bookmarkEnd w:id="148"/>
      <w:r>
        <w:rPr/>
        <w:t>8-1</w:t>
      </w:r>
      <w:r>
        <w:rPr>
          <w:rtl w:val="true"/>
        </w:rPr>
        <w:t xml:space="preserve">. </w:t>
      </w:r>
      <w:r>
        <w:rPr>
          <w:rtl w:val="true"/>
        </w:rPr>
        <w:t>کلام فخر المحققین در ایضاح</w:t>
      </w:r>
      <w:bookmarkEnd w:id="149"/>
    </w:p>
    <w:p>
      <w:pPr>
        <w:pStyle w:val="BookText"/>
        <w:rPr/>
      </w:pPr>
      <w:r>
        <w:rPr>
          <w:rFonts w:ascii="IRNazanin" w:hAnsi="IRNazanin" w:eastAsia="IRNazanin"/>
          <w:color w:val="111111"/>
          <w:sz w:val="28"/>
          <w:sz w:val="28"/>
          <w:szCs w:val="28"/>
          <w:rtl w:val="true"/>
          <w:lang w:bidi="fa-IR"/>
        </w:rPr>
        <w:t xml:space="preserve">مرحوم فخر المحققین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کلام پدرش مرحوم علامه قدس سره را پیرامون مسئلۀ اختلاف ولی و مولّی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کمال 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ویقبل قول الولی فی الإنفاق بالمعروف علی الصبی أو ماله والبیع للمصلحة والقرض لها والتلف من غیر تفریط سواء کان أبا أو غیره علی اشکال</w:t>
      </w:r>
      <w:r>
        <w:rPr>
          <w:rFonts w:eastAsia="IRNazanin" w:cs="IRNazanin"/>
          <w:color w:val="111111"/>
          <w:sz w:val="28"/>
          <w:szCs w:val="28"/>
          <w:rtl w:val="true"/>
          <w:lang w:bidi="fa-IR"/>
        </w:rPr>
        <w:t>».</w:t>
      </w:r>
      <w:r>
        <w:rPr>
          <w:rStyle w:val="FootnoteAnchor"/>
          <w:rtl w:val="true"/>
        </w:rPr>
        <w:footnoteReference w:id="11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علامه حلّی در مسأله اختلاف ولی و مولی علیه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بین ولی و مولی علیه اختلاف حاصل شود که آیا ولی در حد متعارف نففقۀ مولی علیه را پرداخته و در فروش اموال او و سایر امور، رعایت مصلحت را نموده، و نیز ولی ادعا نماید که</w:t>
      </w:r>
    </w:p>
    <w:p>
      <w:pPr>
        <w:pStyle w:val="BookText"/>
        <w:rPr/>
      </w:pPr>
      <w:r>
        <w:rPr>
          <w:rFonts w:ascii="IRNazanin" w:hAnsi="IRNazanin" w:eastAsia="IRNazanin"/>
          <w:color w:val="111111"/>
          <w:sz w:val="28"/>
          <w:sz w:val="28"/>
          <w:szCs w:val="28"/>
          <w:rtl w:val="true"/>
          <w:lang w:bidi="fa-IR"/>
        </w:rPr>
        <w:t xml:space="preserve">مال مربوط به مولی علیه را قرض داده یا ادعا کند که مال وی بدون تفریط تلف شده است؛ قول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پدر باشد یا غیر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مسأله در مورد ولی غیر پدر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شرح عبارت پدرش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والأقوی ان کل من یلزم فعله أو إنشائه غیره یمضی إقراره بذلک علیه کبیع الولی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اقوی آن است که هر کس فعل او یا انشای او برای دیگری الزام‌آور است، اقرار او نیز نافذ و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فروش مال توسّط ولی، که اصل عمل فروش توسّط ولی صحیح و نافذ است و به تبع آن اقرار او نیز به فروش مال نافذ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عنوان مثال مولی علیه طفل اناثی بوده است که اکنون به بلوغ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ادعا می‌کند که در عهد طفولیت دخترم، او را به زید تزویج کردم، اما مولی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است، در اینجا قول ولی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اختیار این کار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به او سلطه و اختیار تزویج دخترش داده شده است، قهراً باید قولش نیز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فخر المحققین قدس سره در حقیقت قاعده‌ای کلی ارائه داده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فخریه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یلزِم فعلُه غیرَه یمضی إقرارُه بذلک الفعل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انصاری قدس سره بعد از ذکر کلام فخر المحققین قدس سره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الکلیّة وإن کانت أخصّ من القضیة المشهورة إلّاأنّ الغرض من ذکرها الاستشهاد بتصریحهم علی إرادة نفوذ إقرار المالک للتصرّف علی غیره، وإلّا فقد صرّح بتلک القضیة فی غیر هذا المقام</w:t>
      </w:r>
      <w:r>
        <w:rPr>
          <w:rFonts w:eastAsia="IRNazanin" w:cs="IRNazanin"/>
          <w:color w:val="111111"/>
          <w:sz w:val="28"/>
          <w:szCs w:val="28"/>
          <w:rtl w:val="true"/>
          <w:lang w:bidi="fa-IR"/>
        </w:rPr>
        <w:t>».</w:t>
      </w:r>
      <w:r>
        <w:rPr>
          <w:rStyle w:val="FootnoteAnchor"/>
          <w:rtl w:val="true"/>
        </w:rPr>
        <w:footnoteReference w:id="119"/>
      </w:r>
      <w:bookmarkStart w:id="150" w:name="pg5537_41313"/>
    </w:p>
    <w:p>
      <w:pPr>
        <w:pStyle w:val="BookText"/>
        <w:rPr/>
      </w:pPr>
      <w:bookmarkEnd w:id="150"/>
      <w:r>
        <w:rPr>
          <w:rFonts w:ascii="IRNazanin" w:hAnsi="IRNazanin" w:eastAsia="IRNazanin"/>
          <w:color w:val="111111"/>
          <w:sz w:val="28"/>
          <w:sz w:val="28"/>
          <w:szCs w:val="28"/>
          <w:rtl w:val="true"/>
          <w:lang w:bidi="fa-IR"/>
        </w:rPr>
        <w:t xml:space="preserve">قاعدۀ فخریه اخص از قضیه مشهوره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تر و کلی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زیرا قاعده فخریه تنها در دایره‌ی ولی و مولّی علیه کاربرد 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شیخ انصاری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ما از ذکر کلام فخر المحققین استشهاد به اینست که فقها تصریح دارند کسی که مالک تصرّفی هست اقرارش دربارۀ آن تصرف،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مرحوم فخر در مواضع دیگری از ایضاح،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است</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151" w:name="__RefHeading___Toc2472133_581953129"/>
      <w:bookmarkStart w:id="152" w:name="_Toc60"/>
      <w:bookmarkEnd w:id="151"/>
      <w:r>
        <w:rPr/>
        <w:t>9-1</w:t>
      </w:r>
      <w:r>
        <w:rPr>
          <w:rtl w:val="true"/>
        </w:rPr>
        <w:t xml:space="preserve">. </w:t>
      </w:r>
      <w:r>
        <w:rPr>
          <w:rtl w:val="true"/>
        </w:rPr>
        <w:t xml:space="preserve">کلام شهید اول در </w:t>
      </w:r>
      <w:r>
        <w:rPr>
          <w:rtl w:val="true"/>
        </w:rPr>
        <w:t>«</w:t>
      </w:r>
      <w:r>
        <w:rPr>
          <w:rtl w:val="true"/>
        </w:rPr>
        <w:t>القواعد و الفوائد</w:t>
      </w:r>
      <w:r>
        <w:rPr>
          <w:rtl w:val="true"/>
        </w:rPr>
        <w:t>»</w:t>
      </w:r>
      <w:bookmarkEnd w:id="152"/>
    </w:p>
    <w:p>
      <w:pPr>
        <w:pStyle w:val="BookText"/>
        <w:rPr/>
      </w:pPr>
      <w:r>
        <w:rPr>
          <w:rFonts w:ascii="IRNazanin" w:hAnsi="IRNazanin" w:eastAsia="IRNazanin"/>
          <w:color w:val="111111"/>
          <w:sz w:val="28"/>
          <w:sz w:val="28"/>
          <w:szCs w:val="28"/>
          <w:rtl w:val="true"/>
          <w:lang w:bidi="fa-IR"/>
        </w:rPr>
        <w:t xml:space="preserve">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قاعده کلی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قدر علی إنشاء شیء قدر علی الإقرار به</w:t>
      </w:r>
      <w:r>
        <w:rPr>
          <w:rFonts w:eastAsia="IRNazanin" w:cs="IRNazanin"/>
          <w:color w:val="111111"/>
          <w:sz w:val="28"/>
          <w:szCs w:val="28"/>
          <w:rtl w:val="true"/>
          <w:lang w:bidi="fa-IR"/>
        </w:rPr>
        <w:t>».</w:t>
      </w:r>
      <w:r>
        <w:rPr>
          <w:rStyle w:val="FootnoteAnchor"/>
          <w:rtl w:val="true"/>
        </w:rPr>
        <w:footnoteReference w:id="12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کس قدرت بر انشاء چیزی را داشته باشد، قدرت بر اقرار به آن را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کسی که مجاز است در اموری مانند بیع، هبه و غیره انشاء کند، اقرارش نیز در آن امور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 مسأله را از این قاعده استثنا کرده و شمول قاعده را نسبت به آنها مشکل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مسائل أشکلت،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المرأة الاختیاری لا یقبل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اقرار ولی اختیاری زن قبول نمی‌شود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توضیح آنکه ولی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 و جد پدری و همچنین ولایت امام معصوم علیه السلام که شارع بدانها ولایت را اعطا نموده و مولی علیه در انتخاب این قسم اولیاء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ولایت اجباری یعنی ولایتی که بدون اختیار مولّی علیه و یا شخص دیگری نافذ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خارج از این دایره، سایر اولیاء، ولی اختیاری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ولایت کسی که منصوب از طرف امام است، یا ولایت حاکم شرع و کسی که منصوب از طرف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نهاد قیمومیت در حیطۀ ولایت اختیاری قرار می‌گیرد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قیل</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فی الوکیل إذا أقر بالبیع وقبض الثمن أو الشراء أو الطلاق أو الثمن أو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دومی که مرحوم شهید قدس سره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شمول قاعده خارج نموده، اقرار وکیل در مسألۀ اختلاف وکیل و موکل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کلام دوم محقق قدس سره در شرایع و کلام اول علامه قدس سره در قواعد گذشت؛ مشهور قائل به این هستند که هرگاه شخصی، دیگری را وکیل کند که برای او خرید و فروشی انجام دهد، اگر وکیل اقرار کند که مال را فروختم، ثمن را گرفتم یا خریدم، یا زنی به شخصی وکالت دهد که او را مطلقه نماید، و وکیل اذعان کند که طلاق را انشاء نمودم، اقرار وکیل مقبول واقع می‌شود؛ اگر چه قول موکل مطابق با اصل است و ادعای وکیل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وکیل از طرف موکل مالک انشاء است و به همین علت ادعای وی مقدّم بر انکار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شهید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وکیل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فرمایش شهید وجهی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تقدم اقرار مالک انشاء در صورتی معتبر است که بحث بینه بر خلاف در بین نباشد</w:t>
      </w:r>
      <w:r>
        <w:rPr>
          <w:rFonts w:eastAsia="IRNazanin" w:cs="IRNazanin"/>
          <w:color w:val="111111"/>
          <w:sz w:val="28"/>
          <w:szCs w:val="28"/>
          <w:rtl w:val="true"/>
          <w:lang w:bidi="fa-IR"/>
        </w:rPr>
        <w:t>.</w:t>
      </w:r>
      <w:r>
        <w:rPr>
          <w:rStyle w:val="FootnoteAnchor"/>
          <w:rtl w:val="true"/>
        </w:rPr>
        <w:footnoteReference w:id="127"/>
      </w:r>
      <w:bookmarkStart w:id="153" w:name="pg5537_41316"/>
    </w:p>
    <w:p>
      <w:pPr>
        <w:pStyle w:val="BookText"/>
        <w:rPr/>
      </w:pPr>
      <w:bookmarkEnd w:id="153"/>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بالرجعة فی العدة، لا یقبل منه، مع أنه قادر علی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اقرار کند که در عدۀ طلاق رجعی به زنم رجوع کرده ام، با وجود اینکه قدرت بر انشاء رجوع دارد، قول وی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کلام شهید این است که اگر زن بگوید عده من تمام است، و مرد منکر شده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رجوع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زن مقدم می‌شود</w:t>
      </w:r>
      <w:r>
        <w:rPr>
          <w:rFonts w:eastAsia="IRNazanin" w:cs="IRNazanin"/>
          <w:color w:val="111111"/>
          <w:sz w:val="28"/>
          <w:szCs w:val="28"/>
          <w:rtl w:val="true"/>
          <w:lang w:bidi="fa-IR"/>
        </w:rPr>
        <w:t>.</w:t>
      </w:r>
      <w:r>
        <w:rPr>
          <w:rStyle w:val="FootnoteAnchor"/>
          <w:rtl w:val="true"/>
        </w:rPr>
        <w:footnoteReference w:id="129"/>
      </w:r>
    </w:p>
    <w:p>
      <w:pPr>
        <w:pStyle w:val="Heading6"/>
        <w:numPr>
          <w:ilvl w:val="5"/>
          <w:numId w:val="1"/>
        </w:numPr>
        <w:rPr/>
      </w:pPr>
      <w:bookmarkStart w:id="154" w:name="__RefHeading___Toc2472135_581953129"/>
      <w:bookmarkStart w:id="155" w:name="_Toc61"/>
      <w:bookmarkEnd w:id="154"/>
      <w:r>
        <w:rPr/>
        <w:t>10-1</w:t>
      </w:r>
      <w:r>
        <w:rPr>
          <w:rtl w:val="true"/>
        </w:rPr>
        <w:t xml:space="preserve">. </w:t>
      </w:r>
      <w:r>
        <w:rPr>
          <w:rtl w:val="true"/>
        </w:rPr>
        <w:t xml:space="preserve">کلام سید یزدی در </w:t>
      </w:r>
      <w:r>
        <w:rPr>
          <w:rtl w:val="true"/>
        </w:rPr>
        <w:t>«</w:t>
      </w:r>
      <w:r>
        <w:rPr>
          <w:rtl w:val="true"/>
        </w:rPr>
        <w:t>تکمله عروة الوثقی</w:t>
      </w:r>
      <w:r>
        <w:rPr>
          <w:rtl w:val="true"/>
        </w:rPr>
        <w:t>»</w:t>
      </w:r>
      <w:bookmarkEnd w:id="155"/>
    </w:p>
    <w:p>
      <w:pPr>
        <w:pStyle w:val="BookText"/>
        <w:rPr/>
      </w:pPr>
      <w:r>
        <w:rPr>
          <w:rFonts w:ascii="IRNazanin" w:hAnsi="IRNazanin" w:eastAsia="IRNazanin"/>
          <w:color w:val="111111"/>
          <w:sz w:val="28"/>
          <w:sz w:val="28"/>
          <w:szCs w:val="28"/>
          <w:rtl w:val="true"/>
          <w:lang w:bidi="fa-IR"/>
        </w:rPr>
        <w:t xml:space="preserve">صاحب عروة الوثقی در کتاب القضا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مسائل متفرقه مربوط به اقرار را آورده و اولین مسأله را چنین تبیین نموده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ادعت أنّ زوجها طلقها وأنکر، فمع عدم البینة لها، قدم قول الزوج مع الیمین، وإن انعکس بأن ادعی الزوج أنّه طلقها وأنکرت الزوجة،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قوله أیضا کما نقله المحقق القمی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من معاصریه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الطلاق من فعله وأمره بیده، ولقاعدة من ملک شیئا ملک الإقرار به، ولأنّه أمین من قبل اللّه تعالی فیکون کسائر الأمناء من الوکیل والولی فی تقدیم قوله فحینئذ مع عدم البینة یحلف علی ذلک ویحکم له بوقوع الطلاق، بل ربما یحتمل عدم الحاجة إلی الحلف أیضاً</w:t>
      </w:r>
      <w:r>
        <w:rPr>
          <w:rFonts w:eastAsia="IRNazanin" w:cs="IRNazanin"/>
          <w:color w:val="111111"/>
          <w:sz w:val="28"/>
          <w:szCs w:val="28"/>
          <w:rtl w:val="true"/>
          <w:lang w:bidi="fa-IR"/>
        </w:rPr>
        <w:t>».</w:t>
      </w:r>
      <w:r>
        <w:rPr>
          <w:rStyle w:val="FootnoteAnchor"/>
          <w:rtl w:val="true"/>
        </w:rPr>
        <w:footnoteReference w:id="130"/>
      </w:r>
      <w:bookmarkStart w:id="156" w:name="pg5537_41317"/>
    </w:p>
    <w:p>
      <w:pPr>
        <w:pStyle w:val="BookText"/>
        <w:rPr/>
      </w:pPr>
      <w:bookmarkEnd w:id="156"/>
      <w:r>
        <w:rPr>
          <w:rFonts w:ascii="IRNazanin" w:hAnsi="IRNazanin" w:eastAsia="IRNazanin"/>
          <w:color w:val="111111"/>
          <w:sz w:val="28"/>
          <w:sz w:val="28"/>
          <w:szCs w:val="28"/>
          <w:rtl w:val="true"/>
          <w:lang w:bidi="fa-IR"/>
        </w:rPr>
        <w:t>هرگاه زنی ادعا کند که شوهرش وی را طلاق داده، اما شوهر انکار نماید، اگر پای بینه در بین نباشد، قول شوهر با قسم مقدم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عکس، شوهر ادعای طلاق نماید، اما زن انکار کند، باز هم قول شوهر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انجام و عدم انجام طلاق در اختیار شوهر است و ثانیاً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جریان دارد و ثالثاً زوج از ناحیۀ خداوند متعال، به عنوان امین تعیین شده و مانند سایر 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و ولی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وی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مزبور، قول زوج با یمین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سید، لزوم یمین را نیز مورد تردید قرار داده و کفایت ادعای زوج بدون نیاز به قسم را محتمل می‌داند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تا اینجا قسمتی از کلمات فقهای امامیه پیرامون قاعده مذکور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کلمات عامه در خصوص قاعده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التزام فقهای اهل سنت نیز بر قاعدۀ مزبور اثبات شود، مسئله مورد اجماع مسلمین بوده و همین امر سبب استحکام و پشتوانه‌ای برای قاعده به شمار خواهد آمد</w:t>
      </w:r>
      <w:r>
        <w:rPr>
          <w:rFonts w:eastAsia="IRNazanin" w:cs="IRNazanin"/>
          <w:color w:val="111111"/>
          <w:sz w:val="28"/>
          <w:szCs w:val="28"/>
          <w:rtl w:val="true"/>
          <w:lang w:bidi="fa-IR"/>
        </w:rPr>
        <w:t>.</w:t>
      </w:r>
    </w:p>
    <w:p>
      <w:pPr>
        <w:pStyle w:val="Heading6"/>
        <w:numPr>
          <w:ilvl w:val="5"/>
          <w:numId w:val="1"/>
        </w:numPr>
        <w:rPr/>
      </w:pPr>
      <w:bookmarkStart w:id="157" w:name="__RefHeading___Toc2472137_581953129"/>
      <w:bookmarkStart w:id="158" w:name="_Toc62"/>
      <w:bookmarkEnd w:id="157"/>
      <w:r>
        <w:rPr/>
        <w:t>2</w:t>
      </w:r>
      <w:r>
        <w:rPr>
          <w:rtl w:val="true"/>
        </w:rPr>
        <w:t xml:space="preserve">- </w:t>
      </w:r>
      <w:r>
        <w:rPr>
          <w:rtl w:val="true"/>
        </w:rPr>
        <w:t xml:space="preserve">قاعده </w:t>
      </w:r>
      <w:r>
        <w:rPr>
          <w:rtl w:val="true"/>
        </w:rPr>
        <w:t>«</w:t>
      </w:r>
      <w:r>
        <w:rPr>
          <w:rtl w:val="true"/>
        </w:rPr>
        <w:t>من ملک</w:t>
      </w:r>
      <w:r>
        <w:rPr>
          <w:rtl w:val="true"/>
        </w:rPr>
        <w:t xml:space="preserve">» </w:t>
      </w:r>
      <w:r>
        <w:rPr>
          <w:rtl w:val="true"/>
        </w:rPr>
        <w:t>در کلمات فقهای عامه</w:t>
      </w:r>
      <w:bookmarkEnd w:id="158"/>
    </w:p>
    <w:p>
      <w:pPr>
        <w:pStyle w:val="BookText"/>
        <w:rPr/>
      </w:pP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فقهای اهل سنت،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همین عبارت نقل نموده و برخی نیز مفاد قاعده را با الفاظ مشابه دیگری ذکر کرده اند</w:t>
      </w:r>
      <w:r>
        <w:rPr>
          <w:rFonts w:eastAsia="IRNazanin" w:cs="IRNazanin"/>
          <w:color w:val="111111"/>
          <w:sz w:val="28"/>
          <w:szCs w:val="28"/>
          <w:rtl w:val="true"/>
          <w:lang w:bidi="fa-IR"/>
        </w:rPr>
        <w:t>.</w:t>
      </w:r>
    </w:p>
    <w:p>
      <w:pPr>
        <w:pStyle w:val="Heading6"/>
        <w:numPr>
          <w:ilvl w:val="5"/>
          <w:numId w:val="1"/>
        </w:numPr>
        <w:rPr/>
      </w:pPr>
      <w:bookmarkStart w:id="159" w:name="__RefHeading___Toc2472139_581953129"/>
      <w:bookmarkStart w:id="160" w:name="_Toc63"/>
      <w:bookmarkEnd w:id="159"/>
      <w:r>
        <w:rPr/>
        <w:t>1-2</w:t>
      </w:r>
      <w:r>
        <w:rPr>
          <w:rtl w:val="true"/>
        </w:rPr>
        <w:t xml:space="preserve">. </w:t>
      </w:r>
      <w:r>
        <w:rPr>
          <w:rtl w:val="true"/>
        </w:rPr>
        <w:t>کلام ابن قدامه در مغنی</w:t>
      </w:r>
      <w:bookmarkEnd w:id="1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در کتاب معروف خود مغنی پیرامون اقرار مفلس آورده است</w:t>
      </w:r>
      <w:r>
        <w:rPr>
          <w:rFonts w:eastAsia="IRNazanin" w:cs="IRNazanin"/>
          <w:color w:val="111111"/>
          <w:sz w:val="28"/>
          <w:szCs w:val="28"/>
          <w:rtl w:val="true"/>
          <w:lang w:bidi="fa-IR"/>
        </w:rPr>
        <w:t>:</w:t>
      </w:r>
      <w:bookmarkStart w:id="161" w:name="pg5537_41318"/>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بعتق عبده انبنی</w:t>
      </w:r>
      <w:r>
        <w:rPr>
          <w:rStyle w:val="FootnoteAnchor"/>
          <w:rtl w:val="true"/>
        </w:rPr>
        <w:footnoteReference w:id="133"/>
      </w:r>
      <w:r>
        <w:rPr>
          <w:rFonts w:ascii="IRNazanin" w:hAnsi="IRNazanin" w:eastAsia="IRNazanin"/>
          <w:color w:val="111111"/>
          <w:sz w:val="28"/>
          <w:sz w:val="28"/>
          <w:szCs w:val="28"/>
          <w:rtl w:val="true"/>
          <w:lang w:bidi="fa-IR"/>
        </w:rPr>
        <w:t>علی صحة عتقه فإن قلنا بصحة عتقه، صحّ اقراره وعتق، لأنّ من ملک شیئاً ملک الإقرار به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فرض کنیم مفلسی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که عبدش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عبد جزء دارایی او به شمار نمی‌آید و در نتیجه غرما حقی در عبد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مفلس در حال افلاس، سلطه بر عتق عبد خویش دارد، اقرار وی نیز مقبول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قائل به عدم حق اعتاق عبد برای مفلس در حال افلاس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قاعده نزد ابن قدامه امری مسلم بوده و بحث تنها در این است که آیا آدم مفلس چنین سلطه‌ای دارد یا خیر</w:t>
      </w:r>
      <w:r>
        <w:rPr>
          <w:rFonts w:eastAsia="IRNazanin" w:cs="IRNazanin"/>
          <w:color w:val="111111"/>
          <w:sz w:val="28"/>
          <w:szCs w:val="28"/>
          <w:rtl w:val="true"/>
          <w:lang w:bidi="fa-IR"/>
        </w:rPr>
        <w:t>.</w:t>
      </w:r>
      <w:r>
        <w:rPr>
          <w:rStyle w:val="FootnoteAnchor"/>
          <w:rtl w:val="true"/>
        </w:rPr>
        <w:footnoteReference w:id="135"/>
      </w:r>
    </w:p>
    <w:p>
      <w:pPr>
        <w:pStyle w:val="Heading6"/>
        <w:numPr>
          <w:ilvl w:val="5"/>
          <w:numId w:val="1"/>
        </w:numPr>
        <w:rPr/>
      </w:pPr>
      <w:bookmarkStart w:id="162" w:name="__RefHeading___Toc2472141_581953129"/>
      <w:bookmarkStart w:id="163" w:name="_Toc64"/>
      <w:bookmarkEnd w:id="162"/>
      <w:r>
        <w:rPr/>
        <w:t>2-2</w:t>
      </w:r>
      <w:r>
        <w:rPr>
          <w:rtl w:val="true"/>
        </w:rPr>
        <w:t xml:space="preserve">. </w:t>
      </w:r>
      <w:r>
        <w:rPr>
          <w:rtl w:val="true"/>
        </w:rPr>
        <w:t xml:space="preserve">کلام زیعلی در </w:t>
      </w:r>
      <w:r>
        <w:rPr>
          <w:rtl w:val="true"/>
        </w:rPr>
        <w:t>«</w:t>
      </w:r>
      <w:r>
        <w:rPr>
          <w:rtl w:val="true"/>
        </w:rPr>
        <w:t>تبیین الحقائق</w:t>
      </w:r>
      <w:r>
        <w:rPr>
          <w:rtl w:val="true"/>
        </w:rPr>
        <w:t>»</w:t>
      </w:r>
      <w:bookmarkEnd w:id="163"/>
    </w:p>
    <w:p>
      <w:p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زیعلی حنفی در کتاب مشهور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الحقائق فی شرح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بحث عبد مأذون در تجارت، بر قاعده استدلال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ملک شیئاً ملک الإقرار به، ولأنّه لو لم یملک، لامتنع الناس من المبایعة معه، خوفاً من ذهاب أموالهم بسبب التجارة معه فیؤدّی إلی انقطاع تجارته، فوجب أن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مالکیته التجارة</w:t>
      </w:r>
      <w:r>
        <w:rPr>
          <w:rFonts w:eastAsia="IRNazanin" w:cs="IRNazanin"/>
          <w:color w:val="111111"/>
          <w:sz w:val="28"/>
          <w:szCs w:val="28"/>
          <w:rtl w:val="true"/>
          <w:lang w:bidi="fa-IR"/>
        </w:rPr>
        <w:t>».</w:t>
      </w:r>
      <w:r>
        <w:rPr>
          <w:rStyle w:val="FootnoteAnchor"/>
          <w:rtl w:val="true"/>
        </w:rPr>
        <w:footnoteReference w:id="13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عبد مأذون که مالک تجارت است، مالکیت بر اقرار نداشته باشد، مردم از</w:t>
      </w:r>
      <w:bookmarkStart w:id="164" w:name="pg5537_41319"/>
    </w:p>
    <w:p>
      <w:pPr>
        <w:pStyle w:val="BookText"/>
        <w:rPr/>
      </w:pPr>
      <w:bookmarkEnd w:id="164"/>
      <w:r>
        <w:rPr>
          <w:rFonts w:ascii="IRNazanin" w:hAnsi="IRNazanin" w:eastAsia="IRNazanin"/>
          <w:color w:val="111111"/>
          <w:sz w:val="28"/>
          <w:sz w:val="28"/>
          <w:szCs w:val="28"/>
          <w:rtl w:val="true"/>
          <w:lang w:bidi="fa-IR"/>
        </w:rPr>
        <w:t>تجارت با او امتناع نموده و این امر منجر به انقطاع تجارت شده و در نتیجه اذن تجارت به او بی‌فایده خواهد بود</w:t>
      </w:r>
      <w:r>
        <w:rPr>
          <w:rFonts w:eastAsia="IRNazanin" w:cs="IRNazanin"/>
          <w:color w:val="111111"/>
          <w:sz w:val="28"/>
          <w:szCs w:val="28"/>
          <w:rtl w:val="true"/>
          <w:lang w:bidi="fa-IR"/>
        </w:rPr>
        <w:t>.</w:t>
      </w:r>
    </w:p>
    <w:p>
      <w:pPr>
        <w:pStyle w:val="Heading6"/>
        <w:numPr>
          <w:ilvl w:val="5"/>
          <w:numId w:val="1"/>
        </w:numPr>
        <w:rPr/>
      </w:pPr>
      <w:bookmarkStart w:id="165" w:name="__RefHeading___Toc2472143_581953129"/>
      <w:bookmarkStart w:id="166" w:name="_Toc65"/>
      <w:bookmarkEnd w:id="165"/>
      <w:r>
        <w:rPr/>
        <w:t>3-2</w:t>
      </w:r>
      <w:r>
        <w:rPr>
          <w:rtl w:val="true"/>
        </w:rPr>
        <w:t xml:space="preserve">. </w:t>
      </w:r>
      <w:r>
        <w:rPr>
          <w:rtl w:val="true"/>
        </w:rPr>
        <w:t xml:space="preserve">کلام بهوتی در </w:t>
      </w:r>
      <w:r>
        <w:rPr>
          <w:rtl w:val="true"/>
        </w:rPr>
        <w:t>«</w:t>
      </w:r>
      <w:r>
        <w:rPr>
          <w:rtl w:val="true"/>
        </w:rPr>
        <w:t>کشاف القناع</w:t>
      </w:r>
      <w:r>
        <w:rPr>
          <w:rtl w:val="true"/>
        </w:rPr>
        <w:t>»</w:t>
      </w:r>
      <w:bookmarkEnd w:id="166"/>
    </w:p>
    <w:p>
      <w:pPr>
        <w:pStyle w:val="BookText"/>
        <w:rPr/>
      </w:pPr>
      <w:r>
        <w:rPr>
          <w:rFonts w:ascii="IRNazanin" w:hAnsi="IRNazanin" w:eastAsia="IRNazanin"/>
          <w:color w:val="111111"/>
          <w:sz w:val="28"/>
          <w:sz w:val="28"/>
          <w:szCs w:val="28"/>
          <w:rtl w:val="true"/>
          <w:lang w:bidi="fa-IR"/>
        </w:rPr>
        <w:t xml:space="preserve">بهوتی حنبلی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القناع عن متن الاقناع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اختلاف وکیل و موکل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ویقبل إقراره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تصرف فی کلّ ما وکل فیه لأن من ملک شیئاً ملک الإقرار به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سه تن از فقهای عامه، عین متن قاعده را با همان عبارت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هرچند متن قاعده را نیاورده‌اند، اما عباراتی دارند که متضمن معنای قاعده است</w:t>
      </w:r>
      <w:r>
        <w:rPr>
          <w:rFonts w:eastAsia="IRNazanin" w:cs="IRNazanin"/>
          <w:color w:val="111111"/>
          <w:sz w:val="28"/>
          <w:szCs w:val="28"/>
          <w:rtl w:val="true"/>
          <w:lang w:bidi="fa-IR"/>
        </w:rPr>
        <w:t>.</w:t>
      </w:r>
    </w:p>
    <w:p>
      <w:pPr>
        <w:pStyle w:val="Heading6"/>
        <w:numPr>
          <w:ilvl w:val="5"/>
          <w:numId w:val="1"/>
        </w:numPr>
        <w:rPr/>
      </w:pPr>
      <w:bookmarkStart w:id="167" w:name="__RefHeading___Toc2472145_581953129"/>
      <w:bookmarkStart w:id="168" w:name="_Toc66"/>
      <w:bookmarkEnd w:id="167"/>
      <w:r>
        <w:rPr/>
        <w:t>4-2</w:t>
      </w:r>
      <w:r>
        <w:rPr>
          <w:rtl w:val="true"/>
        </w:rPr>
        <w:t xml:space="preserve">. </w:t>
      </w:r>
      <w:r>
        <w:rPr>
          <w:rtl w:val="true"/>
        </w:rPr>
        <w:t xml:space="preserve">کلام فقهای حنفی در </w:t>
      </w:r>
      <w:r>
        <w:rPr>
          <w:rtl w:val="true"/>
        </w:rPr>
        <w:t>«</w:t>
      </w:r>
      <w:r>
        <w:rPr>
          <w:rtl w:val="true"/>
        </w:rPr>
        <w:t>مجله</w:t>
      </w:r>
      <w:r>
        <w:rPr>
          <w:rtl w:val="true"/>
        </w:rPr>
        <w:t>»</w:t>
      </w:r>
      <w:bookmarkEnd w:id="168"/>
    </w:p>
    <w:p>
      <w:pPr>
        <w:pStyle w:val="BookText"/>
        <w:rPr/>
      </w:pPr>
      <w:r>
        <w:rPr>
          <w:rFonts w:ascii="IRNazanin" w:hAnsi="IRNazanin" w:eastAsia="IRNazanin"/>
          <w:color w:val="111111"/>
          <w:sz w:val="28"/>
          <w:sz w:val="28"/>
          <w:szCs w:val="28"/>
          <w:rtl w:val="true"/>
          <w:lang w:bidi="fa-IR"/>
        </w:rPr>
        <w:t>در مجلۀ احکام عدلیه عثمانی</w:t>
      </w:r>
      <w:r>
        <w:rPr>
          <w:rStyle w:val="FootnoteAnchor"/>
          <w:rtl w:val="true"/>
        </w:rPr>
        <w:footnoteReference w:id="139"/>
      </w:r>
      <w:r>
        <w:rPr>
          <w:rFonts w:ascii="IRNazanin" w:hAnsi="IRNazanin" w:eastAsia="IRNazanin"/>
          <w:color w:val="111111"/>
          <w:sz w:val="28"/>
          <w:sz w:val="28"/>
          <w:szCs w:val="28"/>
          <w:rtl w:val="true"/>
          <w:lang w:bidi="fa-IR"/>
        </w:rPr>
        <w:t xml:space="preserve">بنا بر نقل مرحوم کاشف الغطا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ذکر قاعده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پیرامون مسألۀ رهن و فروع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قدر علی إنشاء شیء قدر علی الإقرار به‌ای إقراره نافذ فیه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ذلک ما ذکروه فی مسائل الرهن وفروعه انه لو اذن المرتهن للراهن فی بیع العین المرهونة فباعها الراهن وادعی المرتهن انه رجع عن الاذن قبل البیع فهو باطل وادعی الراهن انه باع قبل الرجوع</w:t>
      </w:r>
    </w:p>
    <w:p>
      <w:pPr>
        <w:pStyle w:val="BookText"/>
        <w:rPr/>
      </w:pPr>
      <w:r>
        <w:rPr>
          <w:rFonts w:ascii="IRNazanin" w:hAnsi="IRNazanin" w:eastAsia="IRNazanin"/>
          <w:color w:val="111111"/>
          <w:sz w:val="28"/>
          <w:sz w:val="28"/>
          <w:szCs w:val="28"/>
          <w:rtl w:val="true"/>
          <w:lang w:bidi="fa-IR"/>
        </w:rPr>
        <w:t>فهو صحیح قالوا ان الراهن إذا قال بعت وصدقه المرتهن ثم ادعی الرجوع قبل البیع فالقول قول الراهن والبیع صحیح، وإذا ادعی المرتهن الرجوع وصدقه الراهن ثم ادعی انه باع قبل الرجوع فالقول قول المرتهن والبیع باطل‌مدرک هذا التفصیل هو القاعدة المزبورة فإن الراهن له إنشاء البیع فی الصورة الأولی قبل ان یدعی المرتهن الرجوع فینفذ إقراره لان من قدر علی إنشاء شیء نفذ إقراره فیه بخلاف الصورة الثانیة فإنه لما ادعی المرتهن الرجوع أولا وصدقه الراهن لم یکن للراهن ان یبیع فی ذلک الوقت لان الرجوع صار محققا اما سابقاً أولا حقاً فلو أراد الراهن إنشاء البیع حینئذ لم یصح فلا یصح إقراره بتلک القاعدة أیضاً واستشکلوا فی جملة فروع</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فرض کنیم مرتهن به راهن جهت فروش عین مرهونه اذن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مرهونه را بفروش و طلب مرا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راهن نیز عین مرهونه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مرتهن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فروش، از اذن خود برگشته بودم و در نتیجه معامله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راهن مدعی است که عین مرهونه را قبل از رجوع مرتهن از اذنش فروخته و در نتیجه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 ادعای معامله نموده و مرتهن نیز وی را تصدیق نماید، اما پس از تصدیق مدعی رجوع قبل از معامله باشد، در این صورت قول راهن مقدم بوده و بیع صحیح 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ابتدا مرتهن ادعای رجوع نموده و راهن نیز وی را تصدیق نماید، سپس راهن ادعا کند که قبل از رجوع مرتهن، بیع را انجام داده است، در این صورت قول مرتهن مقدم بوده و حکم به بطلان بیع می‌گردد</w:t>
      </w:r>
      <w:r>
        <w:rPr>
          <w:rFonts w:eastAsia="IRNazanin" w:cs="IRNazanin"/>
          <w:color w:val="111111"/>
          <w:sz w:val="28"/>
          <w:szCs w:val="28"/>
          <w:rtl w:val="true"/>
          <w:lang w:bidi="fa-IR"/>
        </w:rPr>
        <w:t>.</w:t>
      </w:r>
      <w:bookmarkStart w:id="169" w:name="pg5537_41321"/>
    </w:p>
    <w:p>
      <w:pPr>
        <w:pStyle w:val="BookText"/>
        <w:rPr/>
      </w:pPr>
      <w:bookmarkEnd w:id="169"/>
      <w:r>
        <w:rPr>
          <w:rFonts w:ascii="IRNazanin" w:hAnsi="IRNazanin" w:eastAsia="IRNazanin"/>
          <w:color w:val="111111"/>
          <w:sz w:val="28"/>
          <w:sz w:val="28"/>
          <w:szCs w:val="28"/>
          <w:rtl w:val="true"/>
          <w:lang w:bidi="fa-IR"/>
        </w:rPr>
        <w:t>دلیل تفضیل فوق، همین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فرض نخست، راهن قبل از اینکه مرتهن ادعای رجوع کند، اختیار انشاء بیع را دارا بوده و در نتیجه اقرارش نافذ می‌باشد؛ اما در فرض دوّم چنین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الغطاء 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الی هذه القاعدة</w:t>
      </w:r>
      <w:r>
        <w:rPr>
          <w:rStyle w:val="FootnoteAnchor"/>
          <w:rtl w:val="true"/>
        </w:rPr>
        <w:footnoteReference w:id="141"/>
      </w:r>
      <w:r>
        <w:rPr>
          <w:rFonts w:ascii="IRNazanin" w:hAnsi="IRNazanin" w:eastAsia="IRNazanin"/>
          <w:color w:val="111111"/>
          <w:sz w:val="28"/>
          <w:sz w:val="28"/>
          <w:szCs w:val="28"/>
          <w:rtl w:val="true"/>
          <w:lang w:bidi="fa-IR"/>
        </w:rPr>
        <w:t>ترجع القاعدة المعروفة عند فقهائنا وأفرد فیها بعض اعلامنا المتأخرین رسالة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تاکنون ده عبارت از کلمات ارکان متقدّمین و متأخرین امامیه و چهار عبارت از علمای عامه مطرح شد و همانگونه که ملاحظه گردید، هر دو گروه،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نموده و آن را در کلماتشان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نظرات فقها پیرامون اجماع یا عدم وجود آن در مسأله می‌پردازیم</w:t>
      </w:r>
      <w:r>
        <w:rPr>
          <w:rFonts w:eastAsia="IRNazanin" w:cs="IRNazanin"/>
          <w:color w:val="111111"/>
          <w:sz w:val="28"/>
          <w:szCs w:val="28"/>
          <w:rtl w:val="true"/>
          <w:lang w:bidi="fa-IR"/>
        </w:rPr>
        <w:t>.</w:t>
      </w:r>
    </w:p>
    <w:p>
      <w:pPr>
        <w:pStyle w:val="Heading6"/>
        <w:numPr>
          <w:ilvl w:val="5"/>
          <w:numId w:val="1"/>
        </w:numPr>
        <w:rPr/>
      </w:pPr>
      <w:bookmarkStart w:id="170" w:name="__RefHeading___Toc2472147_581953129"/>
      <w:bookmarkStart w:id="171" w:name="_Toc67"/>
      <w:bookmarkEnd w:id="170"/>
      <w:r>
        <w:rPr>
          <w:rtl w:val="true"/>
        </w:rPr>
        <w:t>ب</w:t>
      </w:r>
      <w:r>
        <w:rPr>
          <w:rtl w:val="true"/>
        </w:rPr>
        <w:t xml:space="preserve">) </w:t>
      </w:r>
      <w:r>
        <w:rPr>
          <w:rtl w:val="true"/>
        </w:rPr>
        <w:t>نظرات فقها پیرامون اجماع</w:t>
      </w:r>
      <w:bookmarkEnd w:id="171"/>
    </w:p>
    <w:p>
      <w:pPr>
        <w:pStyle w:val="Heading6"/>
        <w:numPr>
          <w:ilvl w:val="5"/>
          <w:numId w:val="1"/>
        </w:numPr>
        <w:rPr/>
      </w:pPr>
      <w:bookmarkStart w:id="172" w:name="__RefHeading___Toc2472149_581953129"/>
      <w:bookmarkStart w:id="173" w:name="_Toc68"/>
      <w:bookmarkEnd w:id="172"/>
      <w:r>
        <w:rPr/>
        <w:t>1</w:t>
      </w:r>
      <w:r>
        <w:rPr>
          <w:rtl w:val="true"/>
        </w:rPr>
        <w:t xml:space="preserve">- </w:t>
      </w:r>
      <w:r>
        <w:rPr>
          <w:rtl w:val="true"/>
        </w:rPr>
        <w:t>نظر مرحوم شیخ انصاری</w:t>
      </w:r>
      <w:bookmarkEnd w:id="173"/>
    </w:p>
    <w:p>
      <w:pPr>
        <w:pStyle w:val="BookText"/>
        <w:rPr/>
      </w:pPr>
      <w:r>
        <w:rPr>
          <w:rFonts w:ascii="IRNazanin" w:hAnsi="IRNazanin" w:eastAsia="IRNazanin"/>
          <w:color w:val="111111"/>
          <w:sz w:val="28"/>
          <w:sz w:val="28"/>
          <w:szCs w:val="28"/>
          <w:rtl w:val="true"/>
          <w:lang w:bidi="fa-IR"/>
        </w:rPr>
        <w:t>مرحوم شیخ بعد از نقل عبارات فقها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القضیة المذکورة فی الجملة إجماعیّة، بمعنی أنّه ما من أحد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وصل إلینا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إلّاوقد عمل بهذه القضیة فی بعض الموارد، بحیث نعلم أن لا مستند له سواها</w:t>
      </w:r>
      <w:r>
        <w:rPr>
          <w:rFonts w:eastAsia="IRNazanin" w:cs="IRNazanin"/>
          <w:color w:val="111111"/>
          <w:sz w:val="28"/>
          <w:szCs w:val="28"/>
          <w:rtl w:val="true"/>
          <w:lang w:bidi="fa-IR"/>
        </w:rPr>
        <w:t>».</w:t>
      </w:r>
      <w:r>
        <w:rPr>
          <w:rStyle w:val="FootnoteAnchor"/>
          <w:rtl w:val="true"/>
        </w:rPr>
        <w:footnoteReference w:id="1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الجمله اجماعی بوده و احدی از فقها نیست مگر اینکه به مقتضای 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بعضی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 باشد</w:t>
      </w:r>
      <w:r>
        <w:rPr>
          <w:rFonts w:eastAsia="IRNazanin" w:cs="IRNazanin"/>
          <w:color w:val="111111"/>
          <w:sz w:val="28"/>
          <w:szCs w:val="28"/>
          <w:rtl w:val="true"/>
          <w:lang w:bidi="fa-IR"/>
        </w:rPr>
        <w:t>.</w:t>
      </w:r>
      <w:bookmarkStart w:id="174" w:name="pg5537_41322"/>
    </w:p>
    <w:p>
      <w:pPr>
        <w:pStyle w:val="BookText"/>
        <w:rPr/>
      </w:pPr>
      <w:bookmarkEnd w:id="174"/>
      <w:r>
        <w:rPr>
          <w:rFonts w:ascii="IRNazanin" w:hAnsi="IRNazanin" w:eastAsia="IRNazanin"/>
          <w:color w:val="111111"/>
          <w:sz w:val="28"/>
          <w:sz w:val="28"/>
          <w:szCs w:val="28"/>
          <w:rtl w:val="true"/>
          <w:lang w:bidi="fa-IR"/>
        </w:rPr>
        <w:t>مواردی که می‌دانیم مستندی به غیر از قاعدۀ مزبور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سپس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ذکرنا خلافهم إنّما خالفوا فی بعض موارد القضیة، وعملوا بها فی مورد آخر، فإنّ المحقّق الثانی وإن ظهر منه الخلاف فیما ذکرنا من الموارد إلّاأنّه وافق الأصحاب فی إقرار الصبی بما له أن یفعله، مستندا فی جامع المقاصد إلی هذه الکلّیة، مع أنّه لا یمکن الاستناد إلی غیرها، لأنّ حدیث الإقرار مخصّص بالصبی والمجنون لعدم العبرة بکلامهما فی الإنشاءالإخبار</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برخی از فقها مانند محقق کرکی نیز که با این قاعده مخالفت کرده‌اند، تنها در بعضی از موارد قاعده با آن مخالف بوده‌اند، اما همین گروه، در موارد دیگری مثل مسألۀ اقرار صبی در مورد آنچه صلاحیت و سلطه بر انجام آن را دارد، طبق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هرچند در سطور بعدی مناقشاتی بر اجماع وارد نموده، اما فی الجمله اجماع را قبول دارد</w:t>
      </w:r>
      <w:r>
        <w:rPr>
          <w:rFonts w:eastAsia="IRNazanin" w:cs="IRNazanin"/>
          <w:color w:val="111111"/>
          <w:sz w:val="28"/>
          <w:szCs w:val="28"/>
          <w:rtl w:val="true"/>
          <w:lang w:bidi="fa-IR"/>
        </w:rPr>
        <w:t>.</w:t>
      </w:r>
    </w:p>
    <w:p>
      <w:pPr>
        <w:pStyle w:val="Heading6"/>
        <w:numPr>
          <w:ilvl w:val="5"/>
          <w:numId w:val="1"/>
        </w:numPr>
        <w:rPr/>
      </w:pPr>
      <w:bookmarkStart w:id="175" w:name="__RefHeading___Toc2472151_581953129"/>
      <w:bookmarkStart w:id="176" w:name="_Toc69"/>
      <w:bookmarkEnd w:id="175"/>
      <w:r>
        <w:rPr/>
        <w:t>2</w:t>
      </w:r>
      <w:r>
        <w:rPr>
          <w:rtl w:val="true"/>
        </w:rPr>
        <w:t xml:space="preserve">- </w:t>
      </w:r>
      <w:r>
        <w:rPr>
          <w:rtl w:val="true"/>
        </w:rPr>
        <w:t>نظر مرحوم محقق خوئی</w:t>
      </w:r>
      <w:bookmarkEnd w:id="176"/>
    </w:p>
    <w:p>
      <w:pPr>
        <w:pStyle w:val="BookText"/>
        <w:rPr/>
      </w:pPr>
      <w:r>
        <w:rPr>
          <w:rFonts w:ascii="IRNazanin" w:hAnsi="IRNazanin" w:eastAsia="IRNazanin"/>
          <w:color w:val="111111"/>
          <w:sz w:val="28"/>
          <w:sz w:val="28"/>
          <w:szCs w:val="28"/>
          <w:rtl w:val="true"/>
          <w:lang w:bidi="fa-IR"/>
        </w:rPr>
        <w:t>مرحوم آقای خوئی قدس سره در مصباح الفقاهه پیرامون قاعده مزبور و عدم اجماع در آن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المنع عن جریان الاستصحاب بقاعدة من ملک شیئا ملک الإقرار به فلا یرجع الی معنی محصل لأن القاعدة المذکورة لم ترد فی آیة ولا فی الروایة لا انعقد علیها إجماع تعبدی لکی یؤخذ بها فی جمیع الموارد، بل</w:t>
      </w:r>
    </w:p>
    <w:p>
      <w:pPr>
        <w:pStyle w:val="BookText"/>
        <w:rPr/>
      </w:pPr>
      <w:r>
        <w:rPr>
          <w:rFonts w:ascii="IRNazanin" w:hAnsi="IRNazanin" w:eastAsia="IRNazanin"/>
          <w:color w:val="111111"/>
          <w:sz w:val="28"/>
          <w:sz w:val="28"/>
          <w:szCs w:val="28"/>
          <w:rtl w:val="true"/>
          <w:lang w:bidi="fa-IR"/>
        </w:rPr>
        <w:t xml:space="preserve">هی قاعدة خاصة فقهیة مختصة بما إذا کان المالک باقیا علی حالة الإقرار بالشیء لو لا الإقرار به مثلا إذا أقر زید بکون ما فی یده من المال لبکر فهو باق علی مالکیته للمقر به لو لا الإقرار ولا شبهة أن ما نحن فیه لیس کذلک بداهة أن العبد المأذون فی التجارة لیس مالکا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بشراء أبیه بمال الورثة لأنهم لم یأذنوا فی ذلک وعلیه فلا اعتبار بإقراره رأسا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قاعده اصلاً مدرکی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آیه‌ای برای آن وجود دارد و نه روایتی و حتی اجماع تعبدی نیز بر مفاد آن 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قاعدۀ خاص فقهی مختص به موردی است که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صلاحیت خویش بر اقرار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زید اقرار کرد که آنچه در دست اوست، مال بکر است، این اقرار نافذ است، چرا که در این حالت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مورد اقرار دارای مالکیت و صلاحیت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اختصاص به موردی دارد که اقرار کننده با قطع نظر از اقرار نسبت به مورد اقرار صلاحیت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مثال عبد مأذون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وقت اقرار مأذون در شراء پدر به وسیلۀ مال ورثه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ورثه چنین اجازه‌ای را به وی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عبد مأذون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اقرار نسبت به مورد را دارا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محقق خوئی قدس سره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خاصةٌ 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است که این قاعده، در موارد بسیار محدودی جاری است و بطور کلی نمی‌توان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کرد، بلکه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مسامحه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وفق نظر محقق خوئی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مستند قرآنی دارد و نه مستند روایی دارد، و نه اجماع تعبّدی بر این قاعده قائم است</w:t>
      </w:r>
      <w:r>
        <w:rPr>
          <w:rFonts w:eastAsia="IRNazanin" w:cs="IRNazanin"/>
          <w:color w:val="111111"/>
          <w:sz w:val="28"/>
          <w:szCs w:val="28"/>
          <w:rtl w:val="true"/>
          <w:lang w:bidi="fa-IR"/>
        </w:rPr>
        <w:t>.</w:t>
      </w:r>
      <w:bookmarkStart w:id="177" w:name="pg5537_41324"/>
    </w:p>
    <w:p>
      <w:pPr>
        <w:pStyle w:val="BookText"/>
        <w:rPr/>
      </w:pPr>
      <w:bookmarkEnd w:id="177"/>
      <w:r>
        <w:rPr>
          <w:rFonts w:ascii="IRNazanin" w:hAnsi="IRNazanin" w:eastAsia="IRNazanin"/>
          <w:color w:val="111111"/>
          <w:sz w:val="28"/>
          <w:sz w:val="28"/>
          <w:szCs w:val="28"/>
          <w:rtl w:val="true"/>
          <w:lang w:bidi="fa-IR"/>
        </w:rPr>
        <w:t>ثانیاً یک قاعدۀ کلی فقهی و کبرای کلی که در همه جا صدق کند نیست؛ بلکه متعلق به موارد مختص و محدودی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دلیلی بر عدم وجود اجماع در مسأله ذکر ننموده و صرفاً ادعای خویش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قیدی که برای مورد قاعدۀ مزبور ذکر نموده، هیچ‌گونه شاهدی اقامه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بطلان این کلام را روشن خواهیم ساخت</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178" w:name="__RefHeading___Toc2472153_581953129"/>
      <w:bookmarkStart w:id="179" w:name="_Toc70"/>
      <w:bookmarkEnd w:id="178"/>
      <w:r>
        <w:rPr/>
        <w:t>3</w:t>
      </w:r>
      <w:r>
        <w:rPr>
          <w:rtl w:val="true"/>
        </w:rPr>
        <w:t xml:space="preserve">- </w:t>
      </w:r>
      <w:r>
        <w:rPr>
          <w:rtl w:val="true"/>
        </w:rPr>
        <w:t>نظر مرحوم امام خمینی</w:t>
      </w:r>
      <w:bookmarkEnd w:id="179"/>
    </w:p>
    <w:p>
      <w:pPr>
        <w:pStyle w:val="BookText"/>
        <w:rPr/>
      </w:pPr>
      <w:r>
        <w:rPr>
          <w:rFonts w:ascii="IRNazanin" w:hAnsi="IRNazanin" w:eastAsia="IRNazanin"/>
          <w:color w:val="111111"/>
          <w:sz w:val="28"/>
          <w:sz w:val="28"/>
          <w:szCs w:val="28"/>
          <w:rtl w:val="true"/>
          <w:lang w:bidi="fa-IR"/>
        </w:rPr>
        <w:t xml:space="preserve">مرحوم امام قدس سره نیز مانند محقق خوئی قدس سره قائل به عدم وجود اجماع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خصوص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قیام الإجماع علی هذه القاعدة برأسها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کلمات الفقهاء التی نقلها الشیخ قدس سره لا تدلّ علی إجماعیّة هذه القاعدة برأسها فی مقابل سائر القواعد، کما لا یخفی علی المراجع؛ فإنّ کلّ مورد منها ینطبق علیه قاعدة شرعیة ولو علی بعض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شیء ذکره الشیخ لکون مستند الفقهاء هذه القاعدة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العلّامة رحمه الله الإجماع علی قبول دعوی المسلم أمانَ الحربیّ فی حال ملکه لأمانه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أن لیس مستند له إلّاالقضیة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کانت هذه الدعوی من المسلم مسألة إجماعیة لما بحثنا عن مستندها، ولا استکشفنا منها قضیة أُخری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یعنی هرچند شیخ انصاری کلمات فقها را نقل نموده، اما کلمات مذکور بر اجماعی بودن قاعده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کدام از موارد مذکور در عبارات فقها، به قاعدۀ شرعی دیگری غیر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مستند بوده و نمی‌توان گفت که تنها مستند فروع مذکور،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هر کدام از فروعی که مستند آنها از نگاه شیخ و علما،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می‌تواند به قواعد دیگری غیر از آن نیز مستند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استناد تنها طبق برخی مبانی صحیح بوده و طبق مبانی دیگر، 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روشن‌ترین موردی که در عبارات شیخ انصاری برای آن، به قاعده مزبور استناد شده، ادعای علامه</w:t>
      </w:r>
      <w:r>
        <w:rPr>
          <w:rStyle w:val="FootnoteAnchor"/>
          <w:rtl w:val="true"/>
        </w:rPr>
        <w:footnoteReference w:id="148"/>
      </w:r>
      <w:r>
        <w:rPr>
          <w:rFonts w:ascii="IRNazanin" w:hAnsi="IRNazanin" w:eastAsia="IRNazanin"/>
          <w:color w:val="111111"/>
          <w:sz w:val="28"/>
          <w:sz w:val="28"/>
          <w:szCs w:val="28"/>
          <w:rtl w:val="true"/>
          <w:lang w:bidi="fa-IR"/>
        </w:rPr>
        <w:t xml:space="preserve">مبنی بر اجماعی بودن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اقرار مسلمان در مورد امان دادن وی به کافر حربی در وقت صحت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مرحوم شیخ انصاری تصریح نموده بر اینکه تنها مستند فقها برای این فتوی،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نفس وجود اجماع بر این مسأله، دلیل مستقلی بوده و با وجود آن، از مستند و علت فتوای مذکور بحث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دستور العملی کلی ارائه داده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الشأن فی کلّ مسألة إجماعیة، فکیف یمکن لنا استکشاف قضیة کلّیة نستدلّ بها فی أبواب متفرّقة من الإجماع علی فرع جزئی یمکن أن یکون حکماً تعبّدیّاً؟</w:t>
      </w:r>
      <w:r>
        <w:rPr>
          <w:rFonts w:eastAsia="IRNazanin" w:cs="IRNazanin"/>
          <w:color w:val="111111"/>
          <w:sz w:val="28"/>
          <w:szCs w:val="28"/>
          <w:rtl w:val="true"/>
          <w:lang w:bidi="fa-IR"/>
        </w:rPr>
        <w:t>!».</w:t>
      </w:r>
      <w:r>
        <w:rPr>
          <w:rStyle w:val="FootnoteAnchor"/>
          <w:rtl w:val="true"/>
        </w:rPr>
        <w:footnoteReference w:id="15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بطور کلی وجود اجماع بر یک فرع، نمی‌تواند کاشف از قضیه کلی منطبِق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قول من لایعلم ألا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مستند احتمالی فرع مذکور دانسته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أن یکون المستند فیها هو قاعدة قبول قول من لا یعلم إلّا من قبله بدعوی استفادتها من بعض روایات تصدیق المرأة فی الحمل وخروج العدّة والحیض وإن کان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لا اطمئنان بکونها قاعدة إجماعیة برأسها</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یعنی علاوه بر نکته‌ای که گفته شد، امکان دارد مستند قاعدۀ</w:t>
      </w:r>
      <w:r>
        <w:rPr>
          <w:rStyle w:val="FootnoteAnchor"/>
          <w:rtl w:val="true"/>
        </w:rPr>
        <w:footnoteReference w:id="152"/>
      </w:r>
      <w:r>
        <w:rPr>
          <w:rFonts w:ascii="IRNazanin" w:hAnsi="IRNazanin" w:eastAsia="IRNazanin"/>
          <w:color w:val="111111"/>
          <w:sz w:val="28"/>
          <w:sz w:val="28"/>
          <w:szCs w:val="28"/>
          <w:rtl w:val="true"/>
          <w:lang w:bidi="fa-IR"/>
        </w:rPr>
        <w:t xml:space="preserve">مذکور،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از روایات وارده در باب تصدیق قول زن پیرامون حامله بودن، یا اتمام عده و یا حائض بودن خود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این قاعده نیز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عمدۀ فرمایش مرحوم امام قدس سره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اجماعی بودن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فرع فقهی استنتاج گردیده و آن فرع فقهی عبارتست از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مسلمانی کافر حربی را قبل الاسارة امان داده، سپس بر این رویداد اقرار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قبل از اسارت به این کافر امان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این فرع را مطرح و ادعای اجماع بر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اجماع بر یک فرع، هرگز دال بر وجود اجماع بر قاعده مستند آن فرع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اگر اجماع بر فرع معینی از یک قاعده قائم باشد، کشف از این نمی‌کند که خود قاعده نیز اجماعی باشد</w:t>
      </w:r>
      <w:r>
        <w:rPr>
          <w:rFonts w:eastAsia="IRNazanin" w:cs="IRNazanin"/>
          <w:color w:val="111111"/>
          <w:sz w:val="28"/>
          <w:szCs w:val="28"/>
          <w:rtl w:val="true"/>
          <w:lang w:bidi="fa-IR"/>
        </w:rPr>
        <w:t>.</w:t>
      </w:r>
      <w:bookmarkStart w:id="180" w:name="pg5537_41327"/>
    </w:p>
    <w:p>
      <w:pPr>
        <w:pStyle w:val="BookText"/>
        <w:rPr/>
      </w:pPr>
      <w:bookmarkEnd w:id="18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فروعات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قول من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مزبور، قاعدۀ مستقلی نیست</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181" w:name="__RefHeading___Toc2472155_581953129"/>
      <w:bookmarkStart w:id="182" w:name="_Toc71"/>
      <w:bookmarkEnd w:id="181"/>
      <w:r>
        <w:rPr>
          <w:rtl w:val="true"/>
        </w:rPr>
        <w:t>بررسی کلام امام خمینی</w:t>
      </w:r>
      <w:bookmarkEnd w:id="18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ترین دلیلی که شیخ برای مستند این قاعده ذکر کرده است دعوای اجماع علامه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در کلمات فقها مذکور شد، فروع دیگری برای استناد به این قاعده وجود دارد که واضح‌تر از این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مراد ایشان این باشد که فرع مذکور تنها موردی است که بر آن ادعای اجماع شده است که استفادۀ این احتمال از عبارت ایشان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کبرای فرمایش امام قدس سره مبنی بر عدم ملازمه بین وجود اجماع بر فرع با اجماع بر قاعدۀ مستند آن مورد پذیرش است؛ اما این در صورتی است که تنها مستند آن فرع، قاعدۀ مورد استناد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فقهی مورد اجماع فقهاست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مستند آن مسأله، یک قاعدۀ کلی است که مسأله، از مصادیق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فرع مزبور هیچ دلیلی غیر از قاعده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اجماع بر آن مسأله، دال بر وجود اجماع بر قاعدۀ مستند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فرع اجماعی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اقرار مسلم بر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غیر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مستمسک هر فقیهی که بر مقبولیت اقرار مسلم بر امان، فتوی داده،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بدون پذیرش قاعده، پذیرش مصداق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وقتی اجماع بر فرع مذکور ثابت شد، اجماع بر تنها مستند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می‌گردد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قول من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تفاوت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مصادیق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دلیل یا بینه‌ای باشد که اقرار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مواردی است که اصلاً قابلیت اشهاد و استشهاد در آنها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که یا مربوط به امور قصدیه است و یا مربوط به امور مخفیه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مستند جداگانه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برخی روایات است؛ اما در رابطه با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فقهاء، با اینکه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مردود می‌دانند، اما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نیز معلوم می‌شود که این دو قاعده ارتباطی با یکدیگر ندارند و نباید بین آن دو خلط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عنوان نمی‌تواند از فروعات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قول من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56"/>
      </w:r>
      <w:bookmarkStart w:id="183" w:name="pg5537_41329"/>
    </w:p>
    <w:p>
      <w:pPr>
        <w:pStyle w:val="BookText"/>
        <w:rPr/>
      </w:pPr>
      <w:bookmarkEnd w:id="183"/>
      <w:r>
        <w:rPr>
          <w:rFonts w:ascii="IRNazanin" w:hAnsi="IRNazanin" w:eastAsia="IRNazanin"/>
          <w:color w:val="111111"/>
          <w:sz w:val="28"/>
          <w:sz w:val="28"/>
          <w:szCs w:val="28"/>
          <w:rtl w:val="true"/>
          <w:lang w:bidi="fa-IR"/>
        </w:rPr>
        <w:t>از آنچه گفته شد روشن می‌گردد که هر دو اشکال مرحوم امام ناتمام است</w:t>
      </w:r>
      <w:r>
        <w:rPr>
          <w:rFonts w:eastAsia="IRNazanin" w:cs="IRNazanin"/>
          <w:color w:val="111111"/>
          <w:sz w:val="28"/>
          <w:szCs w:val="28"/>
          <w:rtl w:val="true"/>
          <w:lang w:bidi="fa-IR"/>
        </w:rPr>
        <w:t>.</w:t>
      </w:r>
    </w:p>
    <w:p>
      <w:pPr>
        <w:pStyle w:val="Heading6"/>
        <w:numPr>
          <w:ilvl w:val="5"/>
          <w:numId w:val="1"/>
        </w:numPr>
        <w:rPr/>
      </w:pPr>
      <w:bookmarkStart w:id="184" w:name="__RefHeading___Toc2472157_581953129"/>
      <w:bookmarkStart w:id="185" w:name="_Toc72"/>
      <w:bookmarkEnd w:id="184"/>
      <w:r>
        <w:rPr/>
        <w:t>4</w:t>
      </w:r>
      <w:r>
        <w:rPr>
          <w:rtl w:val="true"/>
        </w:rPr>
        <w:t xml:space="preserve">- </w:t>
      </w:r>
      <w:r>
        <w:rPr>
          <w:rtl w:val="true"/>
        </w:rPr>
        <w:t>نظر مرحوم آقا ضیاءالدین عراقی</w:t>
      </w:r>
      <w:bookmarkEnd w:id="185"/>
    </w:p>
    <w:p>
      <w:pPr>
        <w:pStyle w:val="BookText"/>
        <w:rPr/>
      </w:pPr>
      <w:r>
        <w:rPr>
          <w:rFonts w:ascii="IRNazanin" w:hAnsi="IRNazanin" w:eastAsia="IRNazanin"/>
          <w:color w:val="111111"/>
          <w:sz w:val="28"/>
          <w:sz w:val="28"/>
          <w:szCs w:val="28"/>
          <w:rtl w:val="true"/>
          <w:lang w:bidi="fa-IR"/>
        </w:rPr>
        <w:t>محقّق عراقی قدس سره دیدگاهی مشابه مرحوم امام و محقّق خوئی رحمهما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جهة الاختلاف فی کثیر من صغریاتها یمکن دعوی الجزم بعدم کونها بهذا المعنی العام، معقد إجماع أو مضمون نص معتبر ولذا أمکن منع کون هذه القاعدة کسائر القواعد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نظیر قاعدة ما یضمن بصحیحه یضمن بفاسده، وقاعدة کلما صح بیعه صح رهنه، وقاعدة کلما صحت إجارته صحت إعارته، من القواعد الاصطیادیة من مدارک مختلفة واردة فی مقامات خاصة، کما ورد النص فی العبد المأذون فی التجارة المشتمل علی لفظ الإقرار ونفوذه فی حق مولاه‌علیه، ونفوذ إقرار الوکیل والأمین فی الجهة الراجعة إلی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ففی کل مورد من الصغریات الخاصة الاتفاقیة یؤخذ بها وفی غیرها لا بد من ملاحظة قاعدة أخری تقتضیه وإلا فبدونها لا مجال للمصیر الی الحکم بمضمون مثل هذه القاعدة لعدم الوقوف علی مدرک صحیح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دعوی قیام السیرة علی سماع قول شخص فی ما یرجع زمام أمره إلیه عین الدعوی بقیام السیرة علی مضمون القاعدة بعمومها ودعوی مثله عهدتها علی مدعیها، وإلّا فللنظر فیه مجال واللّه العالم</w:t>
      </w:r>
      <w:r>
        <w:rPr>
          <w:rFonts w:eastAsia="IRNazanin" w:cs="IRNazanin"/>
          <w:color w:val="111111"/>
          <w:sz w:val="28"/>
          <w:szCs w:val="28"/>
          <w:rtl w:val="true"/>
          <w:lang w:bidi="fa-IR"/>
        </w:rPr>
        <w:t>».</w:t>
      </w:r>
      <w:r>
        <w:rPr>
          <w:rStyle w:val="FootnoteAnchor"/>
          <w:rtl w:val="true"/>
        </w:rPr>
        <w:footnoteReference w:id="1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کلام مرحوم عراقی قدس سره این است که چون در بسیاری از صغریات این قاعده اختلاف وجود دارد، یقین حاصل می‌شود بر اینکه قاعده مزبور معقد اجماع</w:t>
      </w:r>
      <w:bookmarkStart w:id="186" w:name="pg5537_41330"/>
    </w:p>
    <w:p>
      <w:pPr>
        <w:pStyle w:val="BookText"/>
        <w:rPr/>
      </w:pPr>
      <w:bookmarkEnd w:id="18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نص معتبری نیز برای این قاعده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قاعده مانند قواعد منصوصه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مانند سایر قواعد اصطیادی</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صحّ بیعه صحّ 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صحّت اجارته صحّت إعارته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مدارک مختلف گرفته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بایستی در تطبیق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قدر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مواردی که همۀ فقها بر آن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 و در غیر این موارد به سراغ قواعد دیگر رفت</w:t>
      </w:r>
      <w:r>
        <w:rPr>
          <w:rFonts w:eastAsia="IRNazanin" w:cs="IRNazanin"/>
          <w:color w:val="111111"/>
          <w:sz w:val="28"/>
          <w:szCs w:val="28"/>
          <w:rtl w:val="true"/>
          <w:lang w:bidi="fa-IR"/>
        </w:rPr>
        <w:t>.</w:t>
      </w:r>
    </w:p>
    <w:p>
      <w:pPr>
        <w:pStyle w:val="Heading6"/>
        <w:numPr>
          <w:ilvl w:val="5"/>
          <w:numId w:val="1"/>
        </w:numPr>
        <w:rPr/>
      </w:pPr>
      <w:bookmarkStart w:id="187" w:name="__RefHeading___Toc2472159_581953129"/>
      <w:bookmarkStart w:id="188" w:name="_Toc73"/>
      <w:bookmarkEnd w:id="187"/>
      <w:r>
        <w:rPr>
          <w:rtl w:val="true"/>
        </w:rPr>
        <w:t>بررسی کلام محقق عراقی</w:t>
      </w:r>
      <w:bookmarkEnd w:id="18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شیخ انصاری نقل شد، وجود اختلاف در برخی موارد این قاعده، ضرری به اجماع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قاطبۀ قواعد این اختلافات وجود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به نحو کبروی صحیح است، اما صغرای کلامشان،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اگر اکثر مصادیق قاعده‌ای مورد اختلاف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هشتاد در صد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آن را اجماعی و در ردیف قواعد فقهی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صغرای سخن ایشان مبنی بر اینکه کثیری از موارد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است، ادعایی بدون دلیل و متکی بر حدس و گمان می‌باشد؛ بلکه اینگونه نیست و تنها در بعضی موارد آن اختلاف وجود دارد</w:t>
      </w:r>
      <w:r>
        <w:rPr>
          <w:rFonts w:eastAsia="IRNazanin" w:cs="IRNazanin"/>
          <w:color w:val="111111"/>
          <w:sz w:val="28"/>
          <w:szCs w:val="28"/>
          <w:rtl w:val="true"/>
          <w:lang w:bidi="fa-IR"/>
        </w:rPr>
        <w:t>.</w:t>
      </w:r>
      <w:bookmarkStart w:id="189" w:name="pg5537_41331"/>
    </w:p>
    <w:p>
      <w:pPr>
        <w:pStyle w:val="Heading6"/>
        <w:numPr>
          <w:ilvl w:val="5"/>
          <w:numId w:val="1"/>
        </w:numPr>
        <w:rPr/>
      </w:pPr>
      <w:bookmarkStart w:id="190" w:name="__RefHeading___Toc2472161_581953129"/>
      <w:bookmarkStart w:id="191" w:name="_Toc74"/>
      <w:bookmarkEnd w:id="189"/>
      <w:bookmarkEnd w:id="190"/>
      <w:r>
        <w:rPr/>
        <w:t>5</w:t>
      </w:r>
      <w:r>
        <w:rPr>
          <w:rtl w:val="true"/>
        </w:rPr>
        <w:t xml:space="preserve">- </w:t>
      </w:r>
      <w:r>
        <w:rPr>
          <w:rtl w:val="true"/>
        </w:rPr>
        <w:t>نظر مرحوم آیة‌اللّه محمد فاضل لنکرانی</w:t>
      </w:r>
      <w:bookmarkEnd w:id="191"/>
    </w:p>
    <w:p>
      <w:pPr>
        <w:pStyle w:val="BookText"/>
        <w:rPr/>
      </w:pPr>
      <w:r>
        <w:rPr>
          <w:rFonts w:ascii="IRNazanin" w:hAnsi="IRNazanin" w:eastAsia="IRNazanin"/>
          <w:color w:val="111111"/>
          <w:sz w:val="28"/>
          <w:sz w:val="28"/>
          <w:szCs w:val="28"/>
          <w:rtl w:val="true"/>
          <w:lang w:bidi="fa-IR"/>
        </w:rPr>
        <w:t>مرحوم والد ما قدس سره نیز به تبع بزرگانی هچون مرحوم امام قدس سره و محقق خوئی قدس سره اعتقاد دارد که اجماعی بر قاعدۀ مزبور منعقد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الظاهر انه لا مجال للاستناد إلی الإجماع أیضاً؛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یظهر من جملة من أعاظم الفقهاء المخالفة وعدم الالتزام أو التردید فی هذه القاعدة، فعن العلّامة فی التذکرة انه رجّح تقدیم قول الموکّل عند دعوی الوکیل التصرف قبل العزل، وتردّد فیه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واستظهر من فخر الدین فی الإیضاح عدم قبول دعوی الزوج فی العدة الرّجوع، وجعل نفس الدعوی رجوعاً، وتردّد فی ذلک فی موضع من القواعد، وعن الشهید فی القواعد الاستشکال فی دعوی الزوج الرّجعة، عن المحقق الثانی إنکار هذه القاعدة رأساً؛ إِذ تردّد فی قبول إقرار العبد المأذون، وفی قبول قول الولیّ فی تزویج بنته لو أنکرت، بل ولو لم تنکر؛ لجهلها بالحال</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به دو دلیل نمی‌توان برای قاعده به دلیل اجماع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 با قاعده مخالفت کرده و گروهی نیز آن را مورد تردید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علامه در تذکره،</w:t>
      </w:r>
      <w:r>
        <w:rPr>
          <w:rStyle w:val="FootnoteAnchor"/>
          <w:rtl w:val="true"/>
        </w:rPr>
        <w:footnoteReference w:id="160"/>
      </w:r>
      <w:r>
        <w:rPr>
          <w:rFonts w:ascii="IRNazanin" w:hAnsi="IRNazanin" w:eastAsia="IRNazanin"/>
          <w:color w:val="111111"/>
          <w:sz w:val="28"/>
          <w:sz w:val="28"/>
          <w:szCs w:val="28"/>
          <w:rtl w:val="true"/>
          <w:lang w:bidi="fa-IR"/>
        </w:rPr>
        <w:t>در جریان اختلاف وکیل و موکل پیرامون تصرف وکیل قبل یا بعد از عزل، قول موکل را بر وکیل مقدم دانسته، اما در کتاب تحریر</w:t>
      </w:r>
      <w:r>
        <w:rPr>
          <w:rStyle w:val="FootnoteAnchor"/>
          <w:rtl w:val="true"/>
        </w:rPr>
        <w:footnoteReference w:id="161"/>
      </w:r>
      <w:r>
        <w:rPr>
          <w:rFonts w:ascii="IRNazanin" w:hAnsi="IRNazanin" w:eastAsia="IRNazanin"/>
          <w:color w:val="111111"/>
          <w:sz w:val="28"/>
          <w:sz w:val="28"/>
          <w:szCs w:val="28"/>
          <w:rtl w:val="true"/>
          <w:lang w:bidi="fa-IR"/>
        </w:rPr>
        <w:t>، آن را مورد تردید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نیز در ایضاح،</w:t>
      </w:r>
      <w:r>
        <w:rPr>
          <w:rStyle w:val="FootnoteAnchor"/>
          <w:rtl w:val="true"/>
        </w:rPr>
        <w:footnoteReference w:id="16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زوج مبنی بر رجوع به زن را در عده، به منزلۀ رجوع دانسته و همین ادعا را بعد از عده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علامه در کتاب قواعد، پیرامون این مسأله ابراز تردد</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اول</w:t>
      </w:r>
      <w:r>
        <w:rPr>
          <w:rStyle w:val="FootnoteAnchor"/>
          <w:rtl w:val="true"/>
        </w:rPr>
        <w:footnoteReference w:id="163"/>
      </w:r>
      <w:r>
        <w:rPr>
          <w:rFonts w:ascii="IRNazanin" w:hAnsi="IRNazanin" w:eastAsia="IRNazanin"/>
          <w:color w:val="111111"/>
          <w:sz w:val="28"/>
          <w:sz w:val="28"/>
          <w:szCs w:val="28"/>
          <w:rtl w:val="true"/>
          <w:lang w:bidi="fa-IR"/>
        </w:rPr>
        <w:t>نیز در مسألۀ مزبور، ادعای رجوع از سوی شوهر را با وجود تمکن وی بر انشاء آن،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محقق ثانی</w:t>
      </w:r>
      <w:r>
        <w:rPr>
          <w:rStyle w:val="FootnoteAnchor"/>
          <w:rtl w:val="true"/>
        </w:rPr>
        <w:footnoteReference w:id="164"/>
      </w:r>
      <w:r>
        <w:rPr>
          <w:rFonts w:ascii="IRNazanin" w:hAnsi="IRNazanin" w:eastAsia="IRNazanin"/>
          <w:color w:val="111111"/>
          <w:sz w:val="28"/>
          <w:sz w:val="28"/>
          <w:szCs w:val="28"/>
          <w:rtl w:val="true"/>
          <w:lang w:bidi="fa-IR"/>
        </w:rPr>
        <w:t>که اصل وجود و صحت چنین قاعده‌ای را انکار نموده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سپس کلام شیخ انصاری قدس سره پیرامون اجماع را نقل نموده، بعد از آن می‌افزاید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بالإجماع انما یتمّ لو کان دلیلاً منحصراً فی المقام، لأن الإجماع حینئذٍ یتصف بالأصالة، ویکشف عن موافقة المعصوم علیه السلام أو وجود دلیل معتبر، وأمّا مع فرض عدم الانحصار وتمامیة بعض الوجوه الأخر التی استدل بها علی القاعدة، واحتمال ان یکون ذلک الوجه هو مستند المُجمِعین، فلا یبقی أصالة له؛ ولا یتصف بکونه دلیلاً مستقلا فی</w:t>
      </w:r>
      <w:bookmarkStart w:id="192" w:name="pg5537_41333"/>
    </w:p>
    <w:p>
      <w:pPr>
        <w:pStyle w:val="BookText"/>
        <w:rPr/>
      </w:pPr>
      <w:bookmarkEnd w:id="192"/>
      <w:r>
        <w:rPr>
          <w:rFonts w:ascii="IRNazanin" w:hAnsi="IRNazanin" w:eastAsia="IRNazanin"/>
          <w:color w:val="111111"/>
          <w:sz w:val="28"/>
          <w:sz w:val="28"/>
          <w:szCs w:val="28"/>
          <w:rtl w:val="true"/>
          <w:lang w:bidi="fa-IR"/>
        </w:rPr>
        <w:t>مقابل ذلک الوجه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ملاحظة الوجوه الأخر</w:t>
      </w:r>
      <w:r>
        <w:rPr>
          <w:rFonts w:eastAsia="IRNazanin" w:cs="IRNazanin"/>
          <w:color w:val="111111"/>
          <w:sz w:val="28"/>
          <w:szCs w:val="28"/>
          <w:rtl w:val="true"/>
          <w:lang w:bidi="fa-IR"/>
        </w:rPr>
        <w:t>».</w:t>
      </w:r>
      <w:r>
        <w:rPr>
          <w:rStyle w:val="FootnoteAnchor"/>
          <w:rtl w:val="true"/>
        </w:rPr>
        <w:footnoteReference w:id="166"/>
      </w:r>
    </w:p>
    <w:p>
      <w:pPr>
        <w:pStyle w:val="Heading6"/>
        <w:numPr>
          <w:ilvl w:val="5"/>
          <w:numId w:val="1"/>
        </w:numPr>
        <w:rPr/>
      </w:pPr>
      <w:bookmarkStart w:id="193" w:name="__RefHeading___Toc2472163_581953129"/>
      <w:bookmarkStart w:id="194" w:name="_Toc75"/>
      <w:bookmarkEnd w:id="193"/>
      <w:r>
        <w:rPr>
          <w:rtl w:val="true"/>
        </w:rPr>
        <w:t>بررسی کلام مرحوم آیة‌اللّه فاضل لنکرانی</w:t>
      </w:r>
      <w:bookmarkEnd w:id="19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 وجود اختلاف در برخی موارد این قاعده، ضرری به اجماع وارد ننموده و اصل قاعده را زیر سوال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فخر المحققین و شهید اول، هرچند در برخی مواضع نسبت به مواردی از قاعده ابراز تردید نموده‌اند، اما در مواضع متعددی نیز بر این مطلب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تردید یا عدم قبول یک مورد خاص از قاعده، مضرّ به اجماع براصل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وجود یک یا دو مخالف، مانع از انعقاد اجماع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زمرۀ متأخرین است و ملاک در اجماع، اجماع متقدمین از فقها می‌باشد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مستند منحصر فروع متعددی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اقرار مسلم بر امان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قاعده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وجه ایشان نیز ناتمام می‌باشد</w:t>
      </w:r>
      <w:r>
        <w:rPr>
          <w:rFonts w:eastAsia="IRNazanin" w:cs="IRNazanin"/>
          <w:color w:val="111111"/>
          <w:sz w:val="28"/>
          <w:szCs w:val="28"/>
          <w:rtl w:val="true"/>
          <w:lang w:bidi="fa-IR"/>
        </w:rPr>
        <w:t>.</w:t>
      </w:r>
    </w:p>
    <w:p>
      <w:pPr>
        <w:pStyle w:val="Heading6"/>
        <w:numPr>
          <w:ilvl w:val="5"/>
          <w:numId w:val="1"/>
        </w:numPr>
        <w:rPr/>
      </w:pPr>
      <w:bookmarkStart w:id="195" w:name="__RefHeading___Toc2472165_581953129"/>
      <w:bookmarkStart w:id="196" w:name="_Toc76"/>
      <w:bookmarkEnd w:id="195"/>
      <w:r>
        <w:rPr/>
        <w:t>6</w:t>
      </w:r>
      <w:r>
        <w:rPr>
          <w:rtl w:val="true"/>
        </w:rPr>
        <w:t xml:space="preserve">- </w:t>
      </w:r>
      <w:r>
        <w:rPr>
          <w:rtl w:val="true"/>
        </w:rPr>
        <w:t>نظر حضرت استاد</w:t>
      </w:r>
      <w:bookmarkEnd w:id="1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نیز مانند تمام قواعد دیگر، محل اختلاف نظر در برخی موارد و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پیرامون اجرای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طلاق یا موارد دیگر،</w:t>
      </w:r>
    </w:p>
    <w:p>
      <w:pPr>
        <w:pStyle w:val="BookText"/>
        <w:rPr/>
      </w:pPr>
      <w:r>
        <w:rPr>
          <w:rFonts w:ascii="IRNazanin" w:hAnsi="IRNazanin" w:eastAsia="IRNazanin"/>
          <w:color w:val="111111"/>
          <w:sz w:val="28"/>
          <w:sz w:val="28"/>
          <w:szCs w:val="28"/>
          <w:rtl w:val="true"/>
          <w:lang w:bidi="fa-IR"/>
        </w:rPr>
        <w:t>بین فقها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اینکه آیا قاعده‌ی لاحرج در محرّمات نیز جریان دارد یا خیر، اختلاف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چه بسیار قواعدی که فقیه در یک فرع جاری می‌داند، اما در مسألۀ دیگری جاری نمی‌داند؛ در حالی که فقیهی دیگر بر عکس او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اختلاف در بعضی موارد و مصادیق و محل جریان یک قاعده، موجب نفی قاعده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اختصاص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در قواعد دیگر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فروع مربوط به قاعده در کلمات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ابتدای عصر متقدمینی همچون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 که استناد به قاعده،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بهترین دلیل بر وجود اجماع بر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لام تعلیل به خوبی دلالت می‌کند که معقد اجماع، خود قاعده است نه یک فرع جزئی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مسأله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فخر المحققین در برخی موارد، و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این سه تن در مقابل فقهائی چون شیخ طوسی، قاضی ابن براج، ابن ادریس، محقق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موجب نفی اجماع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 مبنای متأخرین، مخالفت دو یا سه نفر قادح اجماع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اجماعی حاصل است و از کلام آنها به خوبی می‌توان قول معصوم علیه السلام را حدس 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عنوان مخالف بر سه فقیه یاد شده، از باب مسامحه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چه اینکه</w:t>
      </w:r>
    </w:p>
    <w:p>
      <w:pPr>
        <w:pStyle w:val="BookText"/>
        <w:rPr/>
      </w:pPr>
      <w:r>
        <w:rPr>
          <w:rFonts w:ascii="IRNazanin" w:hAnsi="IRNazanin" w:eastAsia="IRNazanin"/>
          <w:color w:val="111111"/>
          <w:sz w:val="28"/>
          <w:sz w:val="28"/>
          <w:szCs w:val="28"/>
          <w:rtl w:val="true"/>
          <w:lang w:bidi="fa-IR"/>
        </w:rPr>
        <w:t xml:space="preserve">خود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منکر اصل قاعده بوده و در کتاب جامع المقاصد، منکر این قاعده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و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تصرفات جائز صبی غیر بالغ و اقرار نافذ وی در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قاعده عمل فرموده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معنی مورد تسالم بزرگان فقهاست؛ زیرا هر یک از ایشان در مواردی چند به این قاعده استناد کرده‌اند و حتی فقهایی که با این قاعده مخالفند، مخالفتشان تنها با بعضی از موارد و مصادیق آن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بدین ترتیب، باید گفت قاعدۀ مزبور مورد</w:t>
      </w:r>
      <w:bookmarkStart w:id="197" w:name="pg5537_41336"/>
    </w:p>
    <w:p>
      <w:pPr>
        <w:pStyle w:val="BookText"/>
        <w:rPr/>
      </w:pPr>
      <w:bookmarkEnd w:id="197"/>
      <w:r>
        <w:rPr>
          <w:rFonts w:ascii="IRNazanin" w:hAnsi="IRNazanin" w:eastAsia="IRNazanin"/>
          <w:color w:val="111111"/>
          <w:sz w:val="28"/>
          <w:sz w:val="28"/>
          <w:szCs w:val="28"/>
          <w:rtl w:val="true"/>
          <w:lang w:bidi="fa-IR"/>
        </w:rPr>
        <w:t>قبول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دلیل عمده‌ای که می‌توان برای این قاعده داشت، همین مسألۀ اجماع و تسالم اصحاب است و اینکه فقها این قاعده را به طور ارسال مسلم در بسیاری از کتب خود آورده‌اند، در واقع از این باب است که می‌توان گفت اجماع بر این قاعده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دلیل اجماع تمام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pStyle w:val="Heading5"/>
        <w:numPr>
          <w:ilvl w:val="4"/>
          <w:numId w:val="1"/>
        </w:numPr>
        <w:rPr/>
      </w:pPr>
      <w:bookmarkStart w:id="198" w:name="__RefHeading___Toc2472167_581953129"/>
      <w:bookmarkStart w:id="199" w:name="_Toc77"/>
      <w:bookmarkEnd w:id="198"/>
      <w:r>
        <w:rPr>
          <w:rtl w:val="true"/>
        </w:rPr>
        <w:t>دلیل دوم</w:t>
      </w:r>
      <w:r>
        <w:rPr>
          <w:rtl w:val="true"/>
        </w:rPr>
        <w:t xml:space="preserve">: </w:t>
      </w:r>
      <w:r>
        <w:rPr>
          <w:rtl w:val="true"/>
        </w:rPr>
        <w:t>سیرۀ متشرعه</w:t>
      </w:r>
      <w:bookmarkEnd w:id="199"/>
    </w:p>
    <w:p>
      <w:pPr>
        <w:pStyle w:val="Heading6"/>
        <w:numPr>
          <w:ilvl w:val="5"/>
          <w:numId w:val="1"/>
        </w:numPr>
        <w:rPr/>
      </w:pPr>
      <w:bookmarkStart w:id="200" w:name="__RefHeading___Toc2472169_581953129"/>
      <w:bookmarkStart w:id="201" w:name="_Toc78"/>
      <w:bookmarkEnd w:id="200"/>
      <w:r>
        <w:rPr>
          <w:rtl w:val="true"/>
        </w:rPr>
        <w:t>اشاره</w:t>
      </w:r>
      <w:bookmarkEnd w:id="20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دلیلی که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سیرۀ</w:t>
      </w:r>
    </w:p>
    <w:p>
      <w:pPr>
        <w:pStyle w:val="BookText"/>
        <w:rPr/>
      </w:pPr>
      <w:r>
        <w:rPr>
          <w:rFonts w:ascii="IRNazanin" w:hAnsi="IRNazanin" w:eastAsia="IRNazanin"/>
          <w:color w:val="111111"/>
          <w:sz w:val="28"/>
          <w:sz w:val="28"/>
          <w:szCs w:val="28"/>
          <w:rtl w:val="true"/>
          <w:lang w:bidi="fa-IR"/>
        </w:rPr>
        <w:t>متشرعه</w:t>
      </w:r>
      <w:r>
        <w:rPr>
          <w:rStyle w:val="FootnoteAnchor"/>
          <w:rtl w:val="true"/>
        </w:rPr>
        <w:footnoteReference w:id="1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متشرعه همان برخوردی را که با اقرار شخص اصیل دارند، با وکلا و اولیاء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اگر مالک اصیل اقرار کند، پذیرفته می‌شود؛ کلام وکیل نیز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موکل، وکیل را از وکالت در فروش عزل کند، اما وکیل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جنس مزبور را فروخته‌ام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سیرۀ متشرعه بر قبول کلام وکیل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سیره متصل به زمان معصوم علیه السلام می‌باشد، حجیت 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مرحوم والد محقّق ما قدس سره در این خصوص آورده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السیرة علی معاملة الأولیاء، بل مطلق الوکلاء معاملة الأصیل فی إقرارهم کتصرفاتهم، والظاهر ان المراد بالسیرة هی السیرة المتشرعة، وعلی تقدیر ثبوتها وعدم کون منشئها هو بناء العقلاء علی ما یأتی الکلام فیه، لا تجری فی موارد، القاعدة، فهل تجری فی مورد الصبی واعتبار قوله فی ما له ان یفعل، مع انّ مقتضی أدلة عدم اعتبار إقرار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الحاکمة علی قاعدة إقرار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 بل هل تجری إذا کان إقرار الولیّ أو الوکیل بضرر المولّی علیه أو الموکل، کما هو المهمّ من هذه القاعدة، مع ان مقتضی أدلة عدم اعتبار الإقرار علی الغیر عدم نفوذه عدم اعتباره؟ وبالجملة فالتمسّک بالسّیرة المذکورة فی جمیع موارد تطبیق القاعدة فی غایة الإشکال</w:t>
      </w:r>
      <w:r>
        <w:rPr>
          <w:rFonts w:eastAsia="IRNazanin" w:cs="IRNazanin"/>
          <w:color w:val="111111"/>
          <w:sz w:val="28"/>
          <w:szCs w:val="28"/>
          <w:rtl w:val="true"/>
          <w:lang w:bidi="fa-IR"/>
        </w:rPr>
        <w:t>».</w:t>
      </w:r>
      <w:r>
        <w:rPr>
          <w:rStyle w:val="FootnoteAnchor"/>
          <w:rtl w:val="true"/>
        </w:rPr>
        <w:footnoteReference w:id="176"/>
      </w:r>
      <w:bookmarkStart w:id="202" w:name="pg5537_41338"/>
    </w:p>
    <w:p>
      <w:pPr>
        <w:pStyle w:val="Heading6"/>
        <w:numPr>
          <w:ilvl w:val="5"/>
          <w:numId w:val="1"/>
        </w:numPr>
        <w:rPr/>
      </w:pPr>
      <w:bookmarkStart w:id="203" w:name="__RefHeading___Toc2472171_581953129"/>
      <w:bookmarkStart w:id="204" w:name="_Toc79"/>
      <w:bookmarkEnd w:id="202"/>
      <w:bookmarkEnd w:id="203"/>
      <w:r>
        <w:rPr>
          <w:rtl w:val="true"/>
        </w:rPr>
        <w:t>بررسی ایرادات وارد شده بر سیرۀ متشرعه</w:t>
      </w:r>
      <w:bookmarkEnd w:id="204"/>
    </w:p>
    <w:p>
      <w:pPr>
        <w:pStyle w:val="BookText"/>
        <w:rPr/>
      </w:pPr>
      <w:r>
        <w:rPr>
          <w:rFonts w:ascii="IRNazanin" w:hAnsi="IRNazanin" w:eastAsia="IRNazanin"/>
          <w:color w:val="111111"/>
          <w:sz w:val="28"/>
          <w:sz w:val="28"/>
          <w:szCs w:val="28"/>
          <w:rtl w:val="true"/>
          <w:lang w:bidi="fa-IR"/>
        </w:rPr>
        <w:t>ایشان در مجموع سه اشکال بر سیرۀ متشرعه در این خصوص وارد نموده که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سیره‌ای نزد متشرعه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ملاحظه می‌شود این است که متشرعه به اقرار ولی و وکیل همانند اقرار مالک اصلی نظر داشته و همان معامله‌ای را که با مالک اصیل دارند با مالک تصرف نیز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اذعان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فروختم یا بخشیدم یا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رابطه با اولیاء نیز همین مطلب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اول وجهی ندارد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و ریشۀ چنین سیره‌ای در نزد متشرعه،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ثبوت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سیرۀ فوق الذکر، مدرکی بوده و فاقد حجیت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نظر ما اجماع مدرکی حجت است و اعتبار آن را در مباحث فقهی و اصولی اثبات نموده‌ایم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متشرعه بما هم أهل الشرع لا بما هم عقلاء، با اقرار مالک تصرف همانگونه معامله می‌کنند که با اقرار مالک اصیل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ارتکاز شرعی نیز مؤید وجود چنین سیره‌ای میان متشرعین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لذا اشکال دوم ایشان نیز وارد نیست</w:t>
      </w:r>
      <w:r>
        <w:rPr>
          <w:rFonts w:eastAsia="IRNazanin" w:cs="IRNazanin"/>
          <w:color w:val="111111"/>
          <w:sz w:val="28"/>
          <w:szCs w:val="28"/>
          <w:rtl w:val="true"/>
          <w:lang w:bidi="fa-IR"/>
        </w:rPr>
        <w:t>.</w:t>
      </w:r>
      <w:r>
        <w:rPr>
          <w:rStyle w:val="FootnoteAnchor"/>
          <w:rtl w:val="true"/>
        </w:rPr>
        <w:footnoteReference w:id="180"/>
      </w:r>
      <w:bookmarkStart w:id="205" w:name="pg5537_41339"/>
    </w:p>
    <w:p>
      <w:pPr>
        <w:pStyle w:val="BookText"/>
        <w:rPr/>
      </w:pPr>
      <w:bookmarkEnd w:id="205"/>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اخص از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عنوان نمونه اگر صبی ادعا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خودم را هبه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متشرعه چنین اقراری را نافذ نمی‌دانند؛ در حالیکه طبق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نافذ می‌دانستند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یا اگر وکیل به ضرر موکل و ولی به ضرر مولی علیه اقرار کند، سیره متشرعه بر عدم قبول چنین اقراری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مالک تصرف در موارد تصرف، در هر صورت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با سیرۀ متشرعه نمی‌توان تمام موارد این قاعده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سیره به نحو فی الجمله تنها برخی از موارد را اثبات می‌کند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لذا این اشکال وارد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p>
    <w:p>
      <w:pPr>
        <w:pStyle w:val="Heading5"/>
        <w:numPr>
          <w:ilvl w:val="4"/>
          <w:numId w:val="1"/>
        </w:numPr>
        <w:rPr/>
      </w:pPr>
      <w:bookmarkStart w:id="206" w:name="__RefHeading___Toc2472173_581953129"/>
      <w:bookmarkStart w:id="207" w:name="_Toc80"/>
      <w:bookmarkEnd w:id="206"/>
      <w:r>
        <w:rPr>
          <w:rtl w:val="true"/>
        </w:rPr>
        <w:t>دلیل سوم</w:t>
      </w:r>
      <w:r>
        <w:rPr>
          <w:rtl w:val="true"/>
        </w:rPr>
        <w:t xml:space="preserve">: </w:t>
      </w:r>
      <w:r>
        <w:rPr>
          <w:rtl w:val="true"/>
        </w:rPr>
        <w:t>بنای عقلاء</w:t>
      </w:r>
      <w:bookmarkEnd w:id="207"/>
    </w:p>
    <w:p>
      <w:pPr>
        <w:pStyle w:val="Heading6"/>
        <w:numPr>
          <w:ilvl w:val="5"/>
          <w:numId w:val="1"/>
        </w:numPr>
        <w:rPr/>
      </w:pPr>
      <w:bookmarkStart w:id="208" w:name="__RefHeading___Toc2472175_581953129"/>
      <w:bookmarkStart w:id="209" w:name="_Toc8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سومین دلیل مستقلی که برای اثبات حجیت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تمسک به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استدلال به شرح زیر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امری میان عقلای عالم در همۀ اعصار متداول بوده؛ به گونه‌ای که انسان یقین حاصل کند امر مزبور در زمان معصوم علیه السلام نیز رواج داشته؛ اما در عین حال از ناحیه شارع، منعی نسبت به آن صادر نشده است؛ این عدم ردع کاشف از</w:t>
      </w:r>
      <w:bookmarkStart w:id="210" w:name="pg5537_41340"/>
    </w:p>
    <w:p>
      <w:pPr>
        <w:pStyle w:val="BookText"/>
        <w:rPr/>
      </w:pPr>
      <w:bookmarkEnd w:id="210"/>
      <w:r>
        <w:rPr>
          <w:rFonts w:ascii="IRNazanin" w:hAnsi="IRNazanin" w:eastAsia="IRNazanin"/>
          <w:color w:val="111111"/>
          <w:sz w:val="28"/>
          <w:sz w:val="28"/>
          <w:szCs w:val="28"/>
          <w:rtl w:val="true"/>
          <w:lang w:bidi="fa-IR"/>
        </w:rPr>
        <w:t>رضایت شارع نسبت به امر مزبور و امضای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استکشافی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عقلای عالم، کسانی را که سمت ولایت، وکالت، نمایندگی یا قائم مقامی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دارند، همانند خود اصیل تلقی نموده و با آنان در حیطۀ اختیاراتشان همان معامله‌ای را می‌کنند که با اصیل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چنین رویکردی از سوی عقلای عالم در مورد تصرفات وکیل و نماینده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در مورد اظهارات آنها پیرامون تصرفاتشان نیز همین رویکرد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وکیلی نسبت به موضوع مورد وکالت مطلبی را اقرار می‌کند، آن مطلب را به منزلۀ اقرار موکل دانسته و به رسمیت می‌شناسند</w:t>
      </w:r>
      <w:r>
        <w:rPr>
          <w:rFonts w:eastAsia="IRNazanin" w:cs="IRNazanin"/>
          <w:color w:val="111111"/>
          <w:sz w:val="28"/>
          <w:szCs w:val="28"/>
          <w:rtl w:val="true"/>
          <w:lang w:bidi="fa-IR"/>
        </w:rPr>
        <w:t>.</w:t>
      </w:r>
    </w:p>
    <w:p>
      <w:pPr>
        <w:pStyle w:val="Heading6"/>
        <w:numPr>
          <w:ilvl w:val="5"/>
          <w:numId w:val="1"/>
        </w:numPr>
        <w:rPr/>
      </w:pPr>
      <w:bookmarkStart w:id="211" w:name="__RefHeading___Toc2472177_581953129"/>
      <w:bookmarkStart w:id="212" w:name="_Toc82"/>
      <w:bookmarkEnd w:id="211"/>
      <w:r>
        <w:rPr>
          <w:rtl w:val="true"/>
        </w:rPr>
        <w:t>کلام مرحوم آیة‌اللّه فاضل لنکرانی</w:t>
      </w:r>
      <w:bookmarkEnd w:id="212"/>
    </w:p>
    <w:p>
      <w:pPr>
        <w:pStyle w:val="BookText"/>
        <w:rPr/>
      </w:pPr>
      <w:r>
        <w:rPr>
          <w:rFonts w:ascii="IRNazanin" w:hAnsi="IRNazanin" w:eastAsia="IRNazanin"/>
          <w:color w:val="111111"/>
          <w:sz w:val="28"/>
          <w:sz w:val="28"/>
          <w:szCs w:val="28"/>
          <w:rtl w:val="true"/>
          <w:lang w:bidi="fa-IR"/>
        </w:rPr>
        <w:t>مرحوم والد محقّق قدس سره پیرامون بنای عقلاء در مسأله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یقال بعد استقرار سیرة العقلاء علی القضیة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الشارع لم یردع عما هو مقتضی بناء العقلاء، وأدلة الأصول والقواعد المقابلة لا تصلح للرّادعیة، بل الرّدع یحتاج الی دلیل قویّ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یعنی سیرۀ عقلای عالم بر قبول اقرار مالک انشاء مستقر بوده و شارع نیز ردعی در این خصوص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ادلۀ اصولی و قواعدی که در تقابل با قضیه هستند، صلاحیت ردع قاعدۀ مزبور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ردع سیرۀ قطعیۀ عقلا محتاج دلیلی قوی است</w:t>
      </w:r>
      <w:r>
        <w:rPr>
          <w:rFonts w:eastAsia="IRNazanin" w:cs="IRNazanin"/>
          <w:color w:val="111111"/>
          <w:sz w:val="28"/>
          <w:szCs w:val="28"/>
          <w:rtl w:val="true"/>
          <w:lang w:bidi="fa-IR"/>
        </w:rPr>
        <w:t>.</w:t>
      </w:r>
    </w:p>
    <w:p>
      <w:pPr>
        <w:pStyle w:val="Heading6"/>
        <w:numPr>
          <w:ilvl w:val="5"/>
          <w:numId w:val="1"/>
        </w:numPr>
        <w:rPr/>
      </w:pPr>
      <w:bookmarkStart w:id="213" w:name="__RefHeading___Toc2472179_581953129"/>
      <w:bookmarkStart w:id="214" w:name="_Toc83"/>
      <w:bookmarkEnd w:id="213"/>
      <w:r>
        <w:rPr>
          <w:rtl w:val="true"/>
        </w:rPr>
        <w:t>اشکال بر دلیل بناء عقلاء</w:t>
      </w:r>
      <w:bookmarkEnd w:id="21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آن، لزوم بینه و یمین برای اثبات ادعای مدعی است، رادع سیرۀ عقلا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w:t>
      </w:r>
      <w:bookmarkStart w:id="215" w:name="pg5537_41341"/>
    </w:p>
    <w:p>
      <w:pPr>
        <w:pStyle w:val="BookText"/>
        <w:rPr/>
      </w:pPr>
      <w:bookmarkEnd w:id="215"/>
      <w:r>
        <w:rPr>
          <w:rFonts w:ascii="IRNazanin" w:hAnsi="IRNazanin" w:eastAsia="IRNazanin"/>
          <w:color w:val="111111"/>
          <w:sz w:val="28"/>
          <w:sz w:val="28"/>
          <w:szCs w:val="28"/>
          <w:rtl w:val="true"/>
          <w:lang w:bidi="fa-IR"/>
        </w:rPr>
        <w:t>شخصی برای هرگونه ادعای خویش بایستی بینه اقامه نماید؛ اگر چه ادعای وی، فروش مال شخصی یا قبض و اقباض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ادلۀ فوق، رادع سیرۀ عقلا بوده و نمی‌توان به بنای عقلا برای قاعده استدلال نمود</w:t>
      </w:r>
      <w:r>
        <w:rPr>
          <w:rFonts w:eastAsia="IRNazanin" w:cs="IRNazanin"/>
          <w:color w:val="111111"/>
          <w:sz w:val="28"/>
          <w:szCs w:val="28"/>
          <w:rtl w:val="true"/>
          <w:lang w:bidi="fa-IR"/>
        </w:rPr>
        <w:t>.</w:t>
      </w:r>
    </w:p>
    <w:p>
      <w:pPr>
        <w:pStyle w:val="Heading6"/>
        <w:numPr>
          <w:ilvl w:val="5"/>
          <w:numId w:val="1"/>
        </w:numPr>
        <w:rPr/>
      </w:pPr>
      <w:bookmarkStart w:id="216" w:name="__RefHeading___Toc2472181_581953129"/>
      <w:bookmarkStart w:id="217" w:name="_Toc84"/>
      <w:bookmarkEnd w:id="216"/>
      <w:r>
        <w:rPr>
          <w:rtl w:val="true"/>
        </w:rPr>
        <w:t>پاسخ حضرت استاد</w:t>
      </w:r>
      <w:bookmarkEnd w:id="217"/>
    </w:p>
    <w:p>
      <w:pPr>
        <w:pStyle w:val="BookText"/>
        <w:rPr/>
      </w:pPr>
      <w:r>
        <w:rPr>
          <w:rFonts w:ascii="IRNazanin" w:hAnsi="IRNazanin" w:eastAsia="IRNazanin"/>
          <w:color w:val="111111"/>
          <w:sz w:val="28"/>
          <w:sz w:val="28"/>
          <w:szCs w:val="28"/>
          <w:rtl w:val="true"/>
          <w:lang w:bidi="fa-IR"/>
        </w:rPr>
        <w:t>قسمت اخیر کلام مرحوم والد در حقیقت پاسخ به این اشکال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سیرۀ عقلائیه، سیرۀ مهمی باشد، با ادلۀ ضعیفی همچون اطلاق قابل ردع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شارع برای ردع سیره، بایستی با ادله‌ای قوی به میدان آمده و بر مقابله با آن تصریح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استدلال بر بنای عقلا تام بوده و به خوبی دلالت بر حجیت قاعده دارد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p>
    <w:p>
      <w:pPr>
        <w:pStyle w:val="Heading5"/>
        <w:numPr>
          <w:ilvl w:val="4"/>
          <w:numId w:val="1"/>
        </w:numPr>
        <w:rPr/>
      </w:pPr>
      <w:bookmarkStart w:id="218" w:name="__RefHeading___Toc2472183_581953129"/>
      <w:bookmarkStart w:id="219" w:name="_Toc85"/>
      <w:bookmarkEnd w:id="218"/>
      <w:r>
        <w:rPr>
          <w:rtl w:val="true"/>
        </w:rPr>
        <w:t>دلیل چهارم</w:t>
      </w:r>
      <w:r>
        <w:rPr>
          <w:rtl w:val="true"/>
        </w:rPr>
        <w:t xml:space="preserve">: </w:t>
      </w:r>
      <w:r>
        <w:rPr>
          <w:rtl w:val="true"/>
        </w:rPr>
        <w:t>ظهور معتبر</w:t>
      </w:r>
      <w:bookmarkEnd w:id="219"/>
    </w:p>
    <w:p>
      <w:pPr>
        <w:pStyle w:val="Heading6"/>
        <w:numPr>
          <w:ilvl w:val="5"/>
          <w:numId w:val="1"/>
        </w:numPr>
        <w:rPr/>
      </w:pPr>
      <w:bookmarkStart w:id="220" w:name="__RefHeading___Toc2472185_581953129"/>
      <w:bookmarkStart w:id="221" w:name="_Toc86"/>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مرحوم شیخ انصاری قدس سره دلیل دیگری برای این قاعده ذکر نموده که از ابتکارات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یمکن أن یکون الوجه فی القضیّة المذکورة، ظهور اعتبره الشارع،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یملک إحداث تصرّف فهو غیر متّهم فی الإخبار عنه حین القدرة علیه، والظاهر صدقه ووقوع المقرّ به</w:t>
      </w:r>
      <w:r>
        <w:rPr>
          <w:rFonts w:eastAsia="IRNazanin" w:cs="IRNazanin"/>
          <w:color w:val="111111"/>
          <w:sz w:val="28"/>
          <w:szCs w:val="28"/>
          <w:rtl w:val="true"/>
          <w:lang w:bidi="fa-IR"/>
        </w:rPr>
        <w:t>».</w:t>
      </w:r>
      <w:r>
        <w:rPr>
          <w:rStyle w:val="FootnoteAnchor"/>
          <w:rtl w:val="true"/>
        </w:rPr>
        <w:footnoteReference w:id="18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ممکن است دلیل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ظهوری باشد که شارع آن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هرکس مالک ایجاد تصرّفی مانند بیع یا هبه است، وقتی</w:t>
      </w:r>
    </w:p>
    <w:p>
      <w:pPr>
        <w:pStyle w:val="BookText"/>
        <w:rPr/>
      </w:pPr>
      <w:r>
        <w:rPr>
          <w:rFonts w:ascii="IRNazanin" w:hAnsi="IRNazanin" w:eastAsia="IRNazanin"/>
          <w:color w:val="111111"/>
          <w:sz w:val="28"/>
          <w:sz w:val="28"/>
          <w:szCs w:val="28"/>
          <w:rtl w:val="true"/>
          <w:lang w:bidi="fa-IR"/>
        </w:rPr>
        <w:t>قدرت بر اعمال تصرف مزبور دارد، در اخبار از آن تصرف متهم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کسی که اختیار انجام عملی را دارد وقتی از وقوع آن خبر می‌دهد در حالی که در همان زمان می‌تواند آن عمل را انجام دهد، نمی‌توان او را متهم به کذب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چنین کسی آن است که سخنش راست بوده و آنچه بدان اقرار دارد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هذا الظهور متفاوت الأفراد قوّة وضعفا بحسب قدرة المقرّ فعلا علی إنشاء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توقّف علی مقدّمات غیر حاصلة وقت الإقرار، کما فی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قاصدا به الإخبار مع قدرته علیه بقصد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قدرته لفوات بعض المقدّمات، لکنّه قادر علی تحصیل المقدّمات وفعلها فی الزمان المتأخّر، کما إذا أقرّ العبد بالدّین فی زمان له الاستدانة شرعا لکنّه موقوف علی مقدّمات غیر حاصلة، فإنّ الظاهر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وإن أمکن کذبه باعتبار بعض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دواعی الکذب فیه أقل بمراتب من دواعی الکذب المحتملة فی إقرار العبد المعزول عن التجارة الممنوع عن الاستدانة</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یعنی باید توجه داشت که ظهورِ یاد شده، در همه موارد یکسان نیست و بر حسب قوت و ضعف مقر و توانایی فعلی او بر انشاء آنچه که بدان اقرار می‌کند، قوی و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مقرّ بدون نیاز به فراهم کردن مقدمات خاصی می‌تواند هم زمان عمل موضوع اقرار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بدیهی است که ظهور مذکور به مراتب قوی‌تر از موردی است که انجام عمل مستلزم مقدمات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زوجی که در زمان عده، اقرار به رجوع می‌کند می‌تواند در همان زمان بدون نیاز به تحصیل مقدّمه خاصی، به جای اقرار به رجوع، انشاء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مقر به دلیل فقدان برخی مقدمات، قدرت کافی برای اقرار ندارد؛ اما قادر است بر اینکه آرام آرام مقدمات را فراهم نموده و سپس اقرار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عبد مأذون، اقرار بر مدیون بودن خویش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مولا به من اجازه استقراض داده بود، از فلان شخص، این مقدار پول قرض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ظاهر آن است که عبد در اقرارش صادق است؛ منتهی چون انجام عمل موضوع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مقدمات خاصی</w:t>
      </w:r>
      <w:r>
        <w:rPr>
          <w:rStyle w:val="FootnoteAnchor"/>
          <w:rtl w:val="true"/>
        </w:rPr>
        <w:footnoteReference w:id="190"/>
      </w:r>
      <w:r>
        <w:rPr>
          <w:rFonts w:ascii="IRNazanin" w:hAnsi="IRNazanin" w:eastAsia="IRNazanin"/>
          <w:color w:val="111111"/>
          <w:sz w:val="28"/>
          <w:sz w:val="28"/>
          <w:szCs w:val="28"/>
          <w:rtl w:val="true"/>
          <w:lang w:bidi="fa-IR"/>
        </w:rPr>
        <w:t>است، این ظهور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ظهور یاد شده برای زوج در صدق اقرار به مراتب قوی تر از ظهور مزبور برای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صورت نیاز به تحصیل مقدمات خاص باید دید آیا مقر، اساساً متمکن از تحصیل مقدمات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عبدی که از تجارت عزل شده و دیگر قادر به تجارت و استقراض نیست، چنین ظهوری در مورد او بسیار ضعیف است؛ اما احتمال کذب در مورد عبدی که در حین اقرار هنوز مأذون می‌باشد،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قدس سره در ادامه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تأمّلت هذا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أضعف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أقوی من ظهور حال المسلم فی صحة فعله، بمعنی مطابقته للواقع</w:t>
      </w:r>
      <w:r>
        <w:rPr>
          <w:rFonts w:eastAsia="IRNazanin" w:cs="IRNazanin"/>
          <w:color w:val="111111"/>
          <w:sz w:val="28"/>
          <w:szCs w:val="28"/>
          <w:rtl w:val="true"/>
          <w:lang w:bidi="fa-IR"/>
        </w:rPr>
        <w:t>».</w:t>
      </w:r>
      <w:r>
        <w:rPr>
          <w:rStyle w:val="FootnoteAnchor"/>
          <w:rtl w:val="true"/>
        </w:rPr>
        <w:footnoteReference w:id="19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همان نکتۀ باریک اجتهادی است که شیخ در پی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تأمل و دقت در مطلب ملاحظه می‌شود که این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ضعیف‌ترین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قوی‌تر از ظهور حال مسلمان در صحت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ظهور</w:t>
      </w:r>
    </w:p>
    <w:p>
      <w:pPr>
        <w:pStyle w:val="BookText"/>
        <w:rPr/>
      </w:pPr>
      <w:r>
        <w:rPr>
          <w:rFonts w:ascii="IRNazanin" w:hAnsi="IRNazanin" w:eastAsia="IRNazanin"/>
          <w:color w:val="111111"/>
          <w:sz w:val="28"/>
          <w:sz w:val="28"/>
          <w:szCs w:val="28"/>
          <w:rtl w:val="true"/>
          <w:lang w:bidi="fa-IR"/>
        </w:rPr>
        <w:t xml:space="preserve">موجود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قوی تر از ظهوری است که به عنوان منشأ اصل صحت، مورد نظر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سپس مرحوم شیخ قدس سره از این نیز فراتر رفته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یدّعی أنّ حکمة اعتبار الشارع والعرف لإقرار البالغ العاقل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الإنسان غیر متّهم فیما یخبره مما یکون علیه لا له، وفی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إشارة إلیه، حیث أضاف الإقرار إلی العقلاء تنبیها علی أنّ العاقل لا یکذب علی نفسه غالبا، وإلّا فلم یعهد من الشارع إضافة الأسباب إلی البالغ العاقل، وإن اختص السبب به، إلّاأنّه اکتفی عن ذلک فی جمیع الأسباب القولیّة والفعلیّة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بلکه حتی می‌توان ادعا نمود که حکمت اعتبار اقرار در تمام موارد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وقتی انسان بر ضرر خود خبری می‌دهد نمی‌شود او را متهم به کذب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حقیقت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ظهور در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آنچه بر ضرر خودش می‌گوید متهم نیست و همین ظهور، دلیل حجیت قاعدۀ اقرار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به همین جهت است که در حدیث نبوی کلمه اقرار به عقلا اضافه شده، با</w:t>
      </w:r>
    </w:p>
    <w:p>
      <w:pPr>
        <w:pStyle w:val="BookText"/>
        <w:rPr/>
      </w:pPr>
      <w:r>
        <w:rPr>
          <w:rFonts w:ascii="IRNazanin" w:hAnsi="IRNazanin" w:eastAsia="IRNazanin"/>
          <w:color w:val="111111"/>
          <w:sz w:val="28"/>
          <w:sz w:val="28"/>
          <w:szCs w:val="28"/>
          <w:rtl w:val="true"/>
          <w:lang w:bidi="fa-IR"/>
        </w:rPr>
        <w:t>اینکه در هیچ مورد دیگری شارع اسباب شرعیه را به بالغ و عاقل نسبت نداده و در هر مورد خاصّ بدان تصریح نمی‌نماید هر چند آن سبب مختص به عاقل باشد؛ بلکه برای نشان دادن اختصاص حکم به عاقل و بالغ به حدیث رفع اکتفا نموده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سپس نمونه هایی ذکر کرده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فالصبیّ لمّا جاز له بعض التصرّفات مثل الوقف ونحوه ولم یکن إقراره مظنّة للکذب کان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بعض الأقاریر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ظهور له فی الصدق لم یعتبره الشارع، کما فی الإقرار المتعارف لإقامة رسم القبالة، وکما فی إقرار المریض مطلقا أو إذا کان متّهما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از همین رو در مواردی که تصرفات صبی از نظر شارع معتبراست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در مظانّ کذب نیست، اقرار او نیز معتبر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صبی شرعاً می‌تواند وصیت، هبه یا 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اقرار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مالم را وقف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مظنۀ کذب نبوده و قولش مقبول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شارع برخی از اقرارهایی را که نوعاً ظهور در صدق ندارند، فاقد اعتبار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اقراری که در تنظیم قباله</w:t>
      </w:r>
      <w:r>
        <w:rPr>
          <w:rStyle w:val="FootnoteAnchor"/>
          <w:rtl w:val="true"/>
        </w:rPr>
        <w:footnoteReference w:id="198"/>
      </w:r>
      <w:r>
        <w:rPr>
          <w:rFonts w:ascii="IRNazanin" w:hAnsi="IRNazanin" w:eastAsia="IRNazanin"/>
          <w:color w:val="111111"/>
          <w:sz w:val="28"/>
          <w:sz w:val="28"/>
          <w:szCs w:val="28"/>
          <w:rtl w:val="true"/>
          <w:lang w:bidi="fa-IR"/>
        </w:rPr>
        <w:t>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اقرار مریضِ مشرف به موت طبق نظر بعضی از فقها مطلقا مسموع نیست و طبق نظر برخی</w:t>
      </w:r>
    </w:p>
    <w:p>
      <w:pPr>
        <w:pStyle w:val="BookText"/>
        <w:rPr/>
      </w:pPr>
      <w:r>
        <w:rPr>
          <w:rFonts w:ascii="IRNazanin" w:hAnsi="IRNazanin" w:eastAsia="IRNazanin"/>
          <w:color w:val="111111"/>
          <w:sz w:val="28"/>
          <w:sz w:val="28"/>
          <w:szCs w:val="28"/>
          <w:rtl w:val="true"/>
          <w:lang w:bidi="fa-IR"/>
        </w:rPr>
        <w:t>دیگر، تنها در صورتی که مریض در معرض تهمت باشد اقرارش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قدس سره بعد از ذکر این مطالب، نمونۀ دیگری به عنوان مؤید آورده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الفقهاء قد یحکم بسماع الإقرار وان تضمّن دفع دعوی الغیر مستندا إلی عدم کونه متّهما، کما فی إقرار مالک اللقیط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إنفاق الحاکم علیه بإعتاقه قبل ذلک، فإنّ الشیخ رحمة اللّه علیه حکم فی المبسوط بسماعه، لکونه غیر متّهم، لأنّه لا یرید العبد ولا یرید الثمن</w:t>
      </w:r>
      <w:r>
        <w:rPr>
          <w:rStyle w:val="FootnoteAnchor"/>
          <w:rtl w:val="true"/>
        </w:rPr>
        <w:footnoteReference w:id="199"/>
      </w:r>
      <w:r>
        <w:rPr>
          <w:rFonts w:ascii="IRNazanin" w:hAnsi="IRNazanin" w:eastAsia="IRNazanin"/>
          <w:color w:val="111111"/>
          <w:sz w:val="28"/>
          <w:sz w:val="28"/>
          <w:szCs w:val="28"/>
          <w:rtl w:val="true"/>
          <w:lang w:bidi="fa-IR"/>
        </w:rPr>
        <w:t>فیستمع دعواه وإن تضمّنت دفع النفقة عن نفسه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گاه برخی از فقها با استناد به اینکه مقرّ متهم به کذب نیست، در موردی که اقرار متضمن ردّ ادعای طرف مقابل است حکم به پذیرش اقرار وی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فرض کنیم عبدی گم شده و شخص دیگری او را یافته، تحویل حاکم داده و از سوی حاکم به عنوان صدقه از طرف مالک، آزاد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مالک عبد گم شده، آمده و اقرار می‌کند که قبل از مفقود شدن عبد، او را آزاد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در مبسوط، حکم به پذیرش اقرار مالک نموده به این دلیل که او متهم به کذب نیست؛ زیرا او نه عبد را مطالبه می‌کند و نه ثمن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دعوای او مسموع است هرچند متضمن نفی وظیفه او مبنی بر تأمین نفقه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قدس سره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الغرض ترجیح هذا القول فی هذه المسألة، بل الغرض تقریب أنّ عدم اتّهام المخبر فی خبره یوجب تقدیم قوله، ومرجعه إلی تقدیم هذا الظاهر علی الأصل، کما فی نظائره من ظهور الصحّة فی فعل المسلم ونحوه من الظواهر</w:t>
      </w:r>
      <w:r>
        <w:rPr>
          <w:rFonts w:eastAsia="IRNazanin" w:cs="IRNazanin"/>
          <w:color w:val="111111"/>
          <w:sz w:val="28"/>
          <w:szCs w:val="28"/>
          <w:rtl w:val="true"/>
          <w:lang w:bidi="fa-IR"/>
        </w:rPr>
        <w:t>».</w:t>
      </w:r>
      <w:r>
        <w:rPr>
          <w:rStyle w:val="FootnoteAnchor"/>
          <w:rtl w:val="true"/>
        </w:rPr>
        <w:footnoteReference w:id="20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غرض ما از ذکر این کلام، ترجیح قول شیخ طوسی مبنی بر پذیرش اقرار</w:t>
      </w:r>
      <w:bookmarkStart w:id="222" w:name="pg5537_41349"/>
    </w:p>
    <w:p>
      <w:pPr>
        <w:pStyle w:val="BookText"/>
        <w:rPr/>
      </w:pPr>
      <w:bookmarkEnd w:id="222"/>
      <w:r>
        <w:rPr>
          <w:rFonts w:ascii="IRNazanin" w:hAnsi="IRNazanin" w:eastAsia="IRNazanin"/>
          <w:color w:val="111111"/>
          <w:sz w:val="28"/>
          <w:sz w:val="28"/>
          <w:szCs w:val="28"/>
          <w:rtl w:val="true"/>
          <w:lang w:bidi="fa-IR"/>
        </w:rPr>
        <w:t>مالک نیست، بلکه مراد تقریب این مطلب است که متهم نبودن مخبر به کذب در اخبارش، موجب تقدیم قول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مورد از مواردی می‌باشد که ظهور یاد شده، سبب تقدم ظاهر بر 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موارد مشابه مثل ظهور صحت در فعل مسلمان و ظهورات دیگر صورت می‌پذیرد</w:t>
      </w:r>
      <w:r>
        <w:rPr>
          <w:rFonts w:eastAsia="IRNazanin" w:cs="IRNazanin"/>
          <w:color w:val="111111"/>
          <w:sz w:val="28"/>
          <w:szCs w:val="28"/>
          <w:rtl w:val="true"/>
          <w:lang w:bidi="fa-IR"/>
        </w:rPr>
        <w:t>.</w:t>
      </w:r>
      <w:r>
        <w:rPr>
          <w:rStyle w:val="FootnoteAnchor"/>
          <w:rtl w:val="true"/>
        </w:rPr>
        <w:footnoteReference w:id="202"/>
      </w:r>
    </w:p>
    <w:p>
      <w:pPr>
        <w:pStyle w:val="Heading6"/>
        <w:numPr>
          <w:ilvl w:val="5"/>
          <w:numId w:val="1"/>
        </w:numPr>
        <w:rPr/>
      </w:pPr>
      <w:bookmarkStart w:id="223" w:name="__RefHeading___Toc2472187_581953129"/>
      <w:bookmarkStart w:id="224" w:name="_Toc87"/>
      <w:bookmarkEnd w:id="223"/>
      <w:r>
        <w:rPr>
          <w:rtl w:val="true"/>
        </w:rPr>
        <w:t>اشکال شیخ انصاری بر حجیت ظهور</w:t>
      </w:r>
      <w:bookmarkEnd w:id="224"/>
    </w:p>
    <w:p>
      <w:pPr>
        <w:pStyle w:val="BookText"/>
        <w:rPr/>
      </w:pPr>
      <w:r>
        <w:rPr>
          <w:rFonts w:ascii="IRNazanin" w:hAnsi="IRNazanin" w:eastAsia="IRNazanin"/>
          <w:color w:val="111111"/>
          <w:sz w:val="28"/>
          <w:sz w:val="28"/>
          <w:szCs w:val="28"/>
          <w:rtl w:val="true"/>
          <w:lang w:bidi="fa-IR"/>
        </w:rPr>
        <w:t>شیخ قدس سره پس از آن همه کوشش در اثبات ظهور، در پایان همۀ ساخته‌های خویش را خراب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ولکنّ الظهور المذکور لا حجیّة فیه بنفسه حتی یقدّم علی مقابله من الأصول والقواعد المقرّرة، بل یحتاج إلی قیام دلیل علیه أو استنباطه من أدلة بعض القواعد الأخر</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 با وجود همۀ شواهدی که ذکر نمودیم، ظهور یاد شده فی نفسه فاقد حجّیت است و نمی‌توان آن را بر اصول و قواعد مقابل آن،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جایی که دلیلی بر ظهور نباشد، نمی‌توان آن را بر اصل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اثبات حجّیت ظهور محتاج به قیام دلیل است و باید حجّیت آن را از ادلّه قواعد دیگر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اشکال شیخ بر حجیت ظهور اینست که دلیلی برای حجّت چنین ظهوری وجود ندارد و به همین سبب، ظهور مزبور توان مقاومت در مقابل ادله و قواعد را ندارد</w:t>
      </w:r>
      <w:r>
        <w:rPr>
          <w:rFonts w:eastAsia="IRNazanin" w:cs="IRNazanin"/>
          <w:color w:val="111111"/>
          <w:sz w:val="28"/>
          <w:szCs w:val="28"/>
          <w:rtl w:val="true"/>
          <w:lang w:bidi="fa-IR"/>
        </w:rPr>
        <w:t>.</w:t>
      </w:r>
    </w:p>
    <w:p>
      <w:pPr>
        <w:pStyle w:val="Heading6"/>
        <w:numPr>
          <w:ilvl w:val="5"/>
          <w:numId w:val="1"/>
        </w:numPr>
        <w:rPr/>
      </w:pPr>
      <w:bookmarkStart w:id="225" w:name="__RefHeading___Toc2472189_581953129"/>
      <w:bookmarkStart w:id="226" w:name="_Toc88"/>
      <w:bookmarkEnd w:id="225"/>
      <w:r>
        <w:rPr>
          <w:rtl w:val="true"/>
        </w:rPr>
        <w:t>بررسی اشکال شیخ انصاری</w:t>
      </w:r>
      <w:bookmarkEnd w:id="2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پاسخی که می‌توان به اشکال مرحوم شیخ قدس سره داد این است که خود وی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ظهور محتوای آن دو دانسته و در ما نحن فیه نیز اظهار</w:t>
      </w:r>
      <w:bookmarkStart w:id="227" w:name="pg5537_41351"/>
    </w:p>
    <w:p>
      <w:pPr>
        <w:pStyle w:val="BookText"/>
        <w:rPr/>
      </w:pPr>
      <w:bookmarkEnd w:id="227"/>
      <w:r>
        <w:rPr>
          <w:rFonts w:ascii="IRNazanin" w:hAnsi="IRNazanin" w:eastAsia="IRNazanin"/>
          <w:color w:val="111111"/>
          <w:sz w:val="28"/>
          <w:sz w:val="28"/>
          <w:szCs w:val="28"/>
          <w:rtl w:val="true"/>
          <w:lang w:bidi="fa-IR"/>
        </w:rPr>
        <w:t>داشته که ظهوری اقوا از ظهور دو قاعدۀ فوق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همین ظهور شایستگی دارد تا به عنوان دلیل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همان ملاکی که در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اقرار است،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حجیت اصالة الصحه و قاعدۀ اقرار را غیر مرتبط به این ظهور بدانیم و به عبارت دیگر، حجیت آن دو را تعبّدی بدانیم؛ در این صورت ارتباطی به این بحث پیدا نمی‌کند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228" w:name="__RefHeading___Toc2472191_581953129"/>
      <w:bookmarkStart w:id="229" w:name="_Toc89"/>
      <w:bookmarkEnd w:id="228"/>
      <w:r>
        <w:rPr>
          <w:rtl w:val="true"/>
        </w:rPr>
        <w:t>دلیل پنجم</w:t>
      </w:r>
      <w:r>
        <w:rPr>
          <w:rtl w:val="true"/>
        </w:rPr>
        <w:t xml:space="preserve">: </w:t>
      </w:r>
      <w:r>
        <w:rPr>
          <w:rtl w:val="true"/>
        </w:rPr>
        <w:t>ملازمۀ عرفیه</w:t>
      </w:r>
      <w:bookmarkEnd w:id="229"/>
    </w:p>
    <w:p>
      <w:pPr>
        <w:pStyle w:val="Heading6"/>
        <w:numPr>
          <w:ilvl w:val="5"/>
          <w:numId w:val="1"/>
        </w:numPr>
        <w:rPr/>
      </w:pPr>
      <w:bookmarkStart w:id="230" w:name="__RefHeading___Toc2472193_581953129"/>
      <w:bookmarkStart w:id="231" w:name="_Toc90"/>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این دلیل برای نخستین بار از سوی محقّق اصولی مرحوم آقا ضیاء الدین عراقی قدس سره مطرح شده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شاگرد وی مرحوم محقّق بجنوردی قدس سره، استدلال ایشان برای تصحیح قاعده را چنین نقل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أستاذنا المحقّق قدس سره من ثبوت الملازمة بین السلطنة علی ثبوت الشیء والسلطنة علی إثباته، بمعنی أنّ القدرة علی وجود الشیء واقعا ملازم مع القدرة علی إیصاله إلی مرتبة الإظهار والإثبات، مثلا لو کانت له السلطنة علی بیع داره، أو وقفه، أو هبته، أو غیر ذلک من التصرفات فلا بدّأن تکون له السلطنة علی إثبات هذا العمل والفعل</w:t>
      </w:r>
      <w:r>
        <w:rPr>
          <w:rFonts w:eastAsia="IRNazanin" w:cs="IRNazanin"/>
          <w:color w:val="111111"/>
          <w:sz w:val="28"/>
          <w:szCs w:val="28"/>
          <w:rtl w:val="true"/>
          <w:lang w:bidi="fa-IR"/>
        </w:rPr>
        <w:t>».</w:t>
      </w:r>
      <w:r>
        <w:rPr>
          <w:rStyle w:val="FootnoteAnchor"/>
          <w:rtl w:val="true"/>
        </w:rPr>
        <w:footnoteReference w:id="206"/>
      </w:r>
      <w:bookmarkStart w:id="232" w:name="pg5537_41353"/>
    </w:p>
    <w:p>
      <w:pPr>
        <w:pStyle w:val="BookText"/>
        <w:rPr/>
      </w:pPr>
      <w:bookmarkEnd w:id="232"/>
      <w:r>
        <w:rPr>
          <w:rFonts w:ascii="IRNazanin" w:hAnsi="IRNazanin" w:eastAsia="IRNazanin"/>
          <w:color w:val="111111"/>
          <w:sz w:val="28"/>
          <w:sz w:val="28"/>
          <w:szCs w:val="28"/>
          <w:rtl w:val="true"/>
          <w:lang w:bidi="fa-IR"/>
        </w:rPr>
        <w:t>بین سلطنت بر ثبوت و سلطنت بر اثبات، ملازمه عرفیه وجود دارد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یعنی قدرت بر انجام یک عمل مستلزم قدرت بر اظهار و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شارع به کسی مجوز دخالت در امری را داد، به ملازمه عرفیه این شخص صاحب اختیار آن امر بوده، اقرارش در مورد آن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 که سلطنت بر تصرفاتی مانند فروش، وقف یا هبۀ خانۀ خویش دارد، طبیعتاً سلطنت بر اثبات تصرفات مذکور را نیز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کسی که بر وقایعی مانند بیع و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اموری مربوط به عالم ثبوت و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داشته باشد، لزوماً بر این امر نیز سلطنت دارد که وقوع تصرفات مذکور را به مرحلۀ اثبات برساند</w:t>
      </w:r>
      <w:r>
        <w:rPr>
          <w:rFonts w:eastAsia="IRNazanin" w:cs="IRNazanin"/>
          <w:color w:val="111111"/>
          <w:sz w:val="28"/>
          <w:szCs w:val="28"/>
          <w:rtl w:val="true"/>
          <w:lang w:bidi="fa-IR"/>
        </w:rPr>
        <w:t>.</w:t>
      </w:r>
      <w:r>
        <w:rPr>
          <w:rStyle w:val="FootnoteAnchor"/>
          <w:rtl w:val="true"/>
        </w:rPr>
        <w:footnoteReference w:id="208"/>
      </w:r>
    </w:p>
    <w:p>
      <w:pPr>
        <w:pStyle w:val="Heading6"/>
        <w:numPr>
          <w:ilvl w:val="5"/>
          <w:numId w:val="1"/>
        </w:numPr>
        <w:rPr/>
      </w:pPr>
      <w:bookmarkStart w:id="233" w:name="__RefHeading___Toc2472195_581953129"/>
      <w:bookmarkStart w:id="234" w:name="_Toc91"/>
      <w:bookmarkEnd w:id="233"/>
      <w:r>
        <w:rPr>
          <w:rtl w:val="true"/>
        </w:rPr>
        <w:t>اشکال محقق بجنوردی بر دلیل ملازمه</w:t>
      </w:r>
      <w:bookmarkEnd w:id="234"/>
    </w:p>
    <w:p>
      <w:pPr>
        <w:pStyle w:val="BookText"/>
        <w:rPr/>
      </w:pPr>
      <w:r>
        <w:rPr>
          <w:rFonts w:ascii="IRNazanin" w:hAnsi="IRNazanin" w:eastAsia="IRNazanin"/>
          <w:color w:val="111111"/>
          <w:sz w:val="28"/>
          <w:sz w:val="28"/>
          <w:szCs w:val="28"/>
          <w:rtl w:val="true"/>
          <w:lang w:bidi="fa-IR"/>
        </w:rPr>
        <w:t>محقّق بجنوردی قدس سره پس از نقل کلام محقق عراقی قدس سره، استدلال وی را مورد خدشه قرار داده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الکلام بظاهره واضح الإشکال، لأنّه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السلطنة علی إثباته بحیث أنّه یکون ثابتا فی مرحلة الظاهر بمحض إظهاره وإقراره، کی یترتّب علیه جمیع آثار وجود ذلک الشیء، سواء أ کان له أو علیه أو لغیره أو علی 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دعوی بلا بیّنة ولا برهان؛ إذ ربما یکون الإنسان قادرا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قادرا علی إثبات ذلک الشیء بمحض إخباره‌إقراره، والّا کان إخبار کلّ مخبر عن صدور فعل یکون حجّة علی وجود ذلک الفعل وذلک العمل وإن أنکره من یتعلّق به العمل، مثل إنّه لو استأجر البناء علی أن یبنی له الحائط أو شیئا آخر فی داره أو فی مکان آخر، أو استأجر الخیّاط علی أن یخیط له کذا، فأخبر بوقوع ذلک البناء أو تلک الخیاطة تکون أخبار البناء أو الخیاط حجّة، مع أنّه لیس کذلک قطعاً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یعنی اشکال این استدلال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از سلطنت بر اثبات در کلام ایشان دو امر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سلطنت بر اثبات، این باشد که به محض اظهار و اقرار شخص نسبت به عملی که قادر بر انجام آن است، وقوع عمل مزبور ثابت شده و بایستی آن را پذیرفت و تمام آثار وجودی عمل مزبور را بر آن مترتب ساخت؛ خواه اقرار شخص به نفع خود او باشد یا به ضررش و خواه به نفع یا ضرر غیر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سخنی، ادعای بدون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انسان در مقام ثبوت قادر به انجام کاری هست اما در مقام اثبات صرفاً با اخبار و اقرار قادر نیست که آن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اخبار هر شخصی که خبر از صدور فعلی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وجود انکار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دلیل بر وجود آن فعل تلقی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اگر شخصی بنّا یا خیاطی را اجیر کند تا برای وی دیواری ساخته یا لباسی بدوزد، سپس آن بنّا یا خیاط خبر از احداث دیوار یا دوختن لباس دهد، این</w:t>
      </w:r>
    </w:p>
    <w:p>
      <w:pPr>
        <w:pStyle w:val="BookText"/>
        <w:rPr/>
      </w:pPr>
      <w:r>
        <w:rPr>
          <w:rFonts w:ascii="IRNazanin" w:hAnsi="IRNazanin" w:eastAsia="IRNazanin"/>
          <w:color w:val="111111"/>
          <w:sz w:val="28"/>
          <w:sz w:val="28"/>
          <w:szCs w:val="28"/>
          <w:rtl w:val="true"/>
          <w:lang w:bidi="fa-IR"/>
        </w:rPr>
        <w:t>اخبار بایستی حجّت باشد، در حالی که یقیناً چنین نیست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الملازمة بین السلطنة علی إیجاد الشیء والسلطنة علی إثباته هو أنّ الشارع إن جعل سلطانا علی أمر، کما أنّه جعل الحاکم الشرعی سلطانا علی نصب القیّم مثلا علی القصر، أو علی جعل المتولّی للوقف الذی لم یجعل الواقف له متولّ، فجعله الحاکم سلطانا علی هذه الأمور ملازم مع جعل إخباره عن هذه الأمور وإقراره بها حجة علی إثباتها، فکلّ عمل وفعل تحت سلطنته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تکوینا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إقراره بوقوعه حجّة، سواء أ کان له أو علیه أو لغیره أو علی ذلک الغیر</w:t>
      </w:r>
      <w:r>
        <w:rPr>
          <w:rFonts w:eastAsia="IRNazanin" w:cs="IRNazanin"/>
          <w:color w:val="111111"/>
          <w:sz w:val="28"/>
          <w:szCs w:val="28"/>
          <w:rtl w:val="true"/>
          <w:lang w:bidi="fa-IR"/>
        </w:rPr>
        <w:t>».</w:t>
      </w:r>
      <w:r>
        <w:rPr>
          <w:rStyle w:val="FootnoteAnchor"/>
          <w:rtl w:val="true"/>
        </w:rPr>
        <w:footnoteReference w:id="21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ملازمه این باشد که هرگاه شارع شخصی را مسلط بر امری قرار دهد، این سلطه مستلزم آن است که اخبار و اقرار آن شخص نسبت به همان</w:t>
      </w:r>
    </w:p>
    <w:p>
      <w:pPr>
        <w:pStyle w:val="BookText"/>
        <w:rPr/>
      </w:pPr>
      <w:r>
        <w:rPr>
          <w:rFonts w:ascii="IRNazanin" w:hAnsi="IRNazanin" w:eastAsia="IRNazanin"/>
          <w:color w:val="111111"/>
          <w:sz w:val="28"/>
          <w:sz w:val="28"/>
          <w:szCs w:val="28"/>
          <w:rtl w:val="true"/>
          <w:lang w:bidi="fa-IR"/>
        </w:rPr>
        <w:t>امر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شارع، به حاکم شرع سلطنت و اختیار نصب قیم بر صغار یا تعیین متولی وقف را اعطا نموده و چنین سلطنتی مستلزم حجّیت اخبار و اقرار حاکم در اثبات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فعل و عملی که شرعاً در محدودۀ اختیارات شخصی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به موجب قانون تشریعی مجاز به انجام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اختیاری مستلزم حجّیت اقرار و اخبار اوست؛ نه اینکه هر کس تکوینا بتواند کاری را انجام دهد باید قول او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دعوی بلا برهان أیضا، من جهة عدم لزوم لغویّة الجعل الأوّل، ای کونه سلطانا علی تلک الأمور من دون کون إخباره عن وقوعها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ربما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الإشهاد علی صدورها منه حتّی فی مثل الرجوع إلی زوجته المطلقة رجعة فی العدّة، فیشهد عدلین علی أنّه رجع إلیها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إلیها فی حال عدم انقضاء العدّة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إخبارا عن صدور الفعل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بنفسه رجوع قولیّ، ویترتّب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أن یکون من قبیل إثبات الرجوع بإقراره ومن مصادیق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الجعل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جعل إقراره حجّة علی وقوع ذلک الأمر الذی له السلطنة علی إیقاعه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الجعل الأوّل، حتّی یکون الدلیل الذی یدلّ علی سلطنته علی إیقاع ذلک الأمر یدلّ بالدلالة الالتزامیّة علی سلطنته شرعا علی إثباته، فیکون إخباره عن وقوعه حجّة علی وقوعه؛ لأنّه لا ملازمة بینهما، لا عقلا ولا شرعا ولا عرفا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الملازمة عقلا وشرعا فواضح، وأمّا عرفا فمن جهة أنّ العرف لا یفهم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إخبار</w:t>
      </w:r>
      <w:bookmarkStart w:id="235" w:name="pg5537_41361"/>
    </w:p>
    <w:p>
      <w:pPr>
        <w:pStyle w:val="BookText"/>
        <w:rPr/>
      </w:pPr>
      <w:bookmarkEnd w:id="235"/>
      <w:r>
        <w:rPr>
          <w:rFonts w:ascii="IRNazanin" w:hAnsi="IRNazanin" w:eastAsia="IRNazanin"/>
          <w:color w:val="111111"/>
          <w:sz w:val="28"/>
          <w:sz w:val="28"/>
          <w:szCs w:val="28"/>
          <w:rtl w:val="true"/>
          <w:lang w:bidi="fa-IR"/>
        </w:rPr>
        <w:t>الزوج بطلاق زوجته حجّة علی وقوعه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 این سخن نیز دعوای بلا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ملازمه بین دو امر در جایی است که بدون آن لغویت لازم آید، در حالی که از عدم ملازمه مذکور هیچ لغویتی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امکان دارد شخصی را مسلط بر امری قرار دهند و به او اختیار تصرفاتی را بدهند اما در عین حال اخبار یا اقرار او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می‌شود مرد اختیار طلاق را دارد، این اختیار مستلزم آن نیست که اخبار و اقرار او نسبت به انجام طلاق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ملازمه‌ای نه از نظر عقلی وجود دارد، و نه شرع و نه عرف چنین ملازمه‌ای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وجود ملازمۀ عقلی و شرعی روشن است، اما عدم وجود ملازمه عرفی به این صورت است که عرف مثلاً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حکم نمی‌کند که اختیار زوج بر طلاق موجب حجیت اقرار و اخبار وی بر وقوع طلاق می‌باشد</w:t>
      </w:r>
      <w:r>
        <w:rPr>
          <w:rFonts w:eastAsia="IRNazanin" w:cs="IRNazanin"/>
          <w:color w:val="111111"/>
          <w:sz w:val="28"/>
          <w:szCs w:val="28"/>
          <w:rtl w:val="true"/>
          <w:lang w:bidi="fa-IR"/>
        </w:rPr>
        <w:t>.</w:t>
      </w:r>
      <w:r>
        <w:rPr>
          <w:rStyle w:val="FootnoteAnchor"/>
          <w:rtl w:val="true"/>
        </w:rPr>
        <w:footnoteReference w:id="214"/>
      </w:r>
    </w:p>
    <w:p>
      <w:pPr>
        <w:pStyle w:val="Heading6"/>
        <w:numPr>
          <w:ilvl w:val="5"/>
          <w:numId w:val="1"/>
        </w:numPr>
        <w:rPr/>
      </w:pPr>
      <w:bookmarkStart w:id="236" w:name="__RefHeading___Toc2472197_581953129"/>
      <w:bookmarkStart w:id="237" w:name="_Toc92"/>
      <w:bookmarkEnd w:id="236"/>
      <w:r>
        <w:rPr>
          <w:rtl w:val="true"/>
        </w:rPr>
        <w:t>پاسخ مرحوم آیة‌اللّه فاضل لنکرانی</w:t>
      </w:r>
      <w:bookmarkEnd w:id="237"/>
    </w:p>
    <w:p>
      <w:pPr>
        <w:pStyle w:val="BookText"/>
        <w:rPr/>
      </w:pPr>
      <w:r>
        <w:rPr>
          <w:rFonts w:ascii="IRNazanin" w:hAnsi="IRNazanin" w:eastAsia="IRNazanin"/>
          <w:color w:val="111111"/>
          <w:sz w:val="28"/>
          <w:sz w:val="28"/>
          <w:szCs w:val="28"/>
          <w:rtl w:val="true"/>
          <w:lang w:bidi="fa-IR"/>
        </w:rPr>
        <w:t>مرحوم والد محقّق قدس سره پس از نقل مناقشۀ محقق بجنوردی قدس سره در مقام پاسخ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انه لا مجال لإنکار الدلالة الالتزامیة العرفیّة؛ فإنّ العرف یفهم من ثبوت السلطنة للزوج علی الرجوع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إنشاء، انه لو وقع</w:t>
      </w:r>
      <w:bookmarkStart w:id="238" w:name="pg5537_41363"/>
    </w:p>
    <w:p>
      <w:pPr>
        <w:pStyle w:val="BookText"/>
        <w:rPr/>
      </w:pPr>
      <w:bookmarkEnd w:id="238"/>
      <w:r>
        <w:rPr>
          <w:rFonts w:ascii="IRNazanin" w:hAnsi="IRNazanin" w:eastAsia="IRNazanin"/>
          <w:color w:val="111111"/>
          <w:sz w:val="28"/>
          <w:sz w:val="28"/>
          <w:szCs w:val="28"/>
          <w:rtl w:val="true"/>
          <w:lang w:bidi="fa-IR"/>
        </w:rPr>
        <w:t>هذا القول فی مقام الاخبار والإقرار یکون حجة إذا کانت الزوجة فی العدة، بحیث کان له ذلک، نعم مع انقضاء العدة وعدم ثبوت حق الرجوع له بالفعل، لا مجال لاستفادة حجیة الإقرار، کما انه لا تدل علیه القاعدة، لظهورها فی السلطنة الفعلیة کما سیأتی إن شاء اللّه تعالی</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یعنی مجالی برای انکار دلالت التزامی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ملازمۀ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عنوان مثال، عرف از ثبوت توانایی رجوع در عده برای زوج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 پی می‌برد که اگر زوج، همین لفظ را در مقام اقرار و اخبار به کار گیرد، چنین اخبار و اقراری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حجیت اقرار مذکور در صورتی است که زوجه هنوز در عده باشد؛ و الا اگر مدت عده منقضی شده باشد، مجالی برای استناد به حجیت اقرار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سلطنت فعلیه دارد و در مواردی که سلطنت زائل شده است، اقرار نیز فاقد اعتبار خواهد بود</w:t>
      </w:r>
      <w:r>
        <w:rPr>
          <w:rFonts w:eastAsia="IRNazanin" w:cs="IRNazanin"/>
          <w:color w:val="111111"/>
          <w:sz w:val="28"/>
          <w:szCs w:val="28"/>
          <w:rtl w:val="true"/>
          <w:lang w:bidi="fa-IR"/>
        </w:rPr>
        <w:t>.</w:t>
      </w:r>
    </w:p>
    <w:p>
      <w:pPr>
        <w:pStyle w:val="Heading6"/>
        <w:numPr>
          <w:ilvl w:val="5"/>
          <w:numId w:val="1"/>
        </w:numPr>
        <w:rPr/>
      </w:pPr>
      <w:bookmarkStart w:id="239" w:name="__RefHeading___Toc2472199_581953129"/>
      <w:bookmarkStart w:id="240" w:name="_Toc93"/>
      <w:bookmarkEnd w:id="239"/>
      <w:r>
        <w:rPr>
          <w:rtl w:val="true"/>
        </w:rPr>
        <w:t>پاسخ حضرت استاد</w:t>
      </w:r>
      <w:bookmarkEnd w:id="240"/>
    </w:p>
    <w:p>
      <w:pPr>
        <w:pStyle w:val="BookText"/>
        <w:rPr/>
      </w:pPr>
      <w:r>
        <w:rPr>
          <w:rFonts w:ascii="IRNazanin" w:hAnsi="IRNazanin" w:eastAsia="IRNazanin"/>
          <w:color w:val="111111"/>
          <w:sz w:val="28"/>
          <w:sz w:val="28"/>
          <w:szCs w:val="28"/>
          <w:rtl w:val="true"/>
          <w:lang w:bidi="fa-IR"/>
        </w:rPr>
        <w:t xml:space="preserve">اولاً همچنان‌که گذشت،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فی الجمله است؛ نه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مرحوم عراقی قدس سره نیز وجود ملازمۀ عرفیه بین سلطنت بر ثبوت و اثبات را به صورت فی الجمله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اشکال محقق بجنوردی قدس سره اصل قاعده را از بین نمی‌برد، بلکه تنها دامنه آن را محدود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اقرار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جهت تأثیر 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منزلۀ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این قاعده را قبول کند، در مسألۀ اختلاف مستأجر و اجیر نیز باید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اجیر به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کار را که خواسته بودی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سلطنت بر عمل داشته، سلطنت بر اقرار نیز دارد و بایستی</w:t>
      </w:r>
    </w:p>
    <w:p>
      <w:pPr>
        <w:pStyle w:val="BookText"/>
        <w:rPr/>
      </w:pPr>
      <w:r>
        <w:rPr>
          <w:rFonts w:ascii="IRNazanin" w:hAnsi="IRNazanin" w:eastAsia="IRNazanin"/>
          <w:color w:val="111111"/>
          <w:sz w:val="28"/>
          <w:sz w:val="28"/>
          <w:szCs w:val="28"/>
          <w:rtl w:val="true"/>
          <w:lang w:bidi="fa-IR"/>
        </w:rPr>
        <w:t>اقرارش بدون بینه پذیرفته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مستأجر بینه‌ای بر خلاف بیاورد، مسلماً قول وی مقدم شده و اصلاً نوبت به قاعده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ملازمۀ عرفیه حتی در صورتی که بینه بر خلاف باشد موجود است، اما با وجود بینه اصلاً نوبت به قاعده نمی‌رسد؛ نه اینکه ملازمه وجود نداشته باشد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پنج دلیل به عنوان ادلۀ مستقل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 و معلوم شد که هر پنج دلیل مذکور، مورد قبول بوده و می‌توانند مستند محکمی بر قاعده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به ادله و مستندات دیگری که در دلیل سایر قواعد هم عرض با قاعدۀ مزبور اخذ شده‌اند می‌پردازیم</w:t>
      </w:r>
      <w:r>
        <w:rPr>
          <w:rFonts w:eastAsia="IRNazanin" w:cs="IRNazanin"/>
          <w:color w:val="111111"/>
          <w:sz w:val="28"/>
          <w:szCs w:val="28"/>
          <w:rtl w:val="true"/>
          <w:lang w:bidi="fa-IR"/>
        </w:rPr>
        <w:t>.</w:t>
      </w:r>
      <w:bookmarkStart w:id="241" w:name="pg5537_41367"/>
    </w:p>
    <w:p>
      <w:pPr>
        <w:pStyle w:val="Heading4"/>
        <w:numPr>
          <w:ilvl w:val="3"/>
          <w:numId w:val="1"/>
        </w:numPr>
        <w:rPr/>
      </w:pPr>
      <w:bookmarkStart w:id="242" w:name="__RefHeading___Toc2472201_581953129"/>
      <w:bookmarkStart w:id="243" w:name="_Toc94"/>
      <w:bookmarkEnd w:id="241"/>
      <w:bookmarkEnd w:id="242"/>
      <w:r>
        <w:rPr>
          <w:rtl w:val="true"/>
        </w:rPr>
        <w:t>فصل دوم</w:t>
      </w:r>
      <w:r>
        <w:rPr>
          <w:rtl w:val="true"/>
        </w:rPr>
        <w:t xml:space="preserve">: </w:t>
      </w:r>
      <w:r>
        <w:rPr>
          <w:rtl w:val="true"/>
        </w:rPr>
        <w:t>ادلۀ مستفاد از قواعد دیگر</w:t>
      </w:r>
      <w:bookmarkEnd w:id="243"/>
    </w:p>
    <w:p>
      <w:pPr>
        <w:pStyle w:val="Heading5"/>
        <w:numPr>
          <w:ilvl w:val="4"/>
          <w:numId w:val="1"/>
        </w:numPr>
        <w:rPr/>
      </w:pPr>
      <w:bookmarkStart w:id="244" w:name="__RefHeading___Toc2472203_581953129"/>
      <w:bookmarkStart w:id="245" w:name="_Toc95"/>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برخی فقها اذعان داشته‌اند بر اینکه ادلۀ سایر قواعد هم عرض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قاعدۀ مزبور نیز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معتقدند که هر کدام از قواعد مورد اشاره مستقل بوده و تحت کبرای واحدی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قدس سره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یبقی الکلام فی وجه سماع قولهم بعد الجزم بعدم کونها بمجموعها تحت کبری واحدة بل هنا کبریات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المدعی بلا معارض،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سماع قول ذی الید،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سماع قول الأمین فی ما ثبت فیه أمانته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من ملک فی ما هو راجع الی تحت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ما لا یعلم الا من قبله، وعلیه ینبغی حینئذ التکلم فی وجه هذه الکبریات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کلام ایشان این است که در خصوص سماع اقرار مقر، پنج قاعده هم عرض وجود دارد که هر کدام از این قواعد مستقل بوده و تحت کبرای واحدی قرار</w:t>
      </w:r>
      <w:bookmarkStart w:id="246" w:name="pg5537_41368"/>
    </w:p>
    <w:p>
      <w:pPr>
        <w:pStyle w:val="BookText"/>
        <w:rPr/>
      </w:pPr>
      <w:bookmarkEnd w:id="246"/>
      <w:r>
        <w:rPr>
          <w:rFonts w:ascii="IRNazanin" w:hAnsi="IRNazanin" w:eastAsia="IRNazanin"/>
          <w:color w:val="111111"/>
          <w:sz w:val="28"/>
          <w:sz w:val="28"/>
          <w:szCs w:val="28"/>
          <w:rtl w:val="true"/>
          <w:lang w:bidi="fa-IR"/>
        </w:rPr>
        <w:t>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قاعده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بلا معارض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قاعدۀ حجیت قول ذو الید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سماع قول الامین فی ما ثبت فیه امانته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ائتمان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إلا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حقیقت چهار قاعده را در کنار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معتقد است که هر کدام از قواعد فوق مستقل بوده و ادلۀ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 باید چهار قاعدۀ مذکور به علاوۀ دو قاعدۀ فخریه</w:t>
      </w:r>
      <w:r>
        <w:rPr>
          <w:rStyle w:val="FootnoteAnchor"/>
          <w:rtl w:val="true"/>
        </w:rPr>
        <w:footnoteReference w:id="219"/>
      </w:r>
      <w:r>
        <w:rPr>
          <w:rFonts w:ascii="IRNazanin" w:hAnsi="IRNazanin" w:eastAsia="IRNazanin"/>
          <w:color w:val="111111"/>
          <w:sz w:val="28"/>
          <w:sz w:val="28"/>
          <w:szCs w:val="28"/>
          <w:rtl w:val="true"/>
          <w:lang w:bidi="fa-IR"/>
        </w:rPr>
        <w:t xml:space="preserve">و اقرار العقلاء و ادلۀ آنها را مورد بررسی قرار داده، سپس به تبیین نسبت میان هر کدام از آنها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بعد از آن ببینیم که آیا هر کدام از این قواعد، می‌تواند منشأ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ادلۀ هر یک از آنها، دلیل قاعدۀ مزبور نیز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طی شش گفتار پی خواهیم گرفت</w:t>
      </w:r>
      <w:r>
        <w:rPr>
          <w:rFonts w:eastAsia="IRNazanin" w:cs="IRNazanin"/>
          <w:color w:val="111111"/>
          <w:sz w:val="28"/>
          <w:szCs w:val="28"/>
          <w:rtl w:val="true"/>
          <w:lang w:bidi="fa-IR"/>
        </w:rPr>
        <w:t>.</w:t>
      </w:r>
    </w:p>
    <w:p>
      <w:pPr>
        <w:pStyle w:val="Heading5"/>
        <w:numPr>
          <w:ilvl w:val="4"/>
          <w:numId w:val="1"/>
        </w:numPr>
        <w:rPr/>
      </w:pPr>
      <w:bookmarkStart w:id="247" w:name="__RefHeading___Toc2472205_581953129"/>
      <w:bookmarkStart w:id="248" w:name="_Toc96"/>
      <w:bookmarkEnd w:id="247"/>
      <w:r>
        <w:rPr>
          <w:rtl w:val="true"/>
        </w:rPr>
        <w:t>گفتار اول</w:t>
      </w:r>
      <w:r>
        <w:rPr>
          <w:rtl w:val="true"/>
        </w:rPr>
        <w:t xml:space="preserve">: </w:t>
      </w:r>
      <w:r>
        <w:rPr>
          <w:rtl w:val="true"/>
        </w:rPr>
        <w:t xml:space="preserve">قاعدۀ </w:t>
      </w:r>
      <w:r>
        <w:rPr>
          <w:rtl w:val="true"/>
        </w:rPr>
        <w:t>«</w:t>
      </w:r>
      <w:r>
        <w:rPr>
          <w:rtl w:val="true"/>
        </w:rPr>
        <w:t>قبول ادعای بلا معارض</w:t>
      </w:r>
      <w:r>
        <w:rPr>
          <w:rtl w:val="true"/>
        </w:rPr>
        <w:t>»</w:t>
      </w:r>
      <w:bookmarkEnd w:id="2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این است که هرگاه ادعایی از سوی شخصی مطرح شود و ادعای معارضی از سوی شخص دیگر علیه او مطرح نشود، ادعای وی پذیرفته می‌شود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مثلاً اگر</w:t>
      </w:r>
    </w:p>
    <w:p>
      <w:pPr>
        <w:pStyle w:val="BookText"/>
        <w:rPr/>
      </w:pPr>
      <w:r>
        <w:rPr>
          <w:rFonts w:ascii="IRNazanin" w:hAnsi="IRNazanin" w:eastAsia="IRNazanin"/>
          <w:color w:val="111111"/>
          <w:sz w:val="28"/>
          <w:sz w:val="28"/>
          <w:szCs w:val="28"/>
          <w:rtl w:val="true"/>
          <w:lang w:bidi="fa-IR"/>
        </w:rPr>
        <w:t>کسی مدعی شد که فلان فرش، از آنِ من است و معارضی نداشته باشد، کلام او مقبول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بنابراین بر اساس قاعدۀ یاد شده، قول ادعا کننده به تنهایی کافی در حجیت بوده و نیازی به بینه و قسم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نسبت میان این قاعده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مصادیق آن دو،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جایی است که اختلافی در میان نباشد، اما اجرای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در صورتی است که بین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 علیه اختلاف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ادعای مالکیت بر چیزی کند بدون آنکه بر آن چیز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شخصی لقطه‌ای یافته و دیگری ادعا می‌کند مال اوست و هیچ شخص دیگری غیر از او ادعای مالکیت لقطه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ادعای وی طبق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می‌شود در حالی که مورد از موارد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سلطنتی بر لقطه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مادۀ اجتماع دو قاعده در جایی است که مثلاً وکیلی در مورد تصرفاتش در محدودۀ وکالت</w:t>
      </w:r>
      <w:bookmarkStart w:id="249" w:name="pg5537_41372"/>
    </w:p>
    <w:p>
      <w:pPr>
        <w:pStyle w:val="BookText"/>
        <w:rPr/>
      </w:pPr>
      <w:bookmarkEnd w:id="249"/>
      <w:r>
        <w:rPr>
          <w:rFonts w:ascii="IRNazanin" w:hAnsi="IRNazanin" w:eastAsia="IRNazanin"/>
          <w:color w:val="111111"/>
          <w:sz w:val="28"/>
          <w:sz w:val="28"/>
          <w:szCs w:val="28"/>
          <w:rtl w:val="true"/>
          <w:lang w:bidi="fa-IR"/>
        </w:rPr>
        <w:t>اقرار کند و مورد مخالفت و انکار موکل یا شخص ثالثی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بنابر هر دو قاعده، اقرار وکیل پذیرفته می‌شود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بنابراین مستندات قاعدۀ مزبور نمی‌تواند جزء ادلۀ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w:t>
      </w:r>
    </w:p>
    <w:p>
      <w:pPr>
        <w:pStyle w:val="Heading5"/>
        <w:numPr>
          <w:ilvl w:val="4"/>
          <w:numId w:val="1"/>
        </w:numPr>
        <w:rPr/>
      </w:pPr>
      <w:bookmarkStart w:id="250" w:name="__RefHeading___Toc2472207_581953129"/>
      <w:bookmarkStart w:id="251" w:name="_Toc97"/>
      <w:bookmarkEnd w:id="250"/>
      <w:r>
        <w:rPr>
          <w:rtl w:val="true"/>
        </w:rPr>
        <w:t>گفتار دوم</w:t>
      </w:r>
      <w:r>
        <w:rPr>
          <w:rtl w:val="true"/>
        </w:rPr>
        <w:t xml:space="preserve">: </w:t>
      </w:r>
      <w:r>
        <w:rPr>
          <w:rtl w:val="true"/>
        </w:rPr>
        <w:t>قاعدۀ حجیت قول ذو الید</w:t>
      </w:r>
      <w:bookmarkEnd w:id="251"/>
    </w:p>
    <w:p>
      <w:pPr>
        <w:pStyle w:val="Heading6"/>
        <w:numPr>
          <w:ilvl w:val="5"/>
          <w:numId w:val="1"/>
        </w:numPr>
        <w:rPr/>
      </w:pPr>
      <w:bookmarkStart w:id="252" w:name="__RefHeading___Toc2472209_581953129"/>
      <w:bookmarkStart w:id="253" w:name="_Toc98"/>
      <w:bookmarkEnd w:id="252"/>
      <w:r>
        <w:rPr>
          <w:rtl w:val="true"/>
        </w:rPr>
        <w:t>اشاره</w:t>
      </w:r>
      <w:bookmarkEnd w:id="2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فقها قاعدۀ سماع قول صاحب ید را به عنوان مأخذ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ادلۀ حجیت قول ذو الید را بر قاعدۀ مزبور تسری داده‌اند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بنابراین لازم است در خصوص این قاعده شرح کوتاهی ارائه گردد</w:t>
      </w:r>
      <w:r>
        <w:rPr>
          <w:rFonts w:eastAsia="IRNazanin" w:cs="IRNazanin"/>
          <w:color w:val="111111"/>
          <w:sz w:val="28"/>
          <w:szCs w:val="28"/>
          <w:rtl w:val="true"/>
          <w:lang w:bidi="fa-IR"/>
        </w:rPr>
        <w:t>.</w:t>
      </w:r>
      <w:bookmarkStart w:id="254" w:name="pg5537_41374"/>
    </w:p>
    <w:p>
      <w:pPr>
        <w:pStyle w:val="Heading6"/>
        <w:numPr>
          <w:ilvl w:val="5"/>
          <w:numId w:val="1"/>
        </w:numPr>
        <w:rPr/>
      </w:pPr>
      <w:bookmarkStart w:id="255" w:name="__RefHeading___Toc2472211_581953129"/>
      <w:bookmarkStart w:id="256" w:name="_Toc99"/>
      <w:bookmarkEnd w:id="254"/>
      <w:bookmarkEnd w:id="255"/>
      <w:r>
        <w:rPr>
          <w:rtl w:val="true"/>
        </w:rPr>
        <w:t>الف</w:t>
      </w:r>
      <w:r>
        <w:rPr>
          <w:rtl w:val="true"/>
        </w:rPr>
        <w:t xml:space="preserve">) </w:t>
      </w:r>
      <w:r>
        <w:rPr>
          <w:rtl w:val="true"/>
        </w:rPr>
        <w:t>تبیین قاعدۀ حجیت قول ذو الید</w:t>
      </w:r>
      <w:bookmarkEnd w:id="25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ید از جمله قواعد فقهی معتبر است که مورد قبول تمامی فقها، بلکه مقبول عقلای عالم بوده و مورد استناد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در معنای حقیقی به معنای دست بوده و در معنای مجازی یا کنائی به معنای استیلا و تسلط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بیشتر چیزها را به وسیله دست مورد استفاده، اختصاص و سپس مالکیت قرار می‌دهد، و چه بسا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نیز از همین جا گرفته شده باشد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آنچه به عنوان قاعدۀ ید در فقه و حقوق کاربرد دارد، نیز همین معناست</w:t>
      </w:r>
      <w:r>
        <w:rPr>
          <w:rFonts w:eastAsia="IRNazanin" w:cs="IRNazanin"/>
          <w:color w:val="111111"/>
          <w:sz w:val="28"/>
          <w:szCs w:val="28"/>
          <w:rtl w:val="true"/>
          <w:lang w:bidi="fa-IR"/>
        </w:rPr>
        <w:t>.</w:t>
      </w:r>
      <w:r>
        <w:rPr>
          <w:rStyle w:val="FootnoteAnchor"/>
          <w:rtl w:val="true"/>
        </w:rPr>
        <w:footnoteReference w:id="226"/>
      </w:r>
      <w:bookmarkStart w:id="257" w:name="pg5537_41376"/>
    </w:p>
    <w:p>
      <w:pPr>
        <w:pStyle w:val="BookText"/>
        <w:rPr/>
      </w:pPr>
      <w:bookmarkEnd w:id="257"/>
      <w:r>
        <w:rPr>
          <w:rFonts w:ascii="IRNazanin" w:hAnsi="IRNazanin" w:eastAsia="IRNazanin"/>
          <w:color w:val="111111"/>
          <w:sz w:val="28"/>
          <w:sz w:val="28"/>
          <w:szCs w:val="28"/>
          <w:rtl w:val="true"/>
          <w:lang w:bidi="fa-IR"/>
        </w:rPr>
        <w:t>بنابراین مفاد قاعدۀ مزبور این است که هرکس ید و سلطنت بر شیء یا مالی دارد، این سلطنت نشانۀ مالکیت او بوده و قولش دربارۀ آن مسموع است</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258" w:name="__RefHeading___Toc2472213_581953129"/>
      <w:bookmarkStart w:id="259" w:name="_Toc100"/>
      <w:bookmarkEnd w:id="258"/>
      <w:r>
        <w:rPr>
          <w:rtl w:val="true"/>
        </w:rPr>
        <w:t>ب</w:t>
      </w:r>
      <w:r>
        <w:rPr>
          <w:rtl w:val="true"/>
        </w:rPr>
        <w:t xml:space="preserve">) </w:t>
      </w:r>
      <w:r>
        <w:rPr>
          <w:rtl w:val="true"/>
        </w:rPr>
        <w:t xml:space="preserve">رابطۀ قاعدۀ حجیت قول ذو الید با قاعدۀ </w:t>
      </w:r>
      <w:r>
        <w:rPr>
          <w:rtl w:val="true"/>
        </w:rPr>
        <w:t>«</w:t>
      </w:r>
      <w:r>
        <w:rPr>
          <w:rtl w:val="true"/>
        </w:rPr>
        <w:t>من ملک</w:t>
      </w:r>
      <w:r>
        <w:rPr>
          <w:rtl w:val="true"/>
        </w:rPr>
        <w:t>»</w:t>
      </w:r>
      <w:bookmarkEnd w:id="2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 بردن به رابطۀ دو قاعده، ابتدا بایستی حدود اجرای قاعدۀ حجیت قول ذو الید تبیین گردد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برخی فقها قائلند به اینکه قول ذو الید تنها در امور مالی مثل اعیان و منافع حجت است و قاعدۀ مورد بحث شامل امور غیر مالی نمی‌شود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اما در مقابل دستۀ دیگری عقیده دارند که قاعده فوق، هم شامل امور مالی است و هم امور غیر مالی از قبیل حقوق، نسب، اعراض، طهارت و نجاست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فرض کنیم بین دو نفر بر سر همسری زنی نزاع باشد و هر یک از دو نفر مدعی</w:t>
      </w:r>
      <w:bookmarkStart w:id="260" w:name="pg5537_41378"/>
    </w:p>
    <w:p>
      <w:pPr>
        <w:pStyle w:val="BookText"/>
        <w:rPr/>
      </w:pPr>
      <w:bookmarkEnd w:id="260"/>
      <w:r>
        <w:rPr>
          <w:rFonts w:ascii="IRNazanin" w:hAnsi="IRNazanin" w:eastAsia="IRNazanin"/>
          <w:color w:val="111111"/>
          <w:sz w:val="28"/>
          <w:sz w:val="28"/>
          <w:szCs w:val="28"/>
          <w:rtl w:val="true"/>
          <w:lang w:bidi="fa-IR"/>
        </w:rPr>
        <w:t>شود که زن مورد منازعه، همسر اوست و این زن در خانۀ یکی از آنها بوده و شخص صاحب خانه نیز با زن مزبور رفتار زوجیت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موارد قاعدۀ ید جاری می‌شود؟ وفق مبنای اول جاری نیست اما وفق مبنای دوم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هر کدام از دو مبنا، رابطۀ دو قاعده نیز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مبنای اول، قاعدۀ حجیت قول ذوالید، اخص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فرض اول، قول ذو الید تنها در امور مالی حجت است در حالی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امور مالی و غیر مالی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دوم، رابطۀ آن دو از حیث مصداق، عموم و خصوص من 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موارد مثل اقرار وکیل، یا اقرار عبد مأذون و اقرار به امان تحت پوشش قاعدۀ حجیت قول ذو الید قرار نمی‌گیرند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بنابراین قاعده فوق نیز نمی‌تواند دلیل قاعدۀ من ملک باشد</w:t>
      </w:r>
      <w:r>
        <w:rPr>
          <w:rFonts w:eastAsia="IRNazanin" w:cs="IRNazanin"/>
          <w:color w:val="111111"/>
          <w:sz w:val="28"/>
          <w:szCs w:val="28"/>
          <w:rtl w:val="true"/>
          <w:lang w:bidi="fa-IR"/>
        </w:rPr>
        <w:t>.</w:t>
      </w:r>
    </w:p>
    <w:p>
      <w:pPr>
        <w:pStyle w:val="Heading5"/>
        <w:numPr>
          <w:ilvl w:val="4"/>
          <w:numId w:val="1"/>
        </w:numPr>
        <w:rPr/>
      </w:pPr>
      <w:bookmarkStart w:id="261" w:name="__RefHeading___Toc2472215_581953129"/>
      <w:bookmarkStart w:id="262" w:name="_Toc101"/>
      <w:bookmarkEnd w:id="261"/>
      <w:r>
        <w:rPr>
          <w:rtl w:val="true"/>
        </w:rPr>
        <w:t>گفتار سوم</w:t>
      </w:r>
      <w:r>
        <w:rPr>
          <w:rtl w:val="true"/>
        </w:rPr>
        <w:t xml:space="preserve">: </w:t>
      </w:r>
      <w:r>
        <w:rPr>
          <w:rtl w:val="true"/>
        </w:rPr>
        <w:t xml:space="preserve">قاعدۀ </w:t>
      </w:r>
      <w:r>
        <w:rPr>
          <w:rtl w:val="true"/>
        </w:rPr>
        <w:t>«</w:t>
      </w:r>
      <w:r>
        <w:rPr>
          <w:rtl w:val="true"/>
        </w:rPr>
        <w:t>ائتمان</w:t>
      </w:r>
      <w:r>
        <w:rPr>
          <w:rtl w:val="true"/>
        </w:rPr>
        <w:t>»</w:t>
      </w:r>
      <w:bookmarkEnd w:id="262"/>
    </w:p>
    <w:p>
      <w:pPr>
        <w:pStyle w:val="Heading6"/>
        <w:numPr>
          <w:ilvl w:val="5"/>
          <w:numId w:val="1"/>
        </w:numPr>
        <w:rPr/>
      </w:pPr>
      <w:bookmarkStart w:id="263" w:name="__RefHeading___Toc2472217_581953129"/>
      <w:bookmarkStart w:id="264" w:name="_Toc102"/>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روایاتی است که در مورد ایتمان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تحت عنوان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زمینه وجود دارد که امین را نباید متهم کرد، بلکه باید قولش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صاحب وسائل از رسول خدا صلی الله علیه و آله نقل نموده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عَنْ مَسْعَدَةَ بْنِ زِیَادٍ عَنْ جَعْفَرِ بْنِ مُحَمَّدٍ عَنْ أَبِیهِ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تَتَّهِمَ مَنْ قَدِ ائْتَمَنْتَهُ وَلَا تَأْتَمِنَ الْخَائِنَ</w:t>
      </w:r>
      <w:bookmarkStart w:id="265" w:name="pg5537_41380"/>
    </w:p>
    <w:p>
      <w:pPr>
        <w:pStyle w:val="BookText"/>
        <w:rPr/>
      </w:pPr>
      <w:bookmarkEnd w:id="265"/>
      <w:r>
        <w:rPr>
          <w:rFonts w:ascii="Amiri" w:hAnsi="Amiri" w:eastAsia="Amiri" w:cs="Amiri"/>
          <w:color w:val="111111"/>
          <w:sz w:val="28"/>
          <w:sz w:val="28"/>
          <w:szCs w:val="28"/>
          <w:rtl w:val="true"/>
          <w:lang w:bidi="ar-SA"/>
        </w:rPr>
        <w:t>وَقَدْ جَرَّبْتَهُ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استدلال کرده‌اند به اینکه هر کس از طرف مالک یا به حکم شارع در انجام کاری مأذون باشد مانند عبد مأذون یا شخصی که وکیل یا وصی بوده و یا ولایت دارد، امین و موئتمن بوده و بنا بر روایت فوق، قول موئتمن، پذیرفته می‌شود و نمی‌توان او را متهم به کذب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وکیل یا ولی اقرار به امری می‌کند که تحت اختیار او است باید چنین اقراری را پذیرفت هر چند مفاد آن بر ضرر موکل یا مولی علیه باشد</w:t>
      </w:r>
      <w:r>
        <w:rPr>
          <w:rFonts w:eastAsia="IRNazanin" w:cs="IRNazanin"/>
          <w:color w:val="111111"/>
          <w:sz w:val="28"/>
          <w:szCs w:val="28"/>
          <w:rtl w:val="true"/>
          <w:lang w:bidi="fa-IR"/>
        </w:rPr>
        <w:t>.</w:t>
      </w:r>
    </w:p>
    <w:p>
      <w:pPr>
        <w:pStyle w:val="Heading6"/>
        <w:numPr>
          <w:ilvl w:val="5"/>
          <w:numId w:val="1"/>
        </w:numPr>
        <w:rPr/>
      </w:pPr>
      <w:bookmarkStart w:id="266" w:name="__RefHeading___Toc2472219_581953129"/>
      <w:bookmarkStart w:id="267" w:name="_Toc103"/>
      <w:bookmarkEnd w:id="266"/>
      <w:r>
        <w:rPr>
          <w:rtl w:val="true"/>
        </w:rPr>
        <w:t>کلام شیخ انصاری</w:t>
      </w:r>
      <w:bookmarkEnd w:id="267"/>
    </w:p>
    <w:p>
      <w:pPr>
        <w:pStyle w:val="BookText"/>
        <w:rPr/>
      </w:pPr>
      <w:r>
        <w:rPr>
          <w:rFonts w:ascii="IRNazanin" w:hAnsi="IRNazanin" w:eastAsia="IRNazanin"/>
          <w:color w:val="111111"/>
          <w:sz w:val="28"/>
          <w:sz w:val="28"/>
          <w:szCs w:val="28"/>
          <w:rtl w:val="true"/>
          <w:lang w:bidi="fa-IR"/>
        </w:rPr>
        <w:t xml:space="preserve">مرحوم شیخ قدس سره عقیده دارد که نمی‌توان برای اثبات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ادلۀ قاعدۀ إئتمان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التمسّک بأدلّة قبول قول من ائتمنه المالک بالإذن أو الشارع بالأمرعدم جواز اتّهامه غیر صحیح، لأنّها لا ینفع فی إقرار الصبیّ، والرجوع فیه إلی 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یجری فی الوکیل والولیّ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القضیّة عن کونها قاعدة واحدة، علی ما یظهر من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العلّة فی قبول الإقرار کونه مالکا للتصرّف المقرّ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أنّه لو کان مدرک القضیّة قاعدة الائتمان لم یتّجه الفرق بین وقوع الإقرار فی زمان الائتمان أو بعده، مع أنّ جماعة صرّحوا بالفرق، فإنّ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لا یتمکّن من إنشاء شیء لا ینفذ إقراره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منه عدم نفوذ إقراره بفعل ذلک فی زمان عدم التمکّن، إذ لا معنی لعدم النفوذ هنا لعدم ترتّب أثر علی المقرّ به،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الإقرار بفعله حین یتمکّن من الفعل، ولذا فرّع فی التحریر علی القضیّة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أقرّ المریض بأنّه</w:t>
      </w:r>
    </w:p>
    <w:p>
      <w:pPr>
        <w:pStyle w:val="BookText"/>
        <w:rPr/>
      </w:pPr>
      <w:r>
        <w:rPr>
          <w:rFonts w:ascii="IRNazanin" w:hAnsi="IRNazanin" w:eastAsia="IRNazanin"/>
          <w:color w:val="111111"/>
          <w:sz w:val="28"/>
          <w:sz w:val="28"/>
          <w:szCs w:val="28"/>
          <w:rtl w:val="true"/>
          <w:lang w:bidi="fa-IR"/>
        </w:rPr>
        <w:t xml:space="preserve">وهب وأقبض حال الصحّة، نفذ من الثلث وصرّح فیه أیضا و فی غیره بعدم نفوذ إقرار العبد المأذون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الحجر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أسنده إلی حال الإذن وقد عرفت ما فی جهاد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هذه القاعدة وقاعدة الائتمان عموما من وجه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یعنی دلیل إئتمان شامل اقرار صبی در تصرفاتی که از سوی شارع برای وی جایز دانسته شده است، نبوده و نمی‌توان با آن به اقرار صبی اعتبار بخشید؛ در حالی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چنین استدلالی را نمی‌توان به عنوان ملاک و دلیل قاعده پذیرفت؛ زیرا این مدرک، جامع همه موارد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ادله إئتمان، مستند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نباید بین وقوع اقرار در زمان سلطنت و وقوع آن پس از انقضای زمان آن تفاوتی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خواهد آمد، یکی از شرایط اعتبار اقرار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فعلیت سلطنت بر انجام عمل است؛ چنان که فقها در مسائلی نظیر اقرار مریض و اقرار عبد مأذون پس از زوال اذن و اقرار به امان پس از اسارت به این شرط تصریح کرده‌اند؛ در حالی که چنین شرطی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اقرار امین، منحصر به زمان امانت وی نیست و حتی پس از انقضای مدت امین بودن وی نیز جاری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شخصی ده سال پیش وکیل دیگری بوده، و حال بعد از سپری شدن زمان وکالت اقرار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زمان فلان کار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وفق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اقرار قابل قبول است؛ اما وفق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اقراری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شیخ انصاری قدس سره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دو قاعدۀ عموم و خصوص من وجه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که مورد اجتماع هر دو قاعده، اقرار وکیل یا ولی در زمان وکالت یا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اگر وکیل در همان زمانی که وکیل است، اقرار کند هم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دارد و هم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إئتمان</w:t>
      </w:r>
      <w:r>
        <w:rPr>
          <w:rFonts w:eastAsia="IRNazanin" w:cs="IRNazanin"/>
          <w:color w:val="111111"/>
          <w:sz w:val="28"/>
          <w:szCs w:val="28"/>
          <w:rtl w:val="true"/>
          <w:lang w:bidi="fa-IR"/>
        </w:rPr>
        <w:t>».</w:t>
      </w:r>
      <w:bookmarkStart w:id="268" w:name="pg5537_41384"/>
    </w:p>
    <w:p>
      <w:pPr>
        <w:pStyle w:val="BookText"/>
        <w:rPr/>
      </w:pPr>
      <w:bookmarkEnd w:id="268"/>
      <w:r>
        <w:rPr>
          <w:rFonts w:ascii="IRNazanin" w:hAnsi="IRNazanin" w:eastAsia="IRNazanin"/>
          <w:color w:val="111111"/>
          <w:sz w:val="28"/>
          <w:sz w:val="28"/>
          <w:szCs w:val="28"/>
          <w:rtl w:val="true"/>
          <w:lang w:bidi="fa-IR"/>
        </w:rPr>
        <w:t xml:space="preserve">مورد افتراق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وکیل پس از زوال وکالت است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افتراق قاعده من ملک از قاعده إئتمان، نفوذ اقرار صبی در اموریست که اهلیت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اما مشمول قاعده إئتمان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نمی‌تواند دلیل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269" w:name="__RefHeading___Toc2472221_581953129"/>
      <w:bookmarkStart w:id="270" w:name="_Toc104"/>
      <w:bookmarkEnd w:id="269"/>
      <w:r>
        <w:rPr>
          <w:rtl w:val="true"/>
        </w:rPr>
        <w:t>گفتار چهارم</w:t>
      </w:r>
      <w:r>
        <w:rPr>
          <w:rtl w:val="true"/>
        </w:rPr>
        <w:t xml:space="preserve">: </w:t>
      </w:r>
      <w:r>
        <w:rPr>
          <w:rtl w:val="true"/>
        </w:rPr>
        <w:t xml:space="preserve">قاعدۀ </w:t>
      </w:r>
      <w:r>
        <w:rPr>
          <w:rtl w:val="true"/>
        </w:rPr>
        <w:t>«</w:t>
      </w:r>
      <w:r>
        <w:rPr>
          <w:rtl w:val="true"/>
        </w:rPr>
        <w:t>لا یعلم الا من قبله</w:t>
      </w:r>
      <w:r>
        <w:rPr>
          <w:rtl w:val="true"/>
        </w:rPr>
        <w:t>»</w:t>
      </w:r>
      <w:bookmarkEnd w:id="270"/>
    </w:p>
    <w:p>
      <w:pPr>
        <w:pStyle w:val="Heading6"/>
        <w:numPr>
          <w:ilvl w:val="5"/>
          <w:numId w:val="1"/>
        </w:numPr>
        <w:rPr/>
      </w:pPr>
      <w:bookmarkStart w:id="271" w:name="__RefHeading___Toc2472223_581953129"/>
      <w:bookmarkStart w:id="272" w:name="_Toc105"/>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گذشت که محقّق عظیم القدر، امام خمینی قدس سره در ابتدا وجود اجماع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انکار قرار داده و سپس برای رد آن اظهار داشته که ممکن است مستند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قاعده‌ی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لا یعلم إلا من قبل صاحبه فیصدّق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قاعدۀ فوق و رابطۀ آن را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قرار می‌دهیم تا ببینیم ادعای مرحوم امام قدس سره تا چه اندازه می‌تواند صحت داشته باشد</w:t>
      </w:r>
      <w:r>
        <w:rPr>
          <w:rFonts w:eastAsia="IRNazanin" w:cs="IRNazanin"/>
          <w:color w:val="111111"/>
          <w:sz w:val="28"/>
          <w:szCs w:val="28"/>
          <w:rtl w:val="true"/>
          <w:lang w:bidi="fa-IR"/>
        </w:rPr>
        <w:t>.</w:t>
      </w:r>
    </w:p>
    <w:p>
      <w:pPr>
        <w:pStyle w:val="Heading6"/>
        <w:numPr>
          <w:ilvl w:val="5"/>
          <w:numId w:val="1"/>
        </w:numPr>
        <w:rPr/>
      </w:pPr>
      <w:bookmarkStart w:id="273" w:name="__RefHeading___Toc2472225_581953129"/>
      <w:bookmarkStart w:id="274" w:name="_Toc106"/>
      <w:bookmarkEnd w:id="273"/>
      <w:r>
        <w:rPr>
          <w:rtl w:val="true"/>
        </w:rPr>
        <w:t>الف</w:t>
      </w:r>
      <w:r>
        <w:rPr>
          <w:rtl w:val="true"/>
        </w:rPr>
        <w:t xml:space="preserve">) </w:t>
      </w:r>
      <w:r>
        <w:rPr>
          <w:rtl w:val="true"/>
        </w:rPr>
        <w:t xml:space="preserve">تبیین قاعدۀ </w:t>
      </w:r>
      <w:r>
        <w:rPr>
          <w:rtl w:val="true"/>
        </w:rPr>
        <w:t>«</w:t>
      </w:r>
      <w:r>
        <w:rPr>
          <w:rtl w:val="true"/>
        </w:rPr>
        <w:t>لا یعلم</w:t>
      </w:r>
      <w:r>
        <w:rPr>
          <w:rtl w:val="true"/>
        </w:rPr>
        <w:t>»</w:t>
      </w:r>
      <w:bookmarkEnd w:id="274"/>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قول من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مسلّمۀ فقهیه بوده و مضمون آن این است که اگر به صدق یا کذب مطلبی جز از طریق گویندۀ آن نتوان پی برد، قول گوینده تصدیق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الکرامه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فعل المسلم الّذی لا یعلم إلّامن قبله قبول قوله فیه</w:t>
      </w:r>
      <w:r>
        <w:rPr>
          <w:rFonts w:eastAsia="IRNazanin" w:cs="IRNazanin"/>
          <w:color w:val="111111"/>
          <w:sz w:val="28"/>
          <w:szCs w:val="28"/>
          <w:rtl w:val="true"/>
          <w:lang w:bidi="fa-IR"/>
        </w:rPr>
        <w:t>».</w:t>
      </w:r>
      <w:r>
        <w:rPr>
          <w:rStyle w:val="FootnoteAnchor"/>
          <w:rtl w:val="true"/>
        </w:rPr>
        <w:footnoteReference w:id="23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ضیاء عراقی قدس سره نیز قاعده مزبور را مستند به روایات</w:t>
      </w:r>
      <w:r>
        <w:rPr>
          <w:rStyle w:val="FootnoteAnchor"/>
          <w:rtl w:val="true"/>
        </w:rPr>
        <w:footnoteReference w:id="234"/>
      </w:r>
      <w:r>
        <w:rPr>
          <w:rFonts w:ascii="IRNazanin" w:hAnsi="IRNazanin" w:eastAsia="IRNazanin"/>
          <w:color w:val="111111"/>
          <w:sz w:val="28"/>
          <w:sz w:val="28"/>
          <w:szCs w:val="28"/>
          <w:rtl w:val="true"/>
          <w:lang w:bidi="fa-IR"/>
        </w:rPr>
        <w:t>دانسته و معتقد</w:t>
      </w:r>
      <w:bookmarkStart w:id="275" w:name="pg5537_41386"/>
    </w:p>
    <w:p>
      <w:pPr>
        <w:pStyle w:val="BookText"/>
        <w:rPr/>
      </w:pPr>
      <w:bookmarkEnd w:id="275"/>
      <w:r>
        <w:rPr>
          <w:rFonts w:ascii="IRNazanin" w:hAnsi="IRNazanin" w:eastAsia="IRNazanin"/>
          <w:color w:val="111111"/>
          <w:sz w:val="28"/>
          <w:sz w:val="28"/>
          <w:szCs w:val="28"/>
          <w:rtl w:val="true"/>
          <w:lang w:bidi="fa-IR"/>
        </w:rPr>
        <w:t>است که مفاد آن وفق برخی روایات، معلل به تعذر اشهاد می‌باشد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مرحوم سید میر فتاح قدس سره در کتاب العناوین،</w:t>
      </w:r>
      <w:r>
        <w:rPr>
          <w:rStyle w:val="FootnoteAnchor"/>
          <w:rtl w:val="true"/>
        </w:rPr>
        <w:footnoteReference w:id="237"/>
      </w:r>
      <w:r>
        <w:rPr>
          <w:rFonts w:ascii="IRNazanin" w:hAnsi="IRNazanin" w:eastAsia="IRNazanin"/>
          <w:color w:val="111111"/>
          <w:sz w:val="28"/>
          <w:sz w:val="28"/>
          <w:szCs w:val="28"/>
          <w:rtl w:val="true"/>
          <w:lang w:bidi="fa-IR"/>
        </w:rPr>
        <w:t>تعبیر بهتری از قاعده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القاعدة عدم سماع قول المدعی إلّابالبینة، ولکن هنا قاعدة أخری،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 شیء لا یعلم إلّامن قبل المدعی یقبل قوله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کثیر من أمثلة هذا الباب فی العنوان السابق الذی ذکرنا فیه موارد سماع قول المدعی مع الیمین، فإن أغلبها فیما لا یعلم إلّامن قبله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سپس در ادامه مصادیق و فروع قاعده را ذکر می‌کند که در بخش بعدی خواهد آمد</w:t>
      </w:r>
      <w:r>
        <w:rPr>
          <w:rFonts w:eastAsia="IRNazanin" w:cs="IRNazanin"/>
          <w:color w:val="111111"/>
          <w:sz w:val="28"/>
          <w:szCs w:val="28"/>
          <w:rtl w:val="true"/>
          <w:lang w:bidi="fa-IR"/>
        </w:rPr>
        <w:t>.</w:t>
      </w:r>
    </w:p>
    <w:p>
      <w:pPr>
        <w:pStyle w:val="Heading6"/>
        <w:numPr>
          <w:ilvl w:val="5"/>
          <w:numId w:val="1"/>
        </w:numPr>
        <w:rPr/>
      </w:pPr>
      <w:bookmarkStart w:id="276" w:name="__RefHeading___Toc2472227_581953129"/>
      <w:bookmarkStart w:id="277" w:name="_Toc107"/>
      <w:bookmarkEnd w:id="276"/>
      <w:r>
        <w:rPr>
          <w:rtl w:val="true"/>
        </w:rPr>
        <w:t>ب</w:t>
      </w:r>
      <w:r>
        <w:rPr>
          <w:rtl w:val="true"/>
        </w:rPr>
        <w:t xml:space="preserve">) </w:t>
      </w:r>
      <w:r>
        <w:rPr>
          <w:rtl w:val="true"/>
        </w:rPr>
        <w:t xml:space="preserve">مصادیق قاعدۀ </w:t>
      </w:r>
      <w:r>
        <w:rPr>
          <w:rtl w:val="true"/>
        </w:rPr>
        <w:t>«</w:t>
      </w:r>
      <w:r>
        <w:rPr>
          <w:rtl w:val="true"/>
        </w:rPr>
        <w:t>لا یعلم</w:t>
      </w:r>
      <w:r>
        <w:rPr>
          <w:rtl w:val="true"/>
        </w:rPr>
        <w:t>»</w:t>
      </w:r>
      <w:bookmarkEnd w:id="277"/>
    </w:p>
    <w:p>
      <w:pPr>
        <w:pStyle w:val="BookText"/>
        <w:rPr/>
      </w:pPr>
      <w:r>
        <w:rPr>
          <w:rFonts w:ascii="IRNazanin" w:hAnsi="IRNazanin" w:eastAsia="IRNazanin"/>
          <w:color w:val="111111"/>
          <w:sz w:val="28"/>
          <w:sz w:val="28"/>
          <w:szCs w:val="28"/>
          <w:rtl w:val="true"/>
          <w:lang w:bidi="fa-IR"/>
        </w:rPr>
        <w:t>این قاعده در سرتاسر فقه مصداق دارد که نمونه هایی از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این قاعده در جایی است که یکی از دو شریک، جنسی خریده و پس از آن شریک دیگر با وی نزاع کند که آیا جنس مزبور را برای خود</w:t>
      </w:r>
    </w:p>
    <w:p>
      <w:pPr>
        <w:pStyle w:val="BookText"/>
        <w:rPr/>
      </w:pPr>
      <w:r>
        <w:rPr>
          <w:rFonts w:ascii="IRNazanin" w:hAnsi="IRNazanin" w:eastAsia="IRNazanin"/>
          <w:color w:val="111111"/>
          <w:sz w:val="28"/>
          <w:sz w:val="28"/>
          <w:szCs w:val="28"/>
          <w:rtl w:val="true"/>
          <w:lang w:bidi="fa-IR"/>
        </w:rPr>
        <w:t>خریده یا از باب شراکت ابتیاع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ادعای خریدار مسموع است؛ زیرا فقط اوست که از قصد خود خبر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موکل ادعا کند که وکیلش جنسی را برای وی خریداری کرده، اما وکیل بگوید که آن جنس را برای خود خریده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وکیل برای موکلش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قول وکیل وفق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قصد خرید گندم یا سایر اموال متعلَّق زکات داشته باشد و مالک ادعا کند که زکات آن را داده است، حرف وی مقبول می‌باشد و نیازی به بینه یا حلف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شخصی ادعا کند خمس مالی را پرداخت کرده است، کلامش مسموع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پس از اجراء صیغه طلاق ادعا کند که قصد جدی برای طلاق دادن نداشته، کلامش مسموع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حتی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جنسی و زناشوئی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قاعده در جایی است که زوج پس اثبات عنین بودنش، ادعا کند که زوجۀ خود را وطی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طفلی ادعا کند که محتلم شده، قول وی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زن نیز در مواردی مانند حیض، مجرد یا متأهل بودن، اتمام عده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میر فتاح قدس سره در مقام ذکر مصادیق قاعده، مواردی را که مربوط به امور عبادی است عنوان نموده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اختلال شرائط الوجوب علی أحد الوجهین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چنانچه کسی ادعا کند که شرایط حج را ندارد، قولش پذیرفته است و کسی حق تفتیش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الباب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قول الزوجة المستطیعة إلی الحج بحسب</w:t>
      </w:r>
    </w:p>
    <w:p>
      <w:pPr>
        <w:pStyle w:val="BookText"/>
        <w:rPr/>
      </w:pPr>
      <w:r>
        <w:rPr>
          <w:rFonts w:ascii="IRNazanin" w:hAnsi="IRNazanin" w:eastAsia="IRNazanin"/>
          <w:color w:val="111111"/>
          <w:sz w:val="28"/>
          <w:sz w:val="28"/>
          <w:szCs w:val="28"/>
          <w:rtl w:val="true"/>
          <w:lang w:bidi="fa-IR"/>
        </w:rPr>
        <w:t>المال فی دعوی عدم الخوف علیها وظنها السلامة مع دعوی الزوج الخوف علیها، فإن ذلک شیء لا یعلم إلا من قبل الزوجة نفسها، لأن الخوف أمر نفسانی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زنی می‌خواهد به حج رود، اما شوهرش وی را منع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امنیت تو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ولی ادعا می‌کند که موردی برای ترس وجود ندارد و می‌توانم از خودم مراقبت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زن در اینجا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خوف و عدم خوف امری نفسانی و مربوط به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قرائن خلاف آن را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مفاتیح الشرایع قدس سره، نیز مواردی را که قول مدعی بدون بینه و یمین پذیرفته می‌شود، برشمرده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 المدعی بغیر بینة ولا یمین فی مواضع کثیرة، کما لو ادعی فعل الصلاة والصیام خوفا من التعزیر، أو ادعی إیقاع الفعل المستأجر علیه إذا کان من الأعمال المشروطة بالنیة، کالاستیجار علی الحج والصلاة، أو ادعی صاحب النصاب ابداله فی أثناء الحول، أو ادعی بعد الخرص النقصان، أو ادعی الذمی الإسلام قبل الحول الی غیر ذلک</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مواردی که ایشان احصا نموده به صورت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از ترس تعزیر ادعا کند که نماز و روزه را بجا آورده است، کلامش مقبول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اجیر ادعا می‌کند عمل مورد نظر مستأجر را انجام داده، چنانچه عمل مزبور از اعمالی باشد که نیت و قصد در آن شرط صحت است، قولش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حج و نماز استیجاری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که مال زکوی وی به حد نصاب رسیده است، ادعای ابدال در اثناء سال نماید تا وجوب زکات از وی ساقط شود، سخنش پذیرفته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صاحب مال زکوی ادعا کند که بعد از تخمین رسیدن مال به حد نصاب، مال کم شده است، در این صورت نیز ادعایش مقبول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کافر ذمی قبل از فرا رسیدن سر سال، ادعا کند که مسلمان شده است؛ تا جزیه یا زکات بر گردن وی بار نشود، ادعایش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وضبطها بعضهم بکل ما کان بین العبد وبین اللّه تعالی، ولا یعلم الا من قبله و لا ضرر فیه علی الغیر، أو ما تعلق بالحد أو التعزیر</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یعنی برخی فقها موارد اجرای قاعده را به صورت زیر ضابطه‌مند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ضابطۀ قاعدۀ یاد شده این است که یا هر آنچه که بین عبد و خدای متعال بوده و جز از سوی خود عبد، امکان علم به آن نیست به شرطی که ضرری برای غیر نداشته باشد و یا آنچه که متعلّق حق و تعزیر است؛ یعنی چنانچه کسی اقرار یا ادعایی نمود که موجب حد یا تعزیر است، به صرف همان اقرار یا ادعا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قدس سره در ادامه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یقبل دعوی أب المرأة المتوفاة أنه کان أعارها ما کان عندها من متاع وخدم بلا بینة دون دعوی زوجها وأبویه</w:t>
      </w:r>
      <w:r>
        <w:rPr>
          <w:rFonts w:eastAsia="IRNazanin" w:cs="IRNazanin"/>
          <w:color w:val="111111"/>
          <w:sz w:val="28"/>
          <w:szCs w:val="28"/>
          <w:rtl w:val="true"/>
          <w:lang w:bidi="fa-IR"/>
        </w:rPr>
        <w:t>».</w:t>
      </w:r>
      <w:r>
        <w:rPr>
          <w:rStyle w:val="FootnoteAnchor"/>
          <w:rtl w:val="true"/>
        </w:rPr>
        <w:footnoteReference w:id="2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روایت آمده است که هرگاه پدر زنی که از دنیا رفته است، ادعا کند که اموال و خدمتکاران آن زن را عاریه داده است، این ادعا بدون نیاز به بینه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ادعا از سوی شوهر یا پدر شوهر و مادر شوهرش بدون بینه پذیرفته نمی‌گردد</w:t>
      </w:r>
      <w:r>
        <w:rPr>
          <w:rFonts w:eastAsia="IRNazanin" w:cs="IRNazanin"/>
          <w:color w:val="111111"/>
          <w:sz w:val="28"/>
          <w:szCs w:val="28"/>
          <w:rtl w:val="true"/>
          <w:lang w:bidi="fa-IR"/>
        </w:rPr>
        <w:t>.</w:t>
      </w:r>
      <w:r>
        <w:rPr>
          <w:rStyle w:val="FootnoteAnchor"/>
          <w:rtl w:val="true"/>
        </w:rPr>
        <w:footnoteReference w:id="244"/>
      </w:r>
      <w:bookmarkStart w:id="278" w:name="pg5537_41394"/>
    </w:p>
    <w:p>
      <w:pPr>
        <w:pStyle w:val="Heading6"/>
        <w:numPr>
          <w:ilvl w:val="5"/>
          <w:numId w:val="1"/>
        </w:numPr>
        <w:rPr/>
      </w:pPr>
      <w:bookmarkStart w:id="279" w:name="__RefHeading___Toc2472229_581953129"/>
      <w:bookmarkStart w:id="280" w:name="_Toc108"/>
      <w:bookmarkEnd w:id="278"/>
      <w:bookmarkEnd w:id="279"/>
      <w:r>
        <w:rPr>
          <w:rtl w:val="true"/>
        </w:rPr>
        <w:t>پ</w:t>
      </w:r>
      <w:r>
        <w:rPr>
          <w:rtl w:val="true"/>
        </w:rPr>
        <w:t xml:space="preserve">) </w:t>
      </w:r>
      <w:r>
        <w:rPr>
          <w:rtl w:val="true"/>
        </w:rPr>
        <w:t xml:space="preserve">کلام فقها پیرامون قاعدۀ </w:t>
      </w:r>
      <w:r>
        <w:rPr>
          <w:rtl w:val="true"/>
        </w:rPr>
        <w:t>«</w:t>
      </w:r>
      <w:r>
        <w:rPr>
          <w:rtl w:val="true"/>
        </w:rPr>
        <w:t>لا یعلم</w:t>
      </w:r>
      <w:r>
        <w:rPr>
          <w:rtl w:val="true"/>
        </w:rPr>
        <w:t>»</w:t>
      </w:r>
      <w:bookmarkEnd w:id="280"/>
    </w:p>
    <w:p>
      <w:pPr>
        <w:pStyle w:val="Heading6"/>
        <w:numPr>
          <w:ilvl w:val="5"/>
          <w:numId w:val="1"/>
        </w:numPr>
        <w:rPr/>
      </w:pPr>
      <w:bookmarkStart w:id="281" w:name="__RefHeading___Toc2472231_581953129"/>
      <w:bookmarkStart w:id="282" w:name="_Toc109"/>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این قاعده هرچند به صورت قاعده‌ای کلی در عبارات متقدمین دیده نمی‌شود، اما در کلمات متأخرین بسیار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متأخرین در برخورد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اول، که شامل متأخرین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محقق ثانی قدس سره تا مرحوم صاحب جواهر قدس سره و شیخ انصاری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این قاعده را قبول کرده‌اند؛ لیکن متأخرین پس از شیخ انصاری، قاعدۀ مزبور را مورد مناقشه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خود مرحوم شیخ قدس سره قاعده را مختص به موارد خاصّی مثل ادعای حامله بودن یا حائض بودن زن دانسته و در عمومیت این قاعده تشکیک نموده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در مقابل، کلمات مرحوم صاحب جواهر مملو از استناد بر این قاعده می‌باشد که دال بر پذیرش قاعده از سوی اوست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مرحوم محقق نائینی قدس سره نیز در کتاب الصلاة خویش، ابتدا قاعده را از حیث عمومیت و ارتکاز مورد تشکیک قرار داده، اما در پایان متمایل به پذیرش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لا یجب علیه الاستفسار والاستخبار من الآخر فی صحّة صلاته وفسادها عند الشکّ فیها، لمکان أصالة الصحّة،</w:t>
      </w:r>
    </w:p>
    <w:p>
      <w:pPr>
        <w:pStyle w:val="BookText"/>
        <w:rPr/>
      </w:pPr>
      <w:r>
        <w:rPr>
          <w:rFonts w:ascii="IRNazanin" w:hAnsi="IRNazanin" w:eastAsia="IRNazanin"/>
          <w:color w:val="111111"/>
          <w:sz w:val="28"/>
          <w:sz w:val="28"/>
          <w:szCs w:val="28"/>
          <w:rtl w:val="true"/>
          <w:lang w:bidi="fa-IR"/>
        </w:rPr>
        <w:t>نعم لو أخبر بالفساد فهل یکون قوله معتبرا فی مقابل أصالة الصحّة أو لا یعتبر قوله؟ وقد ذکر لکلّ من الوجهین وجوه لا تخلو عن مناقشة، فالأولی ابتناء ذلک علی اعتبار قاعدة ما لا یعلم إلّامن قبله، فإن قلنا باعتبار ذلک‌عمومها لجمیع الموارد کما یظهر من بعض إرسالها إرسال المسلّمات، فلا إشکال‌یکون إخباره بالفساد فیما نحن فیه معتبرا لأنّ العلم بفساد صلاته غالبا منسدّ لغیر المصلّی إلّاأنّ الشأن فی اعتبار تلک القاعدة بعمومها، وبعد لم یظهر لنا ما یدلّ علی اعتبارها بعمومها</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توضیح کلام نائینی قدس سره چنین است که هرگاه زن و مردی در نماز موازی یکدیگر بایستند، نمازشان علی المشهور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می‌داند که زن یکی از شرایط صحت نماز را ندارد، نماز وی اشکالی ندارد و یا بر عکس، اگر زن بداند که مرد یکی از شرایط صحت نماز را ندارد؛ نماز وی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یکی از این دو در مورد نماز خویش ادعای بطلان کرد، آیا قول وی با وجود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معتبر است یا خیر؟</w:t>
      </w:r>
    </w:p>
    <w:p>
      <w:pPr>
        <w:pStyle w:val="BookText"/>
        <w:rPr/>
      </w:pPr>
      <w:r>
        <w:rPr>
          <w:rFonts w:ascii="IRNazanin" w:hAnsi="IRNazanin" w:eastAsia="IRNazanin"/>
          <w:color w:val="111111"/>
          <w:sz w:val="28"/>
          <w:sz w:val="28"/>
          <w:szCs w:val="28"/>
          <w:rtl w:val="true"/>
          <w:lang w:bidi="fa-IR"/>
        </w:rPr>
        <w:t xml:space="preserve">اولی این است که قول وی بنا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باشد؛ به شرطی که اعتبار و عمومیت قاعده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بر عمومیت قاعده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فقها قاعدۀ مورد بحث را جزء ارسال مسلمات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 فی بعض الموارد ما ربّما لا یخلو عن إشعار بالعموم کقوله رحمه الله فی باب المتعة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إن سألتها البیّنة هل تقدر علی ذلک بعد السؤال عن اتهامها بأنّ لها زوج</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وکذا ورد فی باب الحیض والعدّة والحمل</w:t>
      </w:r>
      <w:bookmarkStart w:id="283" w:name="pg5537_41399"/>
    </w:p>
    <w:p>
      <w:pPr>
        <w:pStyle w:val="BookText"/>
        <w:rPr/>
      </w:pPr>
      <w:bookmarkEnd w:id="283"/>
      <w:r>
        <w:rPr>
          <w:rFonts w:ascii="IRNazanin" w:hAnsi="IRNazanin" w:eastAsia="IRNazanin"/>
          <w:color w:val="111111"/>
          <w:sz w:val="28"/>
          <w:sz w:val="28"/>
          <w:szCs w:val="28"/>
          <w:rtl w:val="true"/>
          <w:lang w:bidi="fa-IR"/>
        </w:rPr>
        <w:t>أنّها مصدقات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قرائنی آمده که اشعار به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امام رحمه الله در باب متعه که شخصی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لازم است برای متعه نمودن زن، از وی در مورد اینکه آیا در عده هست یا خیر، سؤال کند؟ و چنانچه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عده نیستم، آیا کلام وی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بگوئی بینه بیاور که شوهر نداری، آیا پس از اینکه متهم به شوهر دار بودن شد، می‌تواند بینه بیاورد که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باب حیض و عده و حمل نیز روایاتی وارد شده که بر عمومیت قاعده صحه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انتها نظر خود را به گونه‌ای مطرح می‌کند که گویا متمایل به پذیرش عمومیت قاعده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والمسألة بعد تحتاج إلی مزید مراجعة لعلّه یعثر علی ما یدلّ علی عموم القاعدة</w:t>
      </w:r>
      <w:r>
        <w:rPr>
          <w:rFonts w:eastAsia="IRNazanin" w:cs="IRNazanin"/>
          <w:color w:val="111111"/>
          <w:sz w:val="28"/>
          <w:szCs w:val="28"/>
          <w:rtl w:val="true"/>
          <w:lang w:bidi="fa-IR"/>
        </w:rPr>
        <w:t>».</w:t>
      </w:r>
      <w:r>
        <w:rPr>
          <w:rStyle w:val="FootnoteAnchor"/>
          <w:rtl w:val="true"/>
        </w:rPr>
        <w:footnoteReference w:id="250"/>
      </w:r>
    </w:p>
    <w:p>
      <w:pPr>
        <w:pStyle w:val="Heading6"/>
        <w:numPr>
          <w:ilvl w:val="5"/>
          <w:numId w:val="1"/>
        </w:numPr>
        <w:rPr/>
      </w:pPr>
      <w:bookmarkStart w:id="284" w:name="__RefHeading___Toc2472233_581953129"/>
      <w:bookmarkStart w:id="285" w:name="_Toc110"/>
      <w:bookmarkEnd w:id="284"/>
      <w:r>
        <w:rPr>
          <w:rtl w:val="true"/>
        </w:rPr>
        <w:t>نظر حضرت استاد</w:t>
      </w:r>
      <w:bookmarkEnd w:id="28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قاعده از قواعد عقلایی عام بوده و به تعبیری که نائینی قدس سره آورد، جزء ارسال مسلّمات است و در مصادیق آن، نیاز به بینه و حلف نبوده و قول مدعی مسموع می‌باشد</w:t>
      </w:r>
      <w:r>
        <w:rPr>
          <w:rFonts w:eastAsia="IRNazanin" w:cs="IRNazanin"/>
          <w:color w:val="111111"/>
          <w:sz w:val="28"/>
          <w:szCs w:val="28"/>
          <w:rtl w:val="true"/>
          <w:lang w:bidi="fa-IR"/>
        </w:rPr>
        <w:t>.</w:t>
      </w:r>
      <w:r>
        <w:rPr>
          <w:rStyle w:val="FootnoteAnchor"/>
          <w:rtl w:val="true"/>
        </w:rPr>
        <w:footnoteReference w:id="251"/>
      </w:r>
      <w:bookmarkStart w:id="286" w:name="pg5537_41401"/>
    </w:p>
    <w:p>
      <w:pPr>
        <w:pStyle w:val="Heading6"/>
        <w:numPr>
          <w:ilvl w:val="5"/>
          <w:numId w:val="1"/>
        </w:numPr>
        <w:rPr/>
      </w:pPr>
      <w:bookmarkStart w:id="287" w:name="__RefHeading___Toc2472235_581953129"/>
      <w:bookmarkStart w:id="288" w:name="_Toc111"/>
      <w:bookmarkEnd w:id="286"/>
      <w:bookmarkEnd w:id="287"/>
      <w:r>
        <w:rPr>
          <w:rtl w:val="true"/>
        </w:rPr>
        <w:t>ت</w:t>
      </w:r>
      <w:r>
        <w:rPr>
          <w:rtl w:val="true"/>
        </w:rPr>
        <w:t xml:space="preserve">) </w:t>
      </w:r>
      <w:r>
        <w:rPr>
          <w:rtl w:val="true"/>
        </w:rPr>
        <w:t xml:space="preserve">رابطۀ قاعدۀ </w:t>
      </w:r>
      <w:r>
        <w:rPr>
          <w:rtl w:val="true"/>
        </w:rPr>
        <w:t>«</w:t>
      </w:r>
      <w:r>
        <w:rPr>
          <w:rtl w:val="true"/>
        </w:rPr>
        <w:t>لا یعلم</w:t>
      </w:r>
      <w:r>
        <w:rPr>
          <w:rtl w:val="true"/>
        </w:rPr>
        <w:t xml:space="preserve">» </w:t>
      </w:r>
      <w:r>
        <w:rPr>
          <w:rtl w:val="true"/>
        </w:rPr>
        <w:t xml:space="preserve">با قاعدۀ </w:t>
      </w:r>
      <w:r>
        <w:rPr>
          <w:rtl w:val="true"/>
        </w:rPr>
        <w:t>«</w:t>
      </w:r>
      <w:r>
        <w:rPr>
          <w:rtl w:val="true"/>
        </w:rPr>
        <w:t>من ملک</w:t>
      </w:r>
      <w:r>
        <w:rPr>
          <w:rtl w:val="true"/>
        </w:rPr>
        <w:t>»</w:t>
      </w:r>
      <w:bookmarkEnd w:id="288"/>
    </w:p>
    <w:p>
      <w:pPr>
        <w:pStyle w:val="BookText"/>
        <w:rPr/>
      </w:pPr>
      <w:r>
        <w:rPr>
          <w:rFonts w:ascii="IRNazanin" w:hAnsi="IRNazanin" w:eastAsia="IRNazanin"/>
          <w:color w:val="111111"/>
          <w:sz w:val="28"/>
          <w:sz w:val="28"/>
          <w:szCs w:val="28"/>
          <w:rtl w:val="true"/>
          <w:lang w:bidi="fa-IR"/>
        </w:rPr>
        <w:t xml:space="preserve">گذشت که بین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تفاوت عمده وجود دارد که جهت یادآوری، مجدداً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مصادیق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دلیل یا بینه‌ای باشد که اقرار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مواردی است که اصلاً قابلیت اشهاد و استشهاد در آنها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که یا مربوط به امور قصدیه است و یا مربوط به امور مخفیه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مستند جداگانه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إلّامن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برخی روایات است؛ اما در رابطه با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فقهاء، با اینکه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مردود می‌دانند، اما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نیز معلوم می‌شود که این دو قاعده ارتباطی با یکدیگر ندارند و نباید بین آن دو خلط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فروعات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قول من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چه بسا که نسبت بین آن دو تباین باشد</w:t>
      </w:r>
      <w:r>
        <w:rPr>
          <w:rFonts w:eastAsia="IRNazanin" w:cs="IRNazanin"/>
          <w:color w:val="111111"/>
          <w:sz w:val="28"/>
          <w:szCs w:val="28"/>
          <w:rtl w:val="true"/>
          <w:lang w:bidi="fa-IR"/>
        </w:rPr>
        <w:t>.</w:t>
      </w:r>
    </w:p>
    <w:p>
      <w:pPr>
        <w:pStyle w:val="Heading5"/>
        <w:numPr>
          <w:ilvl w:val="4"/>
          <w:numId w:val="1"/>
        </w:numPr>
        <w:rPr/>
      </w:pPr>
      <w:bookmarkStart w:id="289" w:name="__RefHeading___Toc2472237_581953129"/>
      <w:bookmarkStart w:id="290" w:name="_Toc112"/>
      <w:bookmarkEnd w:id="289"/>
      <w:r>
        <w:rPr>
          <w:rtl w:val="true"/>
        </w:rPr>
        <w:t>گفتار پنجم</w:t>
      </w:r>
      <w:r>
        <w:rPr>
          <w:rtl w:val="true"/>
        </w:rPr>
        <w:t xml:space="preserve">: </w:t>
      </w:r>
      <w:r>
        <w:rPr>
          <w:rtl w:val="true"/>
        </w:rPr>
        <w:t xml:space="preserve">قاعدۀ </w:t>
      </w:r>
      <w:r>
        <w:rPr>
          <w:rtl w:val="true"/>
        </w:rPr>
        <w:t>«</w:t>
      </w:r>
      <w:r>
        <w:rPr>
          <w:rtl w:val="true"/>
        </w:rPr>
        <w:t>اقرار العقلاء</w:t>
      </w:r>
      <w:r>
        <w:rPr>
          <w:rtl w:val="true"/>
        </w:rPr>
        <w:t>»</w:t>
      </w:r>
      <w:bookmarkEnd w:id="290"/>
    </w:p>
    <w:p>
      <w:pPr>
        <w:pStyle w:val="Heading6"/>
        <w:numPr>
          <w:ilvl w:val="5"/>
          <w:numId w:val="1"/>
        </w:numPr>
        <w:rPr/>
      </w:pPr>
      <w:bookmarkStart w:id="291" w:name="__RefHeading___Toc2472239_581953129"/>
      <w:bookmarkStart w:id="292" w:name="_Toc113"/>
      <w:bookmarkEnd w:id="291"/>
      <w:r>
        <w:rPr>
          <w:rtl w:val="true"/>
        </w:rPr>
        <w:t>اشاره</w:t>
      </w:r>
      <w:bookmarkEnd w:id="2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فقها دلیل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این گروه،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قواعد مسلّم بوده و از طرفی مفاد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مقبولیت اقرار بر هبه، وقف، بیع و نظایر اینهاست که به نوعی اقرار بر علیه مقر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این طایفه از فقها معتقدند که در اکثر موارد مستند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خاصی بین مقرّ و مقرّ علیه وجود دارد که می‌توان به لحاظ آن مفاد اقرار را بر ضرر خود مقرّ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293" w:name="pg5537_41403"/>
    </w:p>
    <w:p>
      <w:pPr>
        <w:pStyle w:val="BookText"/>
        <w:rPr/>
      </w:pPr>
      <w:bookmarkEnd w:id="293"/>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جز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فقهائی که بر یکی بودن دو قاعده اصرار می‌ورزند، مرحوم امام خمینی قدس سره است</w:t>
      </w:r>
      <w:r>
        <w:rPr>
          <w:rFonts w:eastAsia="IRNazanin" w:cs="IRNazanin"/>
          <w:color w:val="111111"/>
          <w:sz w:val="28"/>
          <w:szCs w:val="28"/>
          <w:rtl w:val="true"/>
          <w:lang w:bidi="fa-IR"/>
        </w:rPr>
        <w:t>.</w:t>
      </w:r>
      <w:r>
        <w:rPr>
          <w:rStyle w:val="FootnoteAnchor"/>
          <w:rtl w:val="true"/>
        </w:rPr>
        <w:footnoteReference w:id="252"/>
      </w:r>
    </w:p>
    <w:p>
      <w:pPr>
        <w:pStyle w:val="Heading6"/>
        <w:numPr>
          <w:ilvl w:val="5"/>
          <w:numId w:val="1"/>
        </w:numPr>
        <w:rPr/>
      </w:pPr>
      <w:bookmarkStart w:id="294" w:name="__RefHeading___Toc2472241_581953129"/>
      <w:bookmarkStart w:id="295" w:name="_Toc114"/>
      <w:bookmarkEnd w:id="294"/>
      <w:r>
        <w:rPr>
          <w:rtl w:val="true"/>
        </w:rPr>
        <w:t xml:space="preserve">رابطۀ قاعدۀ </w:t>
      </w:r>
      <w:r>
        <w:rPr>
          <w:rtl w:val="true"/>
        </w:rPr>
        <w:t>«</w:t>
      </w:r>
      <w:r>
        <w:rPr>
          <w:rtl w:val="true"/>
        </w:rPr>
        <w:t>اقرار العقلاء</w:t>
      </w:r>
      <w:r>
        <w:rPr>
          <w:rtl w:val="true"/>
        </w:rPr>
        <w:t xml:space="preserve">» </w:t>
      </w:r>
      <w:r>
        <w:rPr>
          <w:rtl w:val="true"/>
        </w:rPr>
        <w:t xml:space="preserve">با قاعدۀ </w:t>
      </w:r>
      <w:r>
        <w:rPr>
          <w:rtl w:val="true"/>
        </w:rPr>
        <w:t>«</w:t>
      </w:r>
      <w:r>
        <w:rPr>
          <w:rtl w:val="true"/>
        </w:rPr>
        <w:t>من ملک</w:t>
      </w:r>
      <w:r>
        <w:rPr>
          <w:rtl w:val="true"/>
        </w:rPr>
        <w:t>»</w:t>
      </w:r>
      <w:bookmarkEnd w:id="29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بین دو قاعده چه نسبتی از نِسب اربع منطقی وجود دارد، چهار نظریه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امام خمینی قدس سره نسبت این دو قاعده را تساوی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 عقیده به تباین دارند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دستۀ دیگر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 مطلق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خاص مطلق دانسته</w:t>
      </w:r>
      <w:r>
        <w:rPr>
          <w:rStyle w:val="FootnoteAnchor"/>
          <w:rtl w:val="true"/>
        </w:rPr>
        <w:footnoteReference w:id="254"/>
      </w:r>
      <w:r>
        <w:rPr>
          <w:rFonts w:ascii="IRNazanin" w:hAnsi="IRNazanin" w:eastAsia="IRNazanin"/>
          <w:color w:val="111111"/>
          <w:sz w:val="28"/>
          <w:sz w:val="28"/>
          <w:szCs w:val="28"/>
          <w:rtl w:val="true"/>
          <w:lang w:bidi="fa-IR"/>
        </w:rPr>
        <w:t>و گروهی نیز نسبت میان دو قاعده را عموم و</w:t>
      </w:r>
    </w:p>
    <w:p>
      <w:pPr>
        <w:pStyle w:val="BookText"/>
        <w:rPr/>
      </w:pPr>
      <w:r>
        <w:rPr>
          <w:rFonts w:ascii="IRNazanin" w:hAnsi="IRNazanin" w:eastAsia="IRNazanin"/>
          <w:color w:val="111111"/>
          <w:sz w:val="28"/>
          <w:sz w:val="28"/>
          <w:szCs w:val="28"/>
          <w:rtl w:val="true"/>
          <w:lang w:bidi="fa-IR"/>
        </w:rPr>
        <w:t>خصوص من وجه برشمرده‌اند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رابطۀ دو قاعده تساوی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مواردی مانند اقرار به قتل که مصداق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صادق نیست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نسبت بین دو قاعدۀ مورد بحث، تباین نیز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برخی موارد مانند اقرار وکیل بر ضرر خود در مورد وکالت، امکان اجرای هر دو قاعده وجود دارد</w:t>
      </w:r>
      <w:r>
        <w:rPr>
          <w:rFonts w:eastAsia="IRNazanin" w:cs="IRNazanin"/>
          <w:color w:val="111111"/>
          <w:sz w:val="28"/>
          <w:szCs w:val="28"/>
          <w:rtl w:val="true"/>
          <w:lang w:bidi="fa-IR"/>
        </w:rPr>
        <w:t>.</w:t>
      </w:r>
      <w:r>
        <w:rPr>
          <w:rStyle w:val="FootnoteAnchor"/>
          <w:rtl w:val="true"/>
        </w:rPr>
        <w:footnoteReference w:id="256"/>
      </w:r>
      <w:bookmarkStart w:id="296" w:name="pg5537_41409"/>
    </w:p>
    <w:p>
      <w:pPr>
        <w:pStyle w:val="BookText"/>
        <w:rPr/>
      </w:pPr>
      <w:bookmarkEnd w:id="296"/>
      <w:r>
        <w:rPr>
          <w:rFonts w:ascii="IRNazanin" w:hAnsi="IRNazanin" w:eastAsia="IRNazanin"/>
          <w:color w:val="111111"/>
          <w:sz w:val="28"/>
          <w:sz w:val="28"/>
          <w:szCs w:val="28"/>
          <w:rtl w:val="true"/>
          <w:lang w:bidi="fa-IR"/>
        </w:rPr>
        <w:t xml:space="preserve">قول به نسبت عموم و خصوص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قاعدۀ اقرار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همان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روشن است که هرگز کسی مالک قتل دیگری نیست تا اقرار وی از مصادیق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نسبت دو قاعده، عموم و خصوص من وجه است</w:t>
      </w:r>
      <w:r>
        <w:rPr>
          <w:rFonts w:eastAsia="IRNazanin" w:cs="IRNazanin"/>
          <w:color w:val="111111"/>
          <w:sz w:val="28"/>
          <w:szCs w:val="28"/>
          <w:rtl w:val="true"/>
          <w:lang w:bidi="fa-IR"/>
        </w:rPr>
        <w:t>.</w:t>
      </w:r>
    </w:p>
    <w:p>
      <w:pPr>
        <w:pStyle w:val="Heading6"/>
        <w:numPr>
          <w:ilvl w:val="5"/>
          <w:numId w:val="1"/>
        </w:numPr>
        <w:rPr/>
      </w:pPr>
      <w:bookmarkStart w:id="297" w:name="__RefHeading___Toc2472243_581953129"/>
      <w:bookmarkStart w:id="298" w:name="_Toc115"/>
      <w:bookmarkEnd w:id="297"/>
      <w:r>
        <w:rPr>
          <w:rtl w:val="true"/>
        </w:rPr>
        <w:t>تبیین رابطۀ مزبور در کلام مرحوم آیة‌اللّه فاضل لنکرانی</w:t>
      </w:r>
      <w:bookmarkEnd w:id="298"/>
    </w:p>
    <w:p>
      <w:pPr>
        <w:pStyle w:val="BookText"/>
        <w:rPr/>
      </w:pPr>
      <w:r>
        <w:rPr>
          <w:rFonts w:ascii="IRNazanin" w:hAnsi="IRNazanin" w:eastAsia="IRNazanin"/>
          <w:color w:val="111111"/>
          <w:sz w:val="28"/>
          <w:sz w:val="28"/>
          <w:szCs w:val="28"/>
          <w:rtl w:val="true"/>
          <w:lang w:bidi="fa-IR"/>
        </w:rPr>
        <w:t>والد محقّق ما رحمه الله در این خصوص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النسبة بین الموردین هی العموم من وجه، ولازمه وجود مادة الاجتماع و مادّتی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مادة الاجتماع فهی مثل ما إذا أقر الشخص بأنه وهب ماله لزید مثلًا فإنه بمقتضی کونه إقراراً من عاقل علی نفسه تنطبق علیه قاعدة الإقرار، وبمقتضی کونه مالکاً ومسلّطاً علی هبة ماله؛ لان الناس مسلّطون علی أموالهم تنطبق علیه قاعدة من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مادة الافتراق من ناحیة قاعدة من ملک فهی کما إذا أقرّ الوکیل أو الولیّ علی الأصیل، کما إذا أقرّ ببیع مال الموکل أو المولّی علیه بثمن مخصوص، أو شرط مخصوص فإنه لا ینطبق علیه قاعدة الإقرار؛ لعدم کونه إقراراً علی نفسه، بل علی موکّله أو له أو الصّغیر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مادّة الافتراق من ناحیة قاعدة الإقرار فهی ما إذا أقر علی نفسه</w:t>
      </w:r>
    </w:p>
    <w:p>
      <w:pPr>
        <w:pStyle w:val="BookText"/>
        <w:rPr/>
      </w:pPr>
      <w:r>
        <w:rPr>
          <w:rFonts w:ascii="IRNazanin" w:hAnsi="IRNazanin" w:eastAsia="IRNazanin"/>
          <w:color w:val="111111"/>
          <w:sz w:val="28"/>
          <w:sz w:val="28"/>
          <w:szCs w:val="28"/>
          <w:rtl w:val="true"/>
          <w:lang w:bidi="fa-IR"/>
        </w:rPr>
        <w:t>بفعل لا یکون جائزاً له ولا مسلّطاً علیه، کالإقرار بقتل زید أو جرحه مثلًا فإنه لا ینطبق علیه قاعدة من ملک، بل هو من مصادیق قاعدة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فلا وجه للاستناد فی هذه القاعدة إلی قاعدة الإقرار کما حکی عن بعض تخیّله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یعنی نسبت دو قاعده، عموم و خصوص من وجه و لازمۀ آن، وجود یک مادۀ اجتماع و دو مادۀ افتراق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اجتماع قاعدتین، اقرار شخص بر هبۀ مال خویش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جهت اینکه مقر، عاقل و بالغ بوده و اقرار بر ضرر خویش نموده مشمول قاعدۀ اقرار است و به مقتضای اینکه مقر، بر هبۀ مال خویش مالکیت و سلطنت داشته، از مصادیق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مادۀ افتراق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قاعدۀ اقرار؛ اقرار وکیل یا وصی بر علیه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وکیل علیه موکل، یا ولی علیه مولّی علیه به دلیل اینکه سلطنت بر چنین اقراری دارند، تحت شمول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چون اقرار مزبور بر ضرر خود وکیل یا ولی نیست،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قاعدۀ اقرار، در مواردی که اقرار به ضرر خود مقر است جاری می‌شود، نه در مواردی که به ضرر غیر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مادۀ افتراق قاعدۀ اقرار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جایی که قاعدۀ اقرار جاری</w:t>
      </w:r>
      <w:bookmarkStart w:id="299" w:name="pg5537_41413"/>
    </w:p>
    <w:p>
      <w:pPr>
        <w:pStyle w:val="BookText"/>
        <w:rPr/>
      </w:pPr>
      <w:bookmarkEnd w:id="299"/>
      <w:r>
        <w:rPr>
          <w:rFonts w:ascii="IRNazanin" w:hAnsi="IRNazanin" w:eastAsia="IRNazanin"/>
          <w:color w:val="111111"/>
          <w:sz w:val="28"/>
          <w:sz w:val="28"/>
          <w:szCs w:val="28"/>
          <w:rtl w:val="true"/>
          <w:lang w:bidi="fa-IR"/>
        </w:rPr>
        <w:t xml:space="preserve">است، اما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ندارد، اقرار شخص به فعلی است که ارتکاب آن برای وی جائز نیست؛ مانند اقرار به قتل</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به نظر ما نیز کلام والد محقّق رحمه الله در کمال متانت بوده و رابطۀ قاعدتین، عام و خاص من وجه است</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300" w:name="__RefHeading___Toc2472245_581953129"/>
      <w:bookmarkStart w:id="301" w:name="_Toc116"/>
      <w:bookmarkEnd w:id="300"/>
      <w:r>
        <w:rPr>
          <w:rtl w:val="true"/>
        </w:rPr>
        <w:t xml:space="preserve">وجوه افتراق قاعدۀ </w:t>
      </w:r>
      <w:r>
        <w:rPr>
          <w:rtl w:val="true"/>
        </w:rPr>
        <w:t>«</w:t>
      </w:r>
      <w:r>
        <w:rPr>
          <w:rtl w:val="true"/>
        </w:rPr>
        <w:t>اقرار العقلاء</w:t>
      </w:r>
      <w:r>
        <w:rPr>
          <w:rtl w:val="true"/>
        </w:rPr>
        <w:t xml:space="preserve">» </w:t>
      </w:r>
      <w:r>
        <w:rPr>
          <w:rtl w:val="true"/>
        </w:rPr>
        <w:t xml:space="preserve">با قاعدۀ </w:t>
      </w:r>
      <w:r>
        <w:rPr>
          <w:rtl w:val="true"/>
        </w:rPr>
        <w:t>«</w:t>
      </w:r>
      <w:r>
        <w:rPr>
          <w:rtl w:val="true"/>
        </w:rPr>
        <w:t>من ملک</w:t>
      </w:r>
      <w:r>
        <w:rPr>
          <w:rtl w:val="true"/>
        </w:rPr>
        <w:t>»</w:t>
      </w:r>
      <w:bookmarkEnd w:id="301"/>
    </w:p>
    <w:p>
      <w:pPr>
        <w:pStyle w:val="BookText"/>
        <w:rPr/>
      </w:pPr>
      <w:r>
        <w:rPr>
          <w:rFonts w:ascii="IRNazanin" w:hAnsi="IRNazanin" w:eastAsia="IRNazanin"/>
          <w:color w:val="111111"/>
          <w:sz w:val="28"/>
          <w:sz w:val="28"/>
          <w:szCs w:val="28"/>
          <w:rtl w:val="true"/>
          <w:lang w:bidi="fa-IR"/>
        </w:rPr>
        <w:t xml:space="preserve">برخی گفته‌اند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جهت اعم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افتراق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صورتی جاری است که اقرار شخص بر ضرر خود باشد و اقراری که به نفع مقر باشد، وفق این قاعده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اقرار به نفع مقر باشد و چه به ضرر وی، کسی که مالک یک شیء است، مالک اقرارش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نفوذ اقرار در آن، اعم از اینست که به نفع مقر باشد یا به ضرر وی، دارای اهمیت می‌باشد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مناقشۀ 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شرط جریان قاعدۀ اقرار، بر ضرر مقر بودن اقرار است، اما چنین نیست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نفع و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w:t>
      </w:r>
    </w:p>
    <w:p>
      <w:pPr>
        <w:pStyle w:val="BookText"/>
        <w:rPr/>
      </w:pPr>
      <w:r>
        <w:rPr>
          <w:rFonts w:ascii="IRNazanin" w:hAnsi="IRNazanin" w:eastAsia="IRNazanin"/>
          <w:color w:val="111111"/>
          <w:sz w:val="28"/>
          <w:sz w:val="28"/>
          <w:szCs w:val="28"/>
          <w:rtl w:val="true"/>
          <w:lang w:bidi="fa-IR"/>
        </w:rPr>
        <w:t>قاعده اصلاً بحث نفع و ضرر مقر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این است که کسی سلطنت بر تصرّفی داشته، حال می‌گوید تصرف مزبور را انجام دادم، این اقرار از وی پذیرفته می‌شود؛ اما این که آیا اقرار وی به نفع یا ضرر خویش است، یا به نفع و ضرر دیگری؟ اصلاً در قاعده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تفاوت عمدۀ دو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ملاک قبول اقرار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سلطنت بر تصرّف دارد، اما چنین ملاکی در قاعدۀ اقرار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اول به صورت ذکر شده صحیح نمی‌باشد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افتراق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شیخ انصاری</w:t>
      </w:r>
      <w:r>
        <w:rPr>
          <w:rStyle w:val="FootnoteAnchor"/>
          <w:rtl w:val="true"/>
        </w:rPr>
        <w:footnoteReference w:id="262"/>
      </w:r>
      <w:r>
        <w:rPr>
          <w:rFonts w:ascii="IRNazanin" w:hAnsi="IRNazanin" w:eastAsia="IRNazanin"/>
          <w:color w:val="111111"/>
          <w:sz w:val="28"/>
          <w:sz w:val="28"/>
          <w:szCs w:val="28"/>
          <w:rtl w:val="true"/>
          <w:lang w:bidi="fa-IR"/>
        </w:rPr>
        <w:t xml:space="preserve">عقیده دارند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دیگری نیز اعم است و آن اینکه نفوذ اقرار مخصوص به عاقل بالغ نشده و شامل اقرار صبی ممیز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مراد از عقلاء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 بالغ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تمامی اصحاب عقلا را به اشخاص بالغ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اقرار العقلاء شامل صبی و لو اینکه مراهق باشد نیست، و به همین سبب اقرار صبی ممیز به قتل،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هر کس مالک چیزی است، مالک اقرار بر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دایرۀ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جهت وسیع‌تر از دائرۀ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63"/>
      </w:r>
      <w:bookmarkStart w:id="302" w:name="pg5537_41418"/>
    </w:p>
    <w:p>
      <w:pPr>
        <w:pStyle w:val="Heading6"/>
        <w:numPr>
          <w:ilvl w:val="5"/>
          <w:numId w:val="1"/>
        </w:numPr>
        <w:rPr/>
      </w:pPr>
      <w:bookmarkStart w:id="303" w:name="__RefHeading___Toc2472247_581953129"/>
      <w:bookmarkStart w:id="304" w:name="_Toc117"/>
      <w:bookmarkEnd w:id="302"/>
      <w:bookmarkEnd w:id="303"/>
      <w:r>
        <w:rPr>
          <w:rtl w:val="true"/>
        </w:rPr>
        <w:t>مناقشۀ محقق عراقی</w:t>
      </w:r>
      <w:bookmarkEnd w:id="304"/>
    </w:p>
    <w:p>
      <w:pPr>
        <w:pStyle w:val="BookText"/>
        <w:rPr/>
      </w:pPr>
      <w:r>
        <w:rPr>
          <w:rFonts w:ascii="IRNazanin" w:hAnsi="IRNazanin" w:eastAsia="IRNazanin"/>
          <w:color w:val="111111"/>
          <w:sz w:val="28"/>
          <w:sz w:val="28"/>
          <w:szCs w:val="28"/>
          <w:rtl w:val="true"/>
          <w:lang w:bidi="fa-IR"/>
        </w:rPr>
        <w:t xml:space="preserve">مرحوم محقق عراقی رحمه الله شمول و عدم شمول هر دو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را نسبت به صبی ممیز، علی السویه دانسته، معتقد است که میان دو قاعده از این حیث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محقّق بجنوردی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واعترض علی هذا الفرق الأخیر أستاذنا المحقّق العراقی قدّس سرّه بعدم انصراف العقلاء فی تلک القاعدة إلی البالغین؛ إذ لا فرق فی نظر العرف بین من یکون عمره أقلّ من خمسة عشر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یسیر کیوم بل کساعة، بین من یکون عمره هذا المقدار تماما بدون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بحسب المتفاهم العرفی تشمل کلتا الصورتین، ای التامّ وغیر التامّ إذا کان النقص قلیلا، وبعدم القول بالفصل یتمّ المطلوب</w:t>
      </w:r>
      <w:r>
        <w:rPr>
          <w:rFonts w:eastAsia="IRNazanin" w:cs="IRNazanin"/>
          <w:color w:val="111111"/>
          <w:sz w:val="28"/>
          <w:szCs w:val="28"/>
          <w:rtl w:val="true"/>
          <w:lang w:bidi="fa-IR"/>
        </w:rPr>
        <w:t>».</w:t>
      </w:r>
      <w:r>
        <w:rPr>
          <w:rStyle w:val="FootnoteAnchor"/>
          <w:rtl w:val="true"/>
        </w:rPr>
        <w:footnoteReference w:id="26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محقّق عراقی رحمه الله، فرق دوم را مورد اعتراض قرار داده به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اقرار، منصرف به بالغین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عرف، بین کسی که سنش به اندازۀ یک روز یا یک ساعت کمتر از پانزده سال تمام باشد، با کسی که به سن پانزده سالگی تمام رسیده است، فرقی قائل نشده و هر دو را عاقل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عدم تفصیل عرف بین شخص بالغ تام و غیر تام، درمی‌یابیم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بالغین نداشته و اشخاص غیر بالغ قریب البلوغ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متفاهم عرفی هم شامل بالغ تام می‌باشد و هم شامل بالغ غیر تامی که</w:t>
      </w:r>
    </w:p>
    <w:p>
      <w:pPr>
        <w:pStyle w:val="BookText"/>
        <w:rPr/>
      </w:pPr>
      <w:r>
        <w:rPr>
          <w:rFonts w:ascii="IRNazanin" w:hAnsi="IRNazanin" w:eastAsia="IRNazanin"/>
          <w:color w:val="111111"/>
          <w:sz w:val="28"/>
          <w:sz w:val="28"/>
          <w:szCs w:val="28"/>
          <w:rtl w:val="true"/>
          <w:lang w:bidi="fa-IR"/>
        </w:rPr>
        <w:t>نقصان سن وی از حد بلوغ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که نقصان سنش کم نیست، از طریق عدم قول به فصل مسأله تمام می‌شود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ادّعاء الإجماع علی عدم شموله لغیر البالغین،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 المتیقّن منه علی تقدیر ثبوته وکونه من الإجماع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کاشف عن رأی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فیما إذا کان تصرّفه ممنوعا، وأمّا فی الأشیاء التی شرع له جواز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کالمذکورات‌ای الوصیّة والوقف‌الصدقة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إجماع فی البین، بمعنی أنّه لیس اتّفاق علی عدم نفوذ إقراره علی نفسه</w:t>
      </w:r>
      <w:r>
        <w:rPr>
          <w:rFonts w:eastAsia="IRNazanin" w:cs="IRNazanin"/>
          <w:color w:val="111111"/>
          <w:sz w:val="28"/>
          <w:szCs w:val="28"/>
          <w:rtl w:val="true"/>
          <w:lang w:bidi="fa-IR"/>
        </w:rPr>
        <w:t>».</w:t>
      </w:r>
      <w:r>
        <w:rPr>
          <w:rStyle w:val="FootnoteAnchor"/>
          <w:rtl w:val="true"/>
        </w:rPr>
        <w:footnoteReference w:id="26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ممکن است ادعا شود اجماع فقها بر این است که قاعده اقرار شامل غیر بالغین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می‌گوئیم حجّیت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ثبوت و تحقّق آن و نیز بر فرض اینکه از موارد اجماع اصطلاحی باشد که کاشف از قول معصوم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قدر متیقن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اجماع در این مسأله مواردی است که تصرف صبی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اموری که شرعا حق تصرف در 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وصیت، وقف و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حاصل نیست</w:t>
      </w:r>
      <w:r>
        <w:rPr>
          <w:rFonts w:eastAsia="IRNazanin" w:cs="IRNazanin"/>
          <w:color w:val="111111"/>
          <w:sz w:val="28"/>
          <w:szCs w:val="28"/>
          <w:rtl w:val="true"/>
          <w:lang w:bidi="fa-IR"/>
        </w:rPr>
        <w:t>.</w:t>
      </w:r>
      <w:bookmarkStart w:id="305" w:name="pg5537_41422"/>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یتوهّم من أنّ عموم کونه مسلوب العبارة خصّص بجواز هذه التصرّفات الثلاث، وأمّا إقراره بوقوع هذه التصرّفات فهو باق تحت عموم العامّ، فلیس بنافذ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هذا فحال قاعدة من ملک أیضا من هذه الجهة حال قاعدة الإقرار لا بدّ وأن یخصّص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ذکره أستاذنا المحقّق قدّس سرّه فی هذا المقام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اما این مطلب که عموم ادلۀ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العباره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ممنوع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صبی، با روایاتی که دال بر جواز تصرفات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وقف و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صبی است، مورد تخصیص واقع شده، اما اقرار وی در موارد مذکور، تحت عموم ادله باقی بوده و لذا چنین اقراری نافذ نمی‌باشد، توهمی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چنین باشد، وضعیت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قاعدۀ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قاعدۀ اقرار به جهت ادلّۀ عام مسلوب العبارة بودن، تخصیص خورده و اقرار صبی غیر نافذ می‌شود؛ بایستی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همان ادلّۀ عام مسلوب العبارة بودن صبی تخصیص خورده و صرفاً شامل بالغین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دو قاعدۀ یاد شده از این جهت نمی‌تواند تفاوتی وجود داشته باشد</w:t>
      </w:r>
      <w:r>
        <w:rPr>
          <w:rFonts w:eastAsia="IRNazanin" w:cs="IRNazanin"/>
          <w:color w:val="111111"/>
          <w:sz w:val="28"/>
          <w:szCs w:val="28"/>
          <w:rtl w:val="true"/>
          <w:lang w:bidi="fa-IR"/>
        </w:rPr>
        <w:t>.</w:t>
      </w:r>
    </w:p>
    <w:p>
      <w:pPr>
        <w:pStyle w:val="Heading6"/>
        <w:numPr>
          <w:ilvl w:val="5"/>
          <w:numId w:val="1"/>
        </w:numPr>
        <w:rPr/>
      </w:pPr>
      <w:bookmarkStart w:id="306" w:name="__RefHeading___Toc2472249_581953129"/>
      <w:bookmarkStart w:id="307" w:name="_Toc118"/>
      <w:bookmarkEnd w:id="306"/>
      <w:r>
        <w:rPr>
          <w:rtl w:val="true"/>
        </w:rPr>
        <w:t>کلام محقّق بجنوردی</w:t>
      </w:r>
      <w:bookmarkEnd w:id="307"/>
    </w:p>
    <w:p>
      <w:pPr>
        <w:pStyle w:val="BookText"/>
        <w:rPr/>
      </w:pPr>
      <w:r>
        <w:rPr>
          <w:rFonts w:ascii="IRNazanin" w:hAnsi="IRNazanin" w:eastAsia="IRNazanin"/>
          <w:color w:val="111111"/>
          <w:sz w:val="28"/>
          <w:sz w:val="28"/>
          <w:szCs w:val="28"/>
          <w:rtl w:val="true"/>
          <w:lang w:bidi="fa-IR"/>
        </w:rPr>
        <w:t>مرحوم بجنوردی رحمه الله پس از نقل کلمات استادش، مناقشۀ وی را مردود دانسته در مقام پاسخ می‌نویسد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أنت خبیر بأنّه لا شکّ فی أنّ المتفاهم العرفی من هذه الجملة، ای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البالغین، لا الأعمّ منهم ومن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عدم الفرق فی نظر العرف بین البالغ وغیره ممّن کان عمره أقلّ منه بقلیل کالیوم والساعة،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یفهم من هذه الجملة خصوص البالغین، وأمّا تطبیق هذا المفهوم علی المصداق فلیس بنظر العرف، فإذا حدّد الشارع هذا المفهوم فیکون تطبیق هذا المفهوم علی مصادیقه بالدّقة، والّا فهذا الإشکال متّحد الورود علی جمیع المفاهیم المحدّدة من قبل الشارع، کمفهوم الکرّ والمسافة وسائر الأوزان والمقادیر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فالعرف لا یفرق بین ما هو من مصادیق المفهوم المحدّد من قبل الشرع حقیقة وبالدّقة، وبین ما هو أقلّ منه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لو انقطع الدم فی الحیض قبل الثلاثة ولو بساعة، أو نوی الإقامة عشرة أیّام إلّاساعة فلیس ولا یتحقّق حیض ولا إقامة، مع أنّ العرف لا یری الفرق فی إطلاق الثلاثة والعشرة أیّام فی الثانی بین التامّ والناقص بقلیل</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اولاً شکی در این نیست که عرف از حدیث اقرار، اختصاص به بالغین را می‌فهمد؛ نه اینکه اعم از بالغ و نابالغ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فرض اینکه ادعای شما مبنی بر تفاهم عرفی صحیح بوده و عرف تفاوتی بین بالغ تام و غیر تام قائل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تحدید مفهوم بالغ توسط شارع، تطبیق این مفهوم بر مصادیق آن باید با دقت صورت گیرد و تابع نظر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جایی که شارع حد و حدود مفهومی را معین نموده باشد، تمسک به تسامحات عرفی معنا ندارد و نمی‌توان در تطبیق مفهوم مورد نظر بر مصادیق آن به تفاهم عرفی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صورت باید امر تطبیق با موشکافی دقیق عقلی و لحاظ بی‌کم و کاست نظر شارع انجام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تطبیق مفهوم بر مصداق خارجی جای دقت عقلی است؛ نه مسامحۀ عرفی</w:t>
      </w:r>
      <w:r>
        <w:rPr>
          <w:rFonts w:eastAsia="IRNazanin" w:cs="IRNazanin"/>
          <w:color w:val="111111"/>
          <w:sz w:val="28"/>
          <w:szCs w:val="28"/>
          <w:rtl w:val="true"/>
          <w:lang w:bidi="fa-IR"/>
        </w:rPr>
        <w:t>).</w:t>
      </w:r>
      <w:bookmarkStart w:id="308" w:name="pg5537_41426"/>
    </w:p>
    <w:p>
      <w:pPr>
        <w:pStyle w:val="BookText"/>
        <w:rPr/>
      </w:pPr>
      <w:bookmarkEnd w:id="308"/>
      <w:r>
        <w:rPr>
          <w:rFonts w:ascii="IRNazanin" w:hAnsi="IRNazanin" w:eastAsia="IRNazanin"/>
          <w:color w:val="111111"/>
          <w:sz w:val="28"/>
          <w:sz w:val="28"/>
          <w:szCs w:val="28"/>
          <w:rtl w:val="true"/>
          <w:lang w:bidi="fa-IR"/>
        </w:rPr>
        <w:t xml:space="preserve">وگرنه این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مفاهیمی که حد و حدود آن از سوی شارع معین شده، وارد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مفهوم کرّ، مسافت شرعی و سایر اوزان و 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عرف میان مصداق دقیق شرعی مفاهیم فوق با مصداقی که اندکی کمتر از آن است فرقی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حد ترخص 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بین هشت فرسخ با دو متر مانده به هشت فرسخ تفاوتی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برای انکسار نماز یا روزه حتماً باید مسافتی به اندازۀ هشت فرسخ به صورت دقیق و کامل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جریان عادت ماهانه زن قبل از سه روز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یک ساعت مانده به اتمام سه روز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بیرون آمده حکم حیض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 ساعت کمتر از ده روز مقیم باشد، قصد اقامت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عرف چنین دقتی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اتمام کامل پانزده سال قمری به عنوان أمارۀ بلوغ، مورد نظر شارع است</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309" w:name="__RefHeading___Toc2472251_581953129"/>
      <w:bookmarkStart w:id="310" w:name="_Toc119"/>
      <w:bookmarkEnd w:id="309"/>
      <w:r>
        <w:rPr>
          <w:rtl w:val="true"/>
        </w:rPr>
        <w:t>بررسی کلام محقّق بجنوردی</w:t>
      </w:r>
      <w:bookmarkEnd w:id="31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دفاع از محقّق عراقی رحمه الله می‌گوئیم که در نص حدیث اقرار،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البالغین علی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اشکال مرحوم بجنوردی رحمه الله بر محقق عراقی رحمه الله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موضوع دلیل، بلوغ نیست می‌توان گفت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عاقل بالغ است و هم عاقل صبی ممیز را در بر می‌گیرد و حق با مرحوم عراقی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تفاوت دوم مبنی بر این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شمول بر صبی ممیز، اعم از قاعدۀ اقرار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شمول مزبور را</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نمی‌باشد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 در هر صورت اگر مستند قاعده را حدیث اقرار بدانیم نتیجه آن خواهد بود که این قاعده، نمی‌تواند به عنوان یک قاعده مستقل به حساب آید، در حالی که از سیاق عبارات فقها چنین استفاده می‌شود که این قضیّه را به عنوان یک قاعده مستقل تلقی و در فروع مختلف به آن استناد می‌کنند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همانطور که گفته شد، نسبت این دو قاعده به هم،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قاعده اقرار برای مواردی است که فرد بخواهد بر ضد خود اقراری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 من ملک اعم از اقرار بر ضد یا به نفع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قاعده من ملک محدود به مواردی است که مقر مجاز در تصرف باشد ولی در قاعده</w:t>
      </w:r>
      <w:bookmarkStart w:id="311" w:name="pg5537_41430"/>
    </w:p>
    <w:p>
      <w:pPr>
        <w:pStyle w:val="BookText"/>
        <w:rPr/>
      </w:pPr>
      <w:bookmarkEnd w:id="311"/>
      <w:r>
        <w:rPr>
          <w:rFonts w:ascii="IRNazanin" w:hAnsi="IRNazanin" w:eastAsia="IRNazanin"/>
          <w:color w:val="111111"/>
          <w:sz w:val="28"/>
          <w:sz w:val="28"/>
          <w:szCs w:val="28"/>
          <w:rtl w:val="true"/>
          <w:lang w:bidi="fa-IR"/>
        </w:rPr>
        <w:t>اقرار چنین محدودیتی نیست</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312" w:name="__RefHeading___Toc2472253_581953129"/>
      <w:bookmarkStart w:id="313" w:name="_Toc120"/>
      <w:bookmarkEnd w:id="312"/>
      <w:r>
        <w:rPr>
          <w:rtl w:val="true"/>
        </w:rPr>
        <w:t>گفتار ششم</w:t>
      </w:r>
      <w:r>
        <w:rPr>
          <w:rtl w:val="true"/>
        </w:rPr>
        <w:t xml:space="preserve">: </w:t>
      </w:r>
      <w:r>
        <w:rPr>
          <w:rtl w:val="true"/>
        </w:rPr>
        <w:t>قاعدۀ فخریه</w:t>
      </w:r>
      <w:bookmarkEnd w:id="313"/>
    </w:p>
    <w:p>
      <w:pPr>
        <w:pStyle w:val="Heading6"/>
        <w:numPr>
          <w:ilvl w:val="5"/>
          <w:numId w:val="1"/>
        </w:numPr>
        <w:rPr/>
      </w:pPr>
      <w:bookmarkStart w:id="314" w:name="__RefHeading___Toc2472255_581953129"/>
      <w:bookmarkStart w:id="315" w:name="_Toc121"/>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گذشت که در کلمات مرحوم فخر المحققین قدس سره، قاعده‌ای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یلزم فعله أو إنشائه غیره یمضی إقراره بذلک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فعل یا انشاء کسی برای غیر الزام‌آور باشد؛ اقرار وی نیز بر غیر ممضی و الزام‌آور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قدس سره به اعتبار اینکه فخرالمحققین قدس سره اولین مطرح‌کنندۀ قاعدۀ مزبور بوده، از آن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تا کنون کسی به قاعدۀ فخریه به عنوان مستند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نکرده، اما مفاد آن به گونه ایست که تبیین نسبت دو قاعده را اجتناب ناپذیر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اینکه برخی فقها قاعدۀ فخریه را تعبیری دیگر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مساوق آن به شمار آورده‌اند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در مقابل دسته‌ای مانند شیخ انصاری قدس سره نسبت قاعدۀ فخریه را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و خصوص مطلق یا من وجه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ظاهر قاعدۀ فخریه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بیان مرحوم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اقرار ولی اجباری حتی بعد زوال ولایتش نافذ است؛ اما با این وجود اعتبار اقرار در قاعدۀ مزبور نیز مانند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اعتبار اقرار بعد از زوال سلطنت مورد اختلاف فقهاست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خلاف می‌باشد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سره در رسائل فقهیۀ خود تصریح کرده است این قاعده حتی بعد از زوال ولایت نیز جاری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bookmarkStart w:id="316" w:name="pg5537_41432"/>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بقرینة الاستناد إلیها فی قبول قول الوصیّ وأمین الحاکم إذا اختلفا مع المولّی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مضیّ الإقرار علی الغیر ولو بعد زوال الولایة</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مقابل مرحوم امام خمینی قدس سره عقیده دارد که قاعدۀ فخریه ظهور در فعلیتِ لزوم دارد و بعد از زوال ولایت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است که فخرالمحقّقین، دلیلی بر مدعای خویش نداشته و قاعدۀ مورد بحث تنها ظهور در زمان فعلیت نفوذ اقرار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در این خصوص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القضیة الفخریة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یلزم فعله غیره، یمضی إقراره بذلک الفعل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قاعدة شرعیة فظاهرة فی إمضاء إقراره فی زمان الإلزام، لا الزمان المتأخّر، مثل الولی فی زمان الولایة، والوصی فی زمان الوصایة، وذلک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تمسّک بها لما بعد زوال ملک التصرّف، کما حکی الشیخ عنه إلّاأنّه مطالب بدلیله بعد ظهور هذه القاعدة فی غیر مورده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بنابراین باید فرق بین دو قاعده از این دو جهت بررسی شده و نسبت ما بین آن دو تبیین گردد</w:t>
      </w:r>
      <w:r>
        <w:rPr>
          <w:rFonts w:eastAsia="IRNazanin" w:cs="IRNazanin"/>
          <w:color w:val="111111"/>
          <w:sz w:val="28"/>
          <w:szCs w:val="28"/>
          <w:rtl w:val="true"/>
          <w:lang w:bidi="fa-IR"/>
        </w:rPr>
        <w:t>.</w:t>
      </w:r>
    </w:p>
    <w:p>
      <w:pPr>
        <w:pStyle w:val="Heading6"/>
        <w:numPr>
          <w:ilvl w:val="5"/>
          <w:numId w:val="1"/>
        </w:numPr>
        <w:rPr/>
      </w:pPr>
      <w:bookmarkStart w:id="317" w:name="__RefHeading___Toc2472257_581953129"/>
      <w:bookmarkStart w:id="318" w:name="_Toc122"/>
      <w:bookmarkEnd w:id="317"/>
      <w:r>
        <w:rPr>
          <w:rtl w:val="true"/>
        </w:rPr>
        <w:t xml:space="preserve">رابطۀ قاعدۀ فخریه با قاعدۀ </w:t>
      </w:r>
      <w:r>
        <w:rPr>
          <w:rtl w:val="true"/>
        </w:rPr>
        <w:t>«</w:t>
      </w:r>
      <w:r>
        <w:rPr>
          <w:rtl w:val="true"/>
        </w:rPr>
        <w:t>من ملک</w:t>
      </w:r>
      <w:r>
        <w:rPr>
          <w:rtl w:val="true"/>
        </w:rPr>
        <w:t>»</w:t>
      </w:r>
      <w:bookmarkEnd w:id="31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مفاد دو قاعده از منظر مرحوم امام قدس سره و شیخ اعظم انصاری قدس سره موجب اختلاف نظر این دو در نسبت میان دو قاعده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رابطۀ صحیح بین دو قاعده، ناگزیر از ذکر کلام این دو بزرگوار هستیم</w:t>
      </w:r>
      <w:r>
        <w:rPr>
          <w:rFonts w:eastAsia="IRNazanin" w:cs="IRNazanin"/>
          <w:color w:val="111111"/>
          <w:sz w:val="28"/>
          <w:szCs w:val="28"/>
          <w:rtl w:val="true"/>
          <w:lang w:bidi="fa-IR"/>
        </w:rPr>
        <w:t>.</w:t>
      </w:r>
      <w:bookmarkStart w:id="319" w:name="pg5537_41434"/>
    </w:p>
    <w:p>
      <w:pPr>
        <w:pStyle w:val="Heading6"/>
        <w:numPr>
          <w:ilvl w:val="5"/>
          <w:numId w:val="1"/>
        </w:numPr>
        <w:rPr/>
      </w:pPr>
      <w:bookmarkStart w:id="320" w:name="__RefHeading___Toc2472259_581953129"/>
      <w:bookmarkStart w:id="321" w:name="_Toc123"/>
      <w:bookmarkEnd w:id="319"/>
      <w:bookmarkEnd w:id="320"/>
      <w:r>
        <w:rPr>
          <w:rtl w:val="true"/>
        </w:rPr>
        <w:t xml:space="preserve">نسبت قاعدۀ فخریه با قاعدۀ </w:t>
      </w:r>
      <w:r>
        <w:rPr>
          <w:rtl w:val="true"/>
        </w:rPr>
        <w:t>«</w:t>
      </w:r>
      <w:r>
        <w:rPr>
          <w:rtl w:val="true"/>
        </w:rPr>
        <w:t>من ملک</w:t>
      </w:r>
      <w:r>
        <w:rPr>
          <w:rtl w:val="true"/>
        </w:rPr>
        <w:t xml:space="preserve">» </w:t>
      </w:r>
      <w:r>
        <w:rPr>
          <w:rtl w:val="true"/>
        </w:rPr>
        <w:t>در کلام شیخ انصاری</w:t>
      </w:r>
      <w:bookmarkEnd w:id="321"/>
    </w:p>
    <w:p>
      <w:pPr>
        <w:pStyle w:val="BookText"/>
        <w:rPr/>
      </w:pPr>
      <w:r>
        <w:rPr>
          <w:rFonts w:ascii="IRNazanin" w:hAnsi="IRNazanin" w:eastAsia="IRNazanin"/>
          <w:color w:val="111111"/>
          <w:sz w:val="28"/>
          <w:sz w:val="28"/>
          <w:szCs w:val="28"/>
          <w:rtl w:val="true"/>
          <w:lang w:bidi="fa-IR"/>
        </w:rPr>
        <w:t xml:space="preserve">در کلام شیخ انصاری قدس سره دو احتمال برای مفاد قاعدۀ فخریه ذکر شده که وفق هر کدام از دو احتمال، نسبت قاعدۀ مزبور با دو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خواهد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أرید من لزوم فعل المقرّ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مضیّه ولو من جهة نصب المالک أو الشارع له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مطلقا من القاعدتین، لشمولها لولیّ النکاح الإجباریّ النافذ إقراره علی المرأة</w:t>
      </w:r>
      <w:r>
        <w:rPr>
          <w:rFonts w:eastAsia="IRNazanin" w:cs="IRNazanin"/>
          <w:color w:val="111111"/>
          <w:sz w:val="28"/>
          <w:szCs w:val="28"/>
          <w:rtl w:val="true"/>
          <w:lang w:bidi="fa-IR"/>
        </w:rPr>
        <w:t>».</w:t>
      </w:r>
      <w:r>
        <w:rPr>
          <w:rStyle w:val="FootnoteAnchor"/>
          <w:rtl w:val="true"/>
        </w:rPr>
        <w:footnoteReference w:id="27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مراد از لزوم فعل مقرّ نسبت به غیر را، مجرّد نفوذ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نفوذ مزبور از این جهت باشد که مالک اصلی یا شارع وی را به عنوان کسی که فعلش موجب الزام غیر می‌شود، نصب کرده باشد؛ مثل ولی که منصوب شارع است، یا وکیل که از طرف خود مالک نصب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اولاً و بالذات، نفوذ از آنِ خود شارع یا مالک اصلی است، اما ثانیاً و بالعرض به شخصی مثل ولی یا وکیل آنهم به نصب خود شارع یا مالک تعلق 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قاعدۀ فخریه اعم مطلق از دو قاعدۀ ایتمان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موردی وجود دارد که مشمول قاعدۀ فخریه هست، اما تحت شمول دو قاعدۀ إئتمان و من ملک نمی‌باشد؛ و آن این است که قاعدۀ فخریه شامل اقرار ولی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قهری مانند 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نکاح دختر در زمان صغر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هرگاه ولی اجباری بعد از اینکه دختر به سن بلوغ رسید به وی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کودکی به ازدواج زید درآورده‌ام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اقرار ولی وفق قاعدۀ فخریه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عقیدۀ شیخ انصاری، نفوذ اقرار ولی در قاعدۀ فخریه، بعد از انقضای ولایت نیز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اینکه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مورد فوق نمی‌شود، زوال سلطنت ولی اجباری بر نکاح صغیره بعد از</w:t>
      </w:r>
    </w:p>
    <w:p>
      <w:pPr>
        <w:pStyle w:val="BookText"/>
        <w:rPr/>
      </w:pPr>
      <w:r>
        <w:rPr>
          <w:rFonts w:ascii="IRNazanin" w:hAnsi="IRNazanin" w:eastAsia="IRNazanin"/>
          <w:color w:val="111111"/>
          <w:sz w:val="28"/>
          <w:sz w:val="28"/>
          <w:szCs w:val="28"/>
          <w:rtl w:val="true"/>
          <w:lang w:bidi="fa-IR"/>
        </w:rPr>
        <w:t>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اجباری بعد از بلوغ دختر سلطنت بر او ندارد، لذا اقرارش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إئتمان نیز شامل این مورد نیست؛ زیرا ولی بعد از زوال ولایت، عنوان امین را ندارد و به دیگر سخن امین بودن ولی، مقوّم به فعلیت ولایت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أرید منه لزومه علیه ابتداء لسلطنة علیه کأولیاء القاصرین فی المال‌النکاح کانت أعمّ من وجه من کلّ من القاعدتین، لاجتماع الکلّ فی إقرار ولیّ الصغیر ببیع ماله، وافتراق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الائتمان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فی إقرار الوکیل بعد العزل، وافتراق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إقرار الصبیّ بماله أن یفعل، و افتراق ما فی الإیضاح بإقرار الولیّ الإجباری بعد زوال الولایة بالنکاح فی حالها</w:t>
      </w:r>
      <w:r>
        <w:rPr>
          <w:rFonts w:eastAsia="IRNazanin" w:cs="IRNazanin"/>
          <w:color w:val="111111"/>
          <w:sz w:val="28"/>
          <w:szCs w:val="28"/>
          <w:rtl w:val="true"/>
          <w:lang w:bidi="fa-IR"/>
        </w:rPr>
        <w:t>».</w:t>
      </w:r>
      <w:r>
        <w:rPr>
          <w:rStyle w:val="FootnoteAnchor"/>
          <w:rtl w:val="true"/>
        </w:rPr>
        <w:footnoteReference w:id="27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لزوم فعل مقرّ بر غیر، نفوذ ابتدائی</w:t>
      </w:r>
      <w:r>
        <w:rPr>
          <w:rStyle w:val="FootnoteAnchor"/>
          <w:rtl w:val="true"/>
        </w:rPr>
        <w:footnoteReference w:id="278"/>
      </w:r>
      <w:r>
        <w:rPr>
          <w:rFonts w:ascii="IRNazanin" w:hAnsi="IRNazanin" w:eastAsia="IRNazanin"/>
          <w:color w:val="111111"/>
          <w:sz w:val="28"/>
          <w:sz w:val="28"/>
          <w:szCs w:val="28"/>
          <w:rtl w:val="true"/>
          <w:lang w:bidi="fa-IR"/>
        </w:rPr>
        <w:t xml:space="preserve">فعل وی برای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سلطنتی که بر فعل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اولیاء قاصر</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نسبت میان قاعدۀ فخریه با دو قاعده دیگر،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قاعدۀ فخریه با هر کدام از دو قاعده، یک مادۀ اجتماع و دو ماده‌ی افتراق دارد</w:t>
      </w:r>
      <w:r>
        <w:rPr>
          <w:rFonts w:eastAsia="IRNazanin" w:cs="IRNazanin"/>
          <w:color w:val="111111"/>
          <w:sz w:val="28"/>
          <w:szCs w:val="28"/>
          <w:rtl w:val="true"/>
          <w:lang w:bidi="fa-IR"/>
        </w:rPr>
        <w:t>.</w:t>
      </w:r>
      <w:r>
        <w:rPr>
          <w:rStyle w:val="FootnoteAnchor"/>
          <w:rtl w:val="true"/>
        </w:rPr>
        <w:footnoteReference w:id="280"/>
      </w:r>
      <w:bookmarkStart w:id="322" w:name="pg5537_41438"/>
    </w:p>
    <w:p>
      <w:pPr>
        <w:pStyle w:val="BookText"/>
        <w:rPr/>
      </w:pPr>
      <w:bookmarkEnd w:id="322"/>
      <w:r>
        <w:rPr>
          <w:rFonts w:ascii="IRNazanin" w:hAnsi="IRNazanin" w:eastAsia="IRNazanin"/>
          <w:color w:val="111111"/>
          <w:sz w:val="28"/>
          <w:sz w:val="28"/>
          <w:szCs w:val="28"/>
          <w:rtl w:val="true"/>
          <w:lang w:bidi="fa-IR"/>
        </w:rPr>
        <w:t>همچنین شیخ اعظم قدس سره در عبارت فوق به بیان موارد اجتماع و افتراق پرداخته و مصادیقی برای هر کدام ذکر نموده است</w:t>
      </w:r>
      <w:r>
        <w:rPr>
          <w:rFonts w:eastAsia="IRNazanin" w:cs="IRNazanin"/>
          <w:color w:val="111111"/>
          <w:sz w:val="28"/>
          <w:szCs w:val="28"/>
          <w:rtl w:val="true"/>
          <w:lang w:bidi="fa-IR"/>
        </w:rPr>
        <w:t>.</w:t>
      </w:r>
    </w:p>
    <w:p>
      <w:pPr>
        <w:pStyle w:val="Heading6"/>
        <w:numPr>
          <w:ilvl w:val="5"/>
          <w:numId w:val="1"/>
        </w:numPr>
        <w:rPr/>
      </w:pPr>
      <w:bookmarkStart w:id="323" w:name="__RefHeading___Toc2472261_581953129"/>
      <w:bookmarkStart w:id="324" w:name="_Toc124"/>
      <w:bookmarkEnd w:id="323"/>
      <w:r>
        <w:rPr>
          <w:rtl w:val="true"/>
        </w:rPr>
        <w:t>مادۀ اجتماع سه قاعده</w:t>
      </w:r>
      <w:bookmarkEnd w:id="324"/>
    </w:p>
    <w:p>
      <w:pPr>
        <w:pStyle w:val="BookText"/>
        <w:rPr/>
      </w:pPr>
      <w:r>
        <w:rPr>
          <w:rFonts w:ascii="IRNazanin" w:hAnsi="IRNazanin" w:eastAsia="IRNazanin"/>
          <w:color w:val="111111"/>
          <w:sz w:val="28"/>
          <w:sz w:val="28"/>
          <w:szCs w:val="28"/>
          <w:rtl w:val="true"/>
          <w:lang w:bidi="fa-IR"/>
        </w:rPr>
        <w:t xml:space="preserve">مادۀ اجتماع سه قاعده در جایی است که ولی صغیر قبل از بلوغ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مال او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قاعدۀ فخریه جاریست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فعل ولی الزام‌آور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ولی بر فروش مال صغیر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قاعدۀ إئتمان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ولی تا زمان بلوغ صغیر، نسبت به اموال وی امین محسوب می‌شود</w:t>
      </w:r>
      <w:r>
        <w:rPr>
          <w:rFonts w:eastAsia="IRNazanin" w:cs="IRNazanin"/>
          <w:color w:val="111111"/>
          <w:sz w:val="28"/>
          <w:szCs w:val="28"/>
          <w:rtl w:val="true"/>
          <w:lang w:bidi="fa-IR"/>
        </w:rPr>
        <w:t>).</w:t>
      </w:r>
    </w:p>
    <w:p>
      <w:pPr>
        <w:pStyle w:val="Heading6"/>
        <w:numPr>
          <w:ilvl w:val="5"/>
          <w:numId w:val="1"/>
        </w:numPr>
        <w:rPr/>
      </w:pPr>
      <w:bookmarkStart w:id="325" w:name="__RefHeading___Toc2472263_581953129"/>
      <w:bookmarkStart w:id="326" w:name="_Toc125"/>
      <w:bookmarkEnd w:id="325"/>
      <w:r>
        <w:rPr>
          <w:rtl w:val="true"/>
        </w:rPr>
        <w:t>مادۀ افتراق قاعدۀ إئتمان از قاعدۀ فخریه</w:t>
      </w:r>
      <w:bookmarkEnd w:id="3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موردی که مصداق قاعدۀ إئتمان باشد، اما قاعدۀ فخریه بر آن صدق نکند، اقرار وکیل بعد از عزل از وکالت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قدس سره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افتراق قاعدۀ الایتمان عنها</w:t>
      </w:r>
      <w:bookmarkStart w:id="327" w:name="pg5537_41439"/>
    </w:p>
    <w:p>
      <w:pPr>
        <w:pStyle w:val="BookText"/>
        <w:rPr/>
      </w:pPr>
      <w:bookmarkEnd w:id="327"/>
      <w:r>
        <w:rPr>
          <w:rFonts w:ascii="IRNazanin" w:hAnsi="IRNazanin" w:eastAsia="IRNazanin"/>
          <w:color w:val="111111"/>
          <w:sz w:val="28"/>
          <w:sz w:val="28"/>
          <w:szCs w:val="28"/>
          <w:rtl w:val="true"/>
          <w:lang w:bidi="fa-IR"/>
        </w:rPr>
        <w:t>فی اقرار الوکیل بعد 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قدس سره در مقام ذکر مصداقی است که مشمول قاعده ایتمان باشد ولی قاعدۀ فخریه در آن جاری نباشد؛ و آن این است که اگر وکیل بعد از عزل شدن از وکالت، اقرار به انجام فعل موکلُ به نماید، چنین اقراری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وفق احتمال دوّم، اقرار وکیل پس از عزل دیگر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قول وکیل اولاً و بالذات نافذ نیست؛ بلکه قول موکل است که اولاً و بالذات نافذ بوده و در حقیقت، نفوذ قول وکیل به اعتبار موکل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اقرار وکیل وفق قاعدۀ ایتمان بایستی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وکیل نسبت به مورد وکالت امین است و حتّی پس از عزل نیز می‌تواند نسبت به آن اقرار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مرحوم شیخ قدس سره در مقام بیان مثال برای صورتی است که قاعدۀ فخریه را طبق احتمال دوم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قاعدۀ فخریه تنها اقرار کسانی را در بر می‌گیرد که سلطنت اولی و ذاتی بر فعل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سلطنت وکیل یا عبد مأذون بر فعل، ثانیاً و بالعرض بوده و به جهت نصب مالک اصلی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 شیخ به خوبی بر مدعای خویش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اقرار وکیل بعد از عزل، نه مشمول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سلطنت وکیل زایل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قاعدۀ فخریه به معنای دوم شامل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سلطنت وکیل، ابتدائی و مستقل برأسه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قاعدۀ إئتمان در اینجا جاریست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وکیل، امین بوده و اقرار امین حتی بعد از انقضای زمان امانت مسموع است</w:t>
      </w:r>
      <w:r>
        <w:rPr>
          <w:rFonts w:eastAsia="IRNazanin" w:cs="IRNazanin"/>
          <w:color w:val="111111"/>
          <w:sz w:val="28"/>
          <w:szCs w:val="28"/>
          <w:rtl w:val="true"/>
          <w:lang w:bidi="fa-IR"/>
        </w:rPr>
        <w:t>).</w:t>
      </w:r>
    </w:p>
    <w:p>
      <w:pPr>
        <w:pStyle w:val="Heading6"/>
        <w:numPr>
          <w:ilvl w:val="5"/>
          <w:numId w:val="1"/>
        </w:numPr>
        <w:rPr/>
      </w:pPr>
      <w:bookmarkStart w:id="328" w:name="__RefHeading___Toc2472265_581953129"/>
      <w:bookmarkStart w:id="329" w:name="_Toc126"/>
      <w:bookmarkEnd w:id="328"/>
      <w:r>
        <w:rPr>
          <w:rtl w:val="true"/>
        </w:rPr>
        <w:t xml:space="preserve">مادۀ افتراق قاعدۀ </w:t>
      </w:r>
      <w:r>
        <w:rPr>
          <w:rtl w:val="true"/>
        </w:rPr>
        <w:t>«</w:t>
      </w:r>
      <w:r>
        <w:rPr>
          <w:rtl w:val="true"/>
        </w:rPr>
        <w:t>من ملک</w:t>
      </w:r>
      <w:r>
        <w:rPr>
          <w:rtl w:val="true"/>
        </w:rPr>
        <w:t xml:space="preserve">» </w:t>
      </w:r>
      <w:r>
        <w:rPr>
          <w:rtl w:val="true"/>
        </w:rPr>
        <w:t>از قاعدۀ فخریه</w:t>
      </w:r>
      <w:bookmarkEnd w:id="3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صبی پیرامون آنچه که صلاحیت انجام 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وقف و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کند، مشمول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اقرار صبی در مورد آنچه سلطنت دارد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قاعدۀ فخریه در این فرع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اقرار صبی بر غیر الزام‌آور نبوده و تنها دال بر صحّت عمل خود وی می‌باشد و قاعدۀ فخریه به این معناست که</w:t>
      </w:r>
      <w:bookmarkStart w:id="330" w:name="pg5537_41441"/>
    </w:p>
    <w:p>
      <w:pPr>
        <w:pStyle w:val="BookText"/>
        <w:rPr/>
      </w:pPr>
      <w:bookmarkEnd w:id="330"/>
      <w:r>
        <w:rPr>
          <w:rFonts w:ascii="IRNazanin" w:hAnsi="IRNazanin" w:eastAsia="IRNazanin"/>
          <w:color w:val="111111"/>
          <w:sz w:val="28"/>
          <w:sz w:val="28"/>
          <w:szCs w:val="28"/>
          <w:rtl w:val="true"/>
          <w:lang w:bidi="fa-IR"/>
        </w:rPr>
        <w:t>اقرار، در حقّ غیر نافذ است؛ در حالی که اینجا غیری وجود ندارد تا اقرار صبی برای او الزام‌آور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مفاد قاعدۀ فخریه آن است که فعل یا انشاء کسی نسبت به غیر نافذ باشد، در حالی که در وقف یا وصیت صبی، اقرار وی نسبت به عمل خویش نافذ بوده و نیازی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تصوّر غیر نیز این اقرار نافذ می‌باشد</w:t>
      </w:r>
      <w:r>
        <w:rPr>
          <w:rFonts w:eastAsia="IRNazanin" w:cs="IRNazanin"/>
          <w:color w:val="111111"/>
          <w:sz w:val="28"/>
          <w:szCs w:val="28"/>
          <w:rtl w:val="true"/>
          <w:lang w:bidi="fa-IR"/>
        </w:rPr>
        <w:t>.</w:t>
      </w:r>
      <w:r>
        <w:rPr>
          <w:rStyle w:val="FootnoteAnchor"/>
          <w:rtl w:val="true"/>
        </w:rPr>
        <w:footnoteReference w:id="281"/>
      </w:r>
    </w:p>
    <w:p>
      <w:pPr>
        <w:pStyle w:val="Heading6"/>
        <w:numPr>
          <w:ilvl w:val="5"/>
          <w:numId w:val="1"/>
        </w:numPr>
        <w:rPr/>
      </w:pPr>
      <w:bookmarkStart w:id="331" w:name="__RefHeading___Toc2472267_581953129"/>
      <w:bookmarkStart w:id="332" w:name="_Toc127"/>
      <w:bookmarkEnd w:id="331"/>
      <w:r>
        <w:rPr>
          <w:rtl w:val="true"/>
        </w:rPr>
        <w:t>مادۀ افتراق قاعدۀ فخریه از دو قاعده</w:t>
      </w:r>
      <w:bookmarkEnd w:id="332"/>
    </w:p>
    <w:p>
      <w:pPr>
        <w:pStyle w:val="BookText"/>
        <w:rPr/>
      </w:pPr>
      <w:r>
        <w:rPr>
          <w:rFonts w:ascii="IRNazanin" w:hAnsi="IRNazanin" w:eastAsia="IRNazanin"/>
          <w:color w:val="111111"/>
          <w:sz w:val="28"/>
          <w:sz w:val="28"/>
          <w:szCs w:val="28"/>
          <w:rtl w:val="true"/>
          <w:lang w:bidi="fa-IR"/>
        </w:rPr>
        <w:t xml:space="preserve">موردی که مرحوم فخر قدس سره در ایضاح، قاعده را در ضمن آن مطرح نموده و آن اقرار ولی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غیر مالی مانند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زوال ولایت می‌باشد؛ مجرای قاعدۀ فخریه است، اما دو قاعدۀ دیگر در آن جریان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جریان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ولی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زوال ولایت دیگر سلطنت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ایتمان نیز از این جهت که ولی قهری بعد از زوال ولایتش عنوان امین ندارد، جاری نمی‌گردد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وفق احتمال دوم شیخ انصاری قدس سره، قاعدۀ فخریه نسبت به دو قاعدۀ مزبور، عام و خاص من وجه خواهد بود</w:t>
      </w:r>
      <w:r>
        <w:rPr>
          <w:rFonts w:eastAsia="IRNazanin" w:cs="IRNazanin"/>
          <w:color w:val="111111"/>
          <w:sz w:val="28"/>
          <w:szCs w:val="28"/>
          <w:rtl w:val="true"/>
          <w:lang w:bidi="fa-IR"/>
        </w:rPr>
        <w:t>.</w:t>
      </w:r>
      <w:bookmarkStart w:id="333" w:name="pg5537_41442"/>
    </w:p>
    <w:p>
      <w:pPr>
        <w:pStyle w:val="Heading6"/>
        <w:numPr>
          <w:ilvl w:val="5"/>
          <w:numId w:val="1"/>
        </w:numPr>
        <w:rPr/>
      </w:pPr>
      <w:bookmarkStart w:id="334" w:name="__RefHeading___Toc2472269_581953129"/>
      <w:bookmarkStart w:id="335" w:name="_Toc128"/>
      <w:bookmarkEnd w:id="333"/>
      <w:bookmarkEnd w:id="334"/>
      <w:r>
        <w:rPr>
          <w:rtl w:val="true"/>
        </w:rPr>
        <w:t xml:space="preserve">نسبت قاعدۀ فخریه با قاعدۀ </w:t>
      </w:r>
      <w:r>
        <w:rPr>
          <w:rtl w:val="true"/>
        </w:rPr>
        <w:t>«</w:t>
      </w:r>
      <w:r>
        <w:rPr>
          <w:rtl w:val="true"/>
        </w:rPr>
        <w:t>من ملک</w:t>
      </w:r>
      <w:r>
        <w:rPr>
          <w:rtl w:val="true"/>
        </w:rPr>
        <w:t xml:space="preserve">» </w:t>
      </w:r>
      <w:r>
        <w:rPr>
          <w:rtl w:val="true"/>
        </w:rPr>
        <w:t>در کلام امام خمینی</w:t>
      </w:r>
      <w:bookmarkEnd w:id="335"/>
    </w:p>
    <w:p>
      <w:pPr>
        <w:pStyle w:val="Heading6"/>
        <w:numPr>
          <w:ilvl w:val="5"/>
          <w:numId w:val="1"/>
        </w:numPr>
        <w:rPr/>
      </w:pPr>
      <w:bookmarkStart w:id="336" w:name="__RefHeading___Toc2472271_581953129"/>
      <w:bookmarkStart w:id="337" w:name="_Toc129"/>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گذشت که میان شیخ اعظم قدس سره و امام خمینی قدس سره در مورد قاعدۀ فخریه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قدس سره معتقد است قاعده حتی بعد از زوال لزوم نیز جاری است و اقرار ولی بعد از انقضای ولایت نافذ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امام قدس سره عقیده دارد که قاعدۀ فخریه ظهور در فعلیتِ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شرط جریان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فعلیت سلطنت است، قاعدۀ فخریه نیز تنها در صورتی جاری است که لزوم، فعلی باشد و بعد از زوال ولایت و نظایر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نظر در مورد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بر انجام 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مرحوم امام عقیده دارد که مراد از ملکیت، همان معنای اصطلاحی آن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با این توضیح سراغ عبارت مرحوم امام قدس سره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احتمال مذکور در کلام شیخ را آورده و هر دو را مورد مناقشه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 خود را پیرامون نسبت قاعدۀ فخریه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می‌نماید</w:t>
      </w:r>
      <w:r>
        <w:rPr>
          <w:rFonts w:eastAsia="IRNazanin" w:cs="IRNazanin"/>
          <w:color w:val="111111"/>
          <w:sz w:val="28"/>
          <w:szCs w:val="28"/>
          <w:rtl w:val="true"/>
          <w:lang w:bidi="fa-IR"/>
        </w:rPr>
        <w:t>.</w:t>
      </w:r>
    </w:p>
    <w:p>
      <w:pPr>
        <w:pStyle w:val="Heading6"/>
        <w:numPr>
          <w:ilvl w:val="5"/>
          <w:numId w:val="1"/>
        </w:numPr>
        <w:rPr/>
      </w:pPr>
      <w:bookmarkStart w:id="338" w:name="__RefHeading___Toc2472273_581953129"/>
      <w:bookmarkStart w:id="339" w:name="_Toc130"/>
      <w:bookmarkEnd w:id="338"/>
      <w:r>
        <w:rPr>
          <w:rtl w:val="true"/>
        </w:rPr>
        <w:t>اشکال امام خمینی بر احتمال اول</w:t>
      </w:r>
      <w:bookmarkEnd w:id="339"/>
    </w:p>
    <w:p>
      <w:pPr>
        <w:pStyle w:val="BookText"/>
        <w:rPr/>
      </w:pPr>
      <w:r>
        <w:rPr>
          <w:rFonts w:ascii="IRNazanin" w:hAnsi="IRNazanin" w:eastAsia="IRNazanin"/>
          <w:color w:val="111111"/>
          <w:sz w:val="28"/>
          <w:sz w:val="28"/>
          <w:szCs w:val="28"/>
          <w:rtl w:val="true"/>
          <w:lang w:bidi="fa-IR"/>
        </w:rPr>
        <w:t>وی در خصوص احتمال اول می‌نویسد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فی التردید الأوّل من أعمّیة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من القاعدتین؛ لشمولها لولی النکاح الإجباری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شاملة للأصیل، بخلاف القاعدة الفخریة، فحینئذٍ بناءً علی ما ذکرنا من ظهورها فی فعلیة اللزوم تکون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مطلقاً منها؛ بناءً علی تفسیر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فسّرها</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السلطنة لشمولها للأصیل وغیره، وعدم شمول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واختصاصه بغیره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یعنی احتمال اول شیخ قدس سره که وفق آن، قاعدۀ فخریه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در بر گرفتن اقرار ولی اجباری مبنی بر نکاح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مطلق از دو قاعدۀ دیگر است، مبتلا به دو ایراد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اول خود دارای دو قسمت است که شرح آن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شیخ انصاری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شمول قاعده بر اصیل و غیر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مزبور شامل اقرار اصیل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وفق مبنای ما در قاعدۀ فخریه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اجرای آن را مشروط به فعلیت لزوم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فخریه اصیل را در بر نمی‌گیرد و اختصاص به غیر اصیل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ظاهر قاعده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آن، می‌تواند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قاعده در جهت تأیید اقرار وکیل و ولی بر موکل و مولّی علیه است؛ نه در صدد اثبات نفوذ قول خود 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فرضی که ذکر شد، اعم مطلق از قاعدۀ فخریه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ماحصل کلام مرحوم امام قدس سره این است که چنانچه بپذیریم لزوم در قاعدۀ فخریه، به معنای فعلیت لزوم است؛ با توجه به دو مطلب بایستی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از قاعدۀ یاد شده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شیخ انصاری قدس سره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سلطنت تفسیر نموده و در نتیجه مورد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تفسیر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اصیل و غیر اصیل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قاعدۀ فخریه ظهور در غیر اصیل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قسمت دوم از ایراد اول خویش بر مرحوم شیخ قدس سره را بیان نموده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بناءً علی ما أفاده قدس سره من شمول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بعد اللزوم فیکون بینهما عموم من وجه؛ لشمول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للأصیل دونه، وشمول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بعد اللزوم دونها، واجتماعهما فی زمن اللزوم فی غیر الأصیل</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وفق مبنای شیخ قدس سره در قاعدۀ فخریه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یلزم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زمان لزوم نیز نافذ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دو قاعده،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اجتماع دو قاعده در جایی است که اقرار توسط غیر اصیل در زمان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افتراق قاعدۀ من ملک از فخریه، اقرار اصیل می‌باشد که خارج از شمول قاعدۀ فخریه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افتراق قاعدۀ فخریه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موردی است که اقرار بعد از زوال لزوم واقع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ادعای شیخ مبنی بر اعم مطلق بودن قاعدۀ فخریه در احتمال اول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امام قدس سره ایراد دوم را چنین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الائتمان 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ذلک أعمّ من الائتمان الشرعی والمالکی، فلا یکون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منها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یعنی قاعدۀ إئتمان وفق بیان شیخ قدس سره، اعم از ایتمان شرعی و مالکی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قاعدۀ فخریه اعم از آن نمی‌تواند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اشکال امام خمینی قدس سره بر احتمال اول شیخ اعظم قدس سره این است که وفق احتمال اوّل خود شیخ، قاعدۀ فخریه اعم مطلق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طبق برخی مبانی،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مطلق است و طبق برخی مبانی دیگر، نسبت میان دو قاعده، عموم و خصوص من وجه است</w:t>
      </w:r>
      <w:r>
        <w:rPr>
          <w:rFonts w:eastAsia="IRNazanin" w:cs="IRNazanin"/>
          <w:color w:val="111111"/>
          <w:sz w:val="28"/>
          <w:szCs w:val="28"/>
          <w:rtl w:val="true"/>
          <w:lang w:bidi="fa-IR"/>
        </w:rPr>
        <w:t>.</w:t>
      </w:r>
      <w:bookmarkStart w:id="340" w:name="pg5537_41447"/>
    </w:p>
    <w:p>
      <w:pPr>
        <w:pStyle w:val="BookText"/>
        <w:rPr/>
      </w:pPr>
      <w:bookmarkEnd w:id="340"/>
      <w:r>
        <w:rPr>
          <w:rFonts w:ascii="IRNazanin" w:hAnsi="IRNazanin" w:eastAsia="IRNazanin"/>
          <w:color w:val="111111"/>
          <w:sz w:val="28"/>
          <w:sz w:val="28"/>
          <w:szCs w:val="28"/>
          <w:rtl w:val="true"/>
          <w:lang w:bidi="fa-IR"/>
        </w:rPr>
        <w:t>همچنین قاعدۀ فخریه اعم مطلق از قاعدۀ ایتمان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قاعدۀ فخریه در صورتی اعم مطلق است که مقصود از ایتمان، خصوص ایتمان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ایتمان مزبور، اعم از شرعی و مالکی باشد، در این صورت نسبت بین دو قاعده، عموم و خصوص من وجه خواهد بود</w:t>
      </w:r>
      <w:r>
        <w:rPr>
          <w:rFonts w:eastAsia="IRNazanin" w:cs="IRNazanin"/>
          <w:color w:val="111111"/>
          <w:sz w:val="28"/>
          <w:szCs w:val="28"/>
          <w:rtl w:val="true"/>
          <w:lang w:bidi="fa-IR"/>
        </w:rPr>
        <w:t>.</w:t>
      </w:r>
    </w:p>
    <w:p>
      <w:pPr>
        <w:pStyle w:val="Heading6"/>
        <w:numPr>
          <w:ilvl w:val="5"/>
          <w:numId w:val="1"/>
        </w:numPr>
        <w:rPr/>
      </w:pPr>
      <w:bookmarkStart w:id="341" w:name="__RefHeading___Toc2472275_581953129"/>
      <w:bookmarkStart w:id="342" w:name="_Toc131"/>
      <w:bookmarkEnd w:id="341"/>
      <w:r>
        <w:rPr>
          <w:rtl w:val="true"/>
        </w:rPr>
        <w:t>اشکال امام خمینی بر احتمال دوم</w:t>
      </w:r>
      <w:bookmarkEnd w:id="342"/>
    </w:p>
    <w:p>
      <w:pPr>
        <w:pStyle w:val="BookText"/>
        <w:rPr/>
      </w:pPr>
      <w:r>
        <w:rPr>
          <w:rFonts w:ascii="IRNazanin" w:hAnsi="IRNazanin" w:eastAsia="IRNazanin"/>
          <w:color w:val="111111"/>
          <w:sz w:val="28"/>
          <w:sz w:val="28"/>
          <w:szCs w:val="28"/>
          <w:rtl w:val="true"/>
          <w:lang w:bidi="fa-IR"/>
        </w:rPr>
        <w:t>مرحوم امام قدس سره عبارت شیخ را در احتمال دوم به گونه‌ای دیگر معنا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ثانی شقّی التردید، فلعلّ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 الابتدائی والسلطنة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اللزوم الجعلی بجعل الشارع أو المالک؛ بدعوی أنّ ولایة الأب والجدّ مثلاً ولایة عرفیة إمضائیة من الشارع، لا جعلیة اختراعیة</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شاید مراد شیخ قدس سره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ابتدائی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در مقابل لزوم جعلی به جعل مالک یا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به عنوان مثال، ولایت پدر و جد ولایت عرفی است که مورد تأیید شارع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أب و جد که اولیاء قهری محجورین هستند، به دلیل جعل و تأسیس شارع نیست، بلکه ولایتی است که بنای عرف و عقلای عالم بر آن بوده و شارع نیز آن را امضا نموده است؛ اما لزوم فعل در وکیل و نظایر آن، جعلی و اختراعی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فعل وکیل به دلیل جعل سلطنت از سوی 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حیطۀ مشخصی الزام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سپس ادامه می‌دهد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علیه یکون بینها وبین قاعدة الائتمان مباینة؛ لاختصاصها بالجعلیة،</w:t>
      </w:r>
      <w:bookmarkStart w:id="343" w:name="pg5537_41450"/>
    </w:p>
    <w:p>
      <w:pPr>
        <w:pStyle w:val="BookText"/>
        <w:rPr/>
      </w:pPr>
      <w:bookmarkEnd w:id="343"/>
      <w:r>
        <w:rPr>
          <w:rFonts w:ascii="IRNazanin" w:hAnsi="IRNazanin" w:eastAsia="IRNazanin"/>
          <w:color w:val="111111"/>
          <w:sz w:val="28"/>
          <w:sz w:val="28"/>
          <w:szCs w:val="28"/>
          <w:rtl w:val="true"/>
          <w:lang w:bidi="fa-IR"/>
        </w:rPr>
        <w:t xml:space="preserve">و اختصاص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بالإمضائیة، أو تکون الائتمان أعمّ مطلقاً منها؛ لو لم نقل باختصاصها بالجعلیة</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این صورت بین قاعدۀ فخریه با قاعدۀ ایتمان، دو نسبت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به اینکه قاعدۀ إئتمان، اختصاص به مواردی دارد که لزوم فعل مقر بصورت جعلی باشد؛ نسبت دو قاعده تباین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وفق احتمال دوم شیخ قدس سره، قاعدۀ فخریه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مواردی که لزوم فعل به صورت ابتدائی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امام قدس سره امضایی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اختصاص قاعدۀ إئتمان، به مواردی که لزوم فعل مقر بصورت جعلی است، نباشیم و آن را اعم از موارد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در این صورت قاعدۀ إئتمان، اعم مطلق از قاعدۀ فخریه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کلام مرحوم امام قدس سره این است که در هر صورت وفق احتمال دوم شیخ قدس سره، نسبت دو قاعدۀ إئتمان و فخریه، عموم و خصوص من وجه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یک صورت تباین، و در صورت دیگر عموم و خصوص مطلق است</w:t>
      </w:r>
      <w:r>
        <w:rPr>
          <w:rFonts w:eastAsia="IRNazanin" w:cs="IRNazanin"/>
          <w:color w:val="111111"/>
          <w:sz w:val="28"/>
          <w:szCs w:val="28"/>
          <w:rtl w:val="true"/>
          <w:lang w:bidi="fa-IR"/>
        </w:rPr>
        <w:t>.</w:t>
      </w:r>
    </w:p>
    <w:p>
      <w:pPr>
        <w:pStyle w:val="Heading6"/>
        <w:numPr>
          <w:ilvl w:val="5"/>
          <w:numId w:val="1"/>
        </w:numPr>
        <w:rPr/>
      </w:pPr>
      <w:bookmarkStart w:id="344" w:name="__RefHeading___Toc2472277_581953129"/>
      <w:bookmarkStart w:id="345" w:name="_Toc132"/>
      <w:bookmarkEnd w:id="344"/>
      <w:r>
        <w:rPr>
          <w:rtl w:val="true"/>
        </w:rPr>
        <w:t>مناقشه حضرت استاد بر امام خمینی</w:t>
      </w:r>
      <w:bookmarkEnd w:id="345"/>
    </w:p>
    <w:p>
      <w:pPr>
        <w:pStyle w:val="BookText"/>
        <w:rPr/>
      </w:pPr>
      <w:r>
        <w:rPr>
          <w:rFonts w:ascii="IRNazanin" w:hAnsi="IRNazanin" w:eastAsia="IRNazanin"/>
          <w:color w:val="111111"/>
          <w:sz w:val="28"/>
          <w:sz w:val="28"/>
          <w:szCs w:val="28"/>
          <w:rtl w:val="true"/>
          <w:lang w:bidi="fa-IR"/>
        </w:rPr>
        <w:t>اولاً این تفسیر امام قدس سره با ظاهر عبارت شیخ قدس سره سازگاری ندارد و ظاهر همان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مرحوم شیخ در مقام بیان تفاوت بین ولایت تأسیسی و امضائی نیست، بلکه با توجه به دو احتمال مطروحه و توضیحات پیرامون آن می‌توان ادعا کرد که شیخ می‌خواهد نفوذ اقرار را از حیث ابتدائی یا ثانوی بودن لزوم فعل تقسیم نماید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ولایت پدر و جد پدری یقیناً تأسیسی از سوی شارع است؛ نه اینکه ولایتی عرفی و امضائی باشد</w:t>
      </w:r>
      <w:r>
        <w:rPr>
          <w:rFonts w:eastAsia="IRNazanin" w:cs="IRNazanin"/>
          <w:color w:val="111111"/>
          <w:sz w:val="28"/>
          <w:szCs w:val="28"/>
          <w:rtl w:val="true"/>
          <w:lang w:bidi="fa-IR"/>
        </w:rPr>
        <w:t>.</w:t>
      </w:r>
      <w:r>
        <w:rPr>
          <w:rStyle w:val="FootnoteAnchor"/>
          <w:rtl w:val="true"/>
        </w:rPr>
        <w:footnoteReference w:id="288"/>
      </w:r>
      <w:bookmarkStart w:id="346" w:name="pg5537_41453"/>
    </w:p>
    <w:p>
      <w:pPr>
        <w:pStyle w:val="Heading6"/>
        <w:numPr>
          <w:ilvl w:val="5"/>
          <w:numId w:val="1"/>
        </w:numPr>
        <w:rPr/>
      </w:pPr>
      <w:bookmarkStart w:id="347" w:name="__RefHeading___Toc2472279_581953129"/>
      <w:bookmarkStart w:id="348" w:name="_Toc133"/>
      <w:bookmarkEnd w:id="346"/>
      <w:bookmarkEnd w:id="347"/>
      <w:r>
        <w:rPr>
          <w:rtl w:val="true"/>
        </w:rPr>
        <w:t>نظر حضرت استاد پیرامون نسبت دو قاعده</w:t>
      </w:r>
      <w:bookmarkEnd w:id="348"/>
    </w:p>
    <w:p>
      <w:pPr>
        <w:pStyle w:val="BookText"/>
        <w:rPr/>
      </w:pPr>
      <w:r>
        <w:rPr>
          <w:rFonts w:ascii="IRNazanin" w:hAnsi="IRNazanin" w:eastAsia="IRNazanin"/>
          <w:color w:val="111111"/>
          <w:sz w:val="28"/>
          <w:sz w:val="28"/>
          <w:szCs w:val="28"/>
          <w:rtl w:val="true"/>
          <w:lang w:bidi="fa-IR"/>
        </w:rPr>
        <w:t xml:space="preserve">گذشت که شیخ اعظم قدس سره قاعدۀ فخریه را بنا بر احتمال نخست، اعم مطلق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وفق احتمال دوم، نسبت آن دو را عموم و خصوص من وجه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امام قدس سره عقیده دارد که در احتمال اول وفق یک مبنا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مطلق از فخریه است، و وفق مبنای دیگر نسبت دو قاعده عام و خاص من وجه بوده و در احتمال دوم نیز نسبت بین دو قاعده یا تباین است و یا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اعم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دید دو احتمالی که مرحوم شیخ قدس سره آورده، در کلام فخر المحققین قدس سره وجهی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ظاهر کلام فخر المحققین قدس سره را بایستی مورد بررسی قرار دهیم تا ببینیم آیا دو احتمال شیخ قدس سره مورد نظر ایشان بوده یا اینکه وی به این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 و ثانوی بودن نفوذ یا امضائی و جعلی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فخر المحققین قدس سره این است که اگر انشاء لفظی یا فعل معاطاتی یا تصرّفات کسی نسبت به غیر الزام آور باشد، اقرار وی به همان فعل و انشاء نیز بر غیر الزام آور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جعلی و امضائی بودن، یا اولی و ثانوی بودن نفوذ، در قاعده اخذ نشده و اطلاق قاعده، در بر گیرندۀ تمام احتمالات ممکنه می‌باشد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به نظر می‌رسد که اقرار مقرّ در صورتی الزام بر غیر می‌آورد که در زمان نفوذ فعل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اقرار بعد از زمان لزوم،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زوج بعد از زمان عدّه اقرار به رجوع کند، این اقرار بر زن الزام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پذیرفت که ولی دختر، چندین سال پس از سپری شدن زمان ولایتش اقرار کند که وی را در عهد صغر، به ازدواج دیگری درآورده، واین اقرار نافذ باشد؟ مگر اینکه اقامۀ بینه یا دلیل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نظر ما شرط اجرای هر سه قاعدۀ فخریه، إئتمان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فعلیت لزوم، امانت و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کلام شیخ قدس سره در اجرای قاعدۀ فخریه بعد از زمان لزوم وجهی ندارد و در اینجا حق با مرحوم امام قدس سره است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حیث اصیل یا غیر اصیل بودن مقر نیز حق با امام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قاعدۀ فخریه ظهور در غیر اصیل دارد</w:t>
      </w:r>
      <w:r>
        <w:rPr>
          <w:rStyle w:val="FootnoteAnchor"/>
          <w:rtl w:val="true"/>
        </w:rPr>
        <w:footnoteReference w:id="291"/>
      </w:r>
      <w:r>
        <w:rPr>
          <w:rFonts w:ascii="IRNazanin" w:hAnsi="IRNazanin" w:eastAsia="IRNazanin"/>
          <w:color w:val="111111"/>
          <w:sz w:val="28"/>
          <w:sz w:val="28"/>
          <w:szCs w:val="28"/>
          <w:rtl w:val="true"/>
          <w:lang w:bidi="fa-IR"/>
        </w:rPr>
        <w:t xml:space="preserve">اما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اطلاق دارد و اعم از اصیل و غیر اصیل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قاعدۀ فخریه اخصّ مطلق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نمی‌تواند مستمسک آن قرار گیرد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تاکنون گفته شد، روشن می‌گردد که هیچ کدام از شش دلیل مستفاد از قواعد دیگر، مستند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برای اثبات قاعدۀ مورد بحث نمی‌توان بدانها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ادلۀ حجیت قاعده، همان پنج دلیل مستقلی است که در بخش اول گذشت</w:t>
      </w:r>
      <w:r>
        <w:rPr>
          <w:rFonts w:eastAsia="IRNazanin" w:cs="IRNazanin"/>
          <w:color w:val="111111"/>
          <w:sz w:val="28"/>
          <w:szCs w:val="28"/>
          <w:rtl w:val="true"/>
          <w:lang w:bidi="fa-IR"/>
        </w:rPr>
        <w:t>.</w:t>
      </w:r>
      <w:r>
        <w:rPr>
          <w:rStyle w:val="FootnoteAnchor"/>
          <w:rtl w:val="true"/>
        </w:rPr>
        <w:footnoteReference w:id="294"/>
      </w:r>
      <w:bookmarkStart w:id="349" w:name="pg5537_41461"/>
    </w:p>
    <w:p>
      <w:pPr>
        <w:pStyle w:val="Heading2"/>
        <w:numPr>
          <w:ilvl w:val="1"/>
          <w:numId w:val="1"/>
        </w:numPr>
        <w:rPr/>
      </w:pPr>
      <w:bookmarkStart w:id="350" w:name="__RefHeading___Toc2472281_581953129"/>
      <w:bookmarkStart w:id="351" w:name="_Toc134"/>
      <w:bookmarkEnd w:id="349"/>
      <w:bookmarkEnd w:id="350"/>
      <w:r>
        <w:rPr>
          <w:rtl w:val="true"/>
        </w:rPr>
        <w:t>مبحث دوم</w:t>
      </w:r>
      <w:r>
        <w:rPr>
          <w:rtl w:val="true"/>
        </w:rPr>
        <w:t xml:space="preserve">: </w:t>
      </w:r>
      <w:r>
        <w:rPr>
          <w:rtl w:val="true"/>
        </w:rPr>
        <w:t xml:space="preserve">تبیین مفردات و حدود قاعدۀ </w:t>
      </w:r>
      <w:r>
        <w:rPr>
          <w:rtl w:val="true"/>
        </w:rPr>
        <w:t>«</w:t>
      </w:r>
      <w:r>
        <w:rPr>
          <w:rtl w:val="true"/>
        </w:rPr>
        <w:t>من ملک</w:t>
      </w:r>
      <w:r>
        <w:rPr>
          <w:rtl w:val="true"/>
        </w:rPr>
        <w:t>»</w:t>
      </w:r>
      <w:bookmarkEnd w:id="35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2472283_581953129"/>
      <w:bookmarkStart w:id="353" w:name="_Toc135"/>
      <w:bookmarkEnd w:id="352"/>
      <w:r>
        <w:rPr>
          <w:rtl w:val="true"/>
        </w:rPr>
        <w:t>اشاره</w:t>
      </w:r>
      <w:bookmarkStart w:id="354" w:name="pg5537_41465"/>
      <w:bookmarkEnd w:id="353"/>
    </w:p>
    <w:p>
      <w:pPr>
        <w:pStyle w:val="Heading3"/>
        <w:numPr>
          <w:ilvl w:val="2"/>
          <w:numId w:val="1"/>
        </w:numPr>
        <w:rPr/>
      </w:pPr>
      <w:bookmarkStart w:id="355" w:name="__RefHeading___Toc2472285_581953129"/>
      <w:bookmarkStart w:id="356" w:name="_Toc136"/>
      <w:bookmarkEnd w:id="354"/>
      <w:bookmarkEnd w:id="355"/>
      <w:r>
        <w:rPr>
          <w:rtl w:val="true"/>
        </w:rPr>
        <w:t>فصل اول</w:t>
      </w:r>
      <w:r>
        <w:rPr>
          <w:rtl w:val="true"/>
        </w:rPr>
        <w:t xml:space="preserve">: </w:t>
      </w:r>
      <w:r>
        <w:rPr>
          <w:rtl w:val="true"/>
        </w:rPr>
        <w:t xml:space="preserve">تبیین مفردات و حدود قاعدۀ </w:t>
      </w:r>
      <w:r>
        <w:rPr>
          <w:rtl w:val="true"/>
        </w:rPr>
        <w:t>«</w:t>
      </w:r>
      <w:r>
        <w:rPr>
          <w:rtl w:val="true"/>
        </w:rPr>
        <w:t>من ملک</w:t>
      </w:r>
      <w:r>
        <w:rPr>
          <w:rtl w:val="true"/>
        </w:rPr>
        <w:t>»</w:t>
      </w:r>
      <w:bookmarkEnd w:id="356"/>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یک قضیۀ شرطیه بوده و مانند سایر قضایای شرطیه، مرکب از دو قسمت است؛ شرط،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جزاء، که عبارت است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هر قضیه شرطیه، شرط به منزله موضوع حکم است و قیود هیأت به موضوع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آیۀ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جملۀ مَنِ اسْتَطاعَ إِلَیْهِ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مستطیع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مورد بحث نیز، موضوع حکمِ نفوذ اقرار، مالکیت شخص نسبت به مورد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هیأت واقعی قضیه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للشیء مالک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بر فعل، مالک بر اقرار آن نیز می‌باشد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برای تبیین دقیق مفاد قاعده، مفردات هر یک از عبارات شرط و جزا مورد بررسی قرار می‌گیرد</w:t>
      </w:r>
      <w:r>
        <w:rPr>
          <w:rFonts w:eastAsia="IRNazanin" w:cs="IRNazanin"/>
          <w:color w:val="111111"/>
          <w:sz w:val="28"/>
          <w:szCs w:val="28"/>
          <w:rtl w:val="true"/>
          <w:lang w:bidi="fa-IR"/>
        </w:rPr>
        <w:t>.</w:t>
      </w:r>
      <w:bookmarkStart w:id="357" w:name="pg5537_41469"/>
    </w:p>
    <w:p>
      <w:pPr>
        <w:pStyle w:val="Heading3"/>
        <w:numPr>
          <w:ilvl w:val="2"/>
          <w:numId w:val="1"/>
        </w:numPr>
        <w:rPr/>
      </w:pPr>
      <w:bookmarkStart w:id="358" w:name="__RefHeading___Toc2472287_581953129"/>
      <w:bookmarkStart w:id="359" w:name="_Toc137"/>
      <w:bookmarkEnd w:id="357"/>
      <w:bookmarkEnd w:id="358"/>
      <w:r>
        <w:rPr>
          <w:rtl w:val="true"/>
        </w:rPr>
        <w:t>فصل دوم</w:t>
      </w:r>
      <w:r>
        <w:rPr>
          <w:rtl w:val="true"/>
        </w:rPr>
        <w:t xml:space="preserve">: </w:t>
      </w:r>
      <w:r>
        <w:rPr>
          <w:rtl w:val="true"/>
        </w:rPr>
        <w:t xml:space="preserve">بررسی مفردات قاعدۀ </w:t>
      </w:r>
      <w:r>
        <w:rPr>
          <w:rtl w:val="true"/>
        </w:rPr>
        <w:t>«</w:t>
      </w:r>
      <w:r>
        <w:rPr>
          <w:rtl w:val="true"/>
        </w:rPr>
        <w:t>من ملک</w:t>
      </w:r>
      <w:r>
        <w:rPr>
          <w:rtl w:val="true"/>
        </w:rPr>
        <w:t>»</w:t>
      </w:r>
      <w:bookmarkEnd w:id="359"/>
    </w:p>
    <w:p>
      <w:pPr>
        <w:pStyle w:val="Heading4"/>
        <w:numPr>
          <w:ilvl w:val="3"/>
          <w:numId w:val="1"/>
        </w:numPr>
        <w:rPr/>
      </w:pPr>
      <w:bookmarkStart w:id="360" w:name="__RefHeading___Toc2472289_581953129"/>
      <w:bookmarkStart w:id="361" w:name="_Toc138"/>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 xml:space="preserve">مفردات قاعده عبارتست از سه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امام خمینی رحمه الله در مورد مفردات قاعده نیز نظر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کلام این دو بزرگوار را ذکر نموده و پس از آن نظر خود را بیان خواهیم نمود</w:t>
      </w:r>
      <w:r>
        <w:rPr>
          <w:rFonts w:eastAsia="IRNazanin" w:cs="IRNazanin"/>
          <w:color w:val="111111"/>
          <w:sz w:val="28"/>
          <w:szCs w:val="28"/>
          <w:rtl w:val="true"/>
          <w:lang w:bidi="fa-IR"/>
        </w:rPr>
        <w:t>.</w:t>
      </w:r>
    </w:p>
    <w:p>
      <w:pPr>
        <w:pStyle w:val="Heading4"/>
        <w:numPr>
          <w:ilvl w:val="3"/>
          <w:numId w:val="1"/>
        </w:numPr>
        <w:rPr/>
      </w:pPr>
      <w:bookmarkStart w:id="362" w:name="__RefHeading___Toc2472291_581953129"/>
      <w:bookmarkStart w:id="363" w:name="_Toc139"/>
      <w:bookmarkEnd w:id="362"/>
      <w:r>
        <w:rPr>
          <w:rtl w:val="true"/>
        </w:rPr>
        <w:t>الف</w:t>
      </w:r>
      <w:r>
        <w:rPr>
          <w:rtl w:val="true"/>
        </w:rPr>
        <w:t xml:space="preserve">) </w:t>
      </w:r>
      <w:r>
        <w:rPr>
          <w:rtl w:val="true"/>
        </w:rPr>
        <w:t>کلام شیخ انصاری در مفردات قاعده</w:t>
      </w:r>
      <w:bookmarkEnd w:id="36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اعظم انصاری رحمه الله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وجود نصّ بر قاعده، مفردات آن را مورد بحث قرار نداده و قائل است به اینکه وقتی قاعده‌ای مدلول آیه و یا روایت نیست، بحث از مفردات آن وجهی ندارد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اما در</w:t>
      </w:r>
    </w:p>
    <w:p>
      <w:pPr>
        <w:pStyle w:val="BookText"/>
        <w:rPr/>
      </w:pPr>
      <w:r>
        <w:rPr>
          <w:rFonts w:ascii="IRNazanin" w:hAnsi="IRNazanin" w:eastAsia="IRNazanin"/>
          <w:color w:val="111111"/>
          <w:sz w:val="28"/>
          <w:sz w:val="28"/>
          <w:szCs w:val="28"/>
          <w:rtl w:val="true"/>
          <w:lang w:bidi="fa-IR"/>
        </w:rPr>
        <w:t>قاعدۀ مورد بحث، هر چند در نهایت، سند قاعده را نپذیرفته،</w:t>
      </w:r>
      <w:r>
        <w:rPr>
          <w:rStyle w:val="FootnoteAnchor"/>
          <w:rtl w:val="true"/>
        </w:rPr>
        <w:footnoteReference w:id="296"/>
      </w:r>
      <w:r>
        <w:rPr>
          <w:rFonts w:ascii="IRNazanin" w:hAnsi="IRNazanin" w:eastAsia="IRNazanin"/>
          <w:color w:val="111111"/>
          <w:sz w:val="28"/>
          <w:sz w:val="28"/>
          <w:szCs w:val="28"/>
          <w:rtl w:val="true"/>
          <w:lang w:bidi="fa-IR"/>
        </w:rPr>
        <w:t>با این وجود، مفردات قاعده را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آن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احتمالی اجماع است و از این رو باید در مفرداتش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فلنرجع إلی تفسیر العبارة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بملک الشیء، السلطنة علیه فعلا، فلا یشمل ملک الصغیر لأمواله، لعدم السلطنة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إرادة السلطنة الفعلیة مضافا إلی اقتضاء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عموم لفظ الشیء للأعیان والأفعال، مثل التصرّفات، فلا یمکن حمل الملک علی ملک الأعیان لیشمل ملک الصغیر لأمواله، بل الظاهر أنّ لفظ الشیء یراد به خصوص الأفعال، أعنی التصرّفات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یقتضیه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المقرّ به حقیقة لا یجوز أن یکون من الأعیان، وقولهم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إخبار بحقّ لازم،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بثبوته، لا الإخبار بنفسه، إذ المخبر به لا یکون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التسلّط علی التصرّف أعمّ من أن یکون أصالة أو وکالة أو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الإقرار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التسلّط علیه</w:t>
      </w:r>
      <w:r>
        <w:rPr>
          <w:rFonts w:eastAsia="IRNazanin" w:cs="IRNazanin"/>
          <w:color w:val="111111"/>
          <w:sz w:val="28"/>
          <w:szCs w:val="28"/>
          <w:rtl w:val="true"/>
          <w:lang w:bidi="fa-IR"/>
        </w:rPr>
        <w:t>».</w:t>
      </w:r>
      <w:r>
        <w:rPr>
          <w:rStyle w:val="FootnoteAnchor"/>
          <w:rtl w:val="true"/>
        </w:rPr>
        <w:footnoteReference w:id="29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ملکیت شیء، سلطنت فعلی</w:t>
      </w:r>
      <w:r>
        <w:rPr>
          <w:rStyle w:val="FootnoteAnchor"/>
          <w:rtl w:val="true"/>
        </w:rPr>
        <w:footnoteReference w:id="298"/>
      </w:r>
      <w:r>
        <w:rPr>
          <w:rFonts w:ascii="IRNazanin" w:hAnsi="IRNazanin" w:eastAsia="IRNazanin"/>
          <w:color w:val="111111"/>
          <w:sz w:val="28"/>
          <w:sz w:val="28"/>
          <w:szCs w:val="28"/>
          <w:rtl w:val="true"/>
          <w:lang w:bidi="fa-IR"/>
        </w:rPr>
        <w:t>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مسلّطاً علی شیءٍ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نسبت به یک چیزی سلطه فعلی داشته و صاحب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مالکیت صغیر نسبت به اموال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شامل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سلطنت و قدرت تصرف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 شرعاً مالک اموال خود می‌باشد و در صورت مرگ وی، پدر و مادرش اموال او را به ارث</w:t>
      </w:r>
    </w:p>
    <w:p>
      <w:pPr>
        <w:pStyle w:val="BookText"/>
        <w:rPr/>
      </w:pP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سلطنت بالفعل بر تصرف در اموال خویش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اینکه ملکیت را سلطنت بالفعل معنا می‌کنیم، علاوه بر اقتضاء معنای لغوی آن، این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مفهومی عام است و شامل همه اعیان و افعال از جمله تصرفات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ملکیت اعیان شود، مالکیت صغیر را نیز در بر خواهد گرفت؛ در حالی که می‌دانیم اقرار کودک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خصوص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نمی‌تواند شامل اعیان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 شرط بکار رفته، در جمله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صورت ضمیر و به عنوان متعلّق اقرار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اقرار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بلکه موضوع آن همواره اعمال و افعال یا ثبوت حق و تعلق آن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هرگز کسی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فلان خانه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تصرفاتی مثل خرید و فروش یا هبۀ خانه متعلق اقرار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توجه به ضرورت مناسبت بین حکم و موضوع،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شرط نیز منحصرا افعال و تصرفات حقوقی است؛ نه اعیان و اشیاء خارجی و منظور از مالکیّت شیء، قدرت و اختیار انجام عمل است نه مالکیت عین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رحمه الله در این قسمت در حقیقت اشکال مقدّری را پاسخ می‌دهد و آن اینکه؛ در تعریف اقرار آمده که عبارتست از خبر دادن حقّ ثابت و لازم، و این تعریف شامل اقرار به عین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جواب اظهار می‌دارد که مقصود از اقرار، اخبار به خود حق نیست؛ بلکه اخبار به ثبوت حق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مخبر به نمی‌تواند خود عین خارجی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این است که تسلط بر تصرف، اعم از این است که اصالتاً باشد یا از باب نیابت، وکالت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فروش و اجاره آن را دارد و وکیل فروش خانه که مجاز به بیع آن است و ولیّ طفل که می‌تواند در حدود مصلحت طفل در اموال او تصرف نماید، یا خود طفل در مواردی نظیر وصیت به معروف که</w:t>
      </w:r>
    </w:p>
    <w:p>
      <w:pPr>
        <w:pStyle w:val="BookText"/>
        <w:rPr/>
      </w:pPr>
      <w:r>
        <w:rPr>
          <w:rFonts w:ascii="IRNazanin" w:hAnsi="IRNazanin" w:eastAsia="IRNazanin"/>
          <w:color w:val="111111"/>
          <w:sz w:val="28"/>
          <w:sz w:val="28"/>
          <w:szCs w:val="28"/>
          <w:rtl w:val="true"/>
          <w:lang w:bidi="fa-IR"/>
        </w:rPr>
        <w:t>شرعا مجاز به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مالکیت اقرار نیز تسلط، قدرت و اختیار شرعی و قانونی نسبت به اقرار است که نتیجه چنین اختیاری، نفوذ و اعتبار اقرار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رحمه الله سپس پیرامون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معناه اللغویّ، وهو إثبات الشیء وجعله قارّا، سواء أثبته علی نفسه أو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معناه الظاهر عند الفقهاء، وهو الإخبار بحقّ لازم علی المخبر، فیختصّ بما أثبته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منه دعوی الوکیل أو الولیّ حقّا علی موکّله والمولّی علیه، أو شهادته لغیره علیهما، وعلی هذا المعنی فیساوی حدیث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وإن کان أوفق بظاهر الإقرار فی کلمات المتکلّمین بالقضیة المذکورة، إلّاأنّه خلاف صریح استنادهم إلیها فی موارد دعوی الوکیل‌الولیّ و العبد المأذون علی غیرهم کما سمعت مفصّلا، فلا بدّ من إرادة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الظهور المذکورة قابل للمنع، کما یشهد به استعمالهم الإقرار فی الإقرار علی الغیر</w:t>
      </w:r>
      <w:r>
        <w:rPr>
          <w:rFonts w:eastAsia="IRNazanin" w:cs="IRNazanin"/>
          <w:color w:val="111111"/>
          <w:sz w:val="28"/>
          <w:szCs w:val="28"/>
          <w:rtl w:val="true"/>
          <w:lang w:bidi="fa-IR"/>
        </w:rPr>
        <w:t>».</w:t>
      </w:r>
      <w:r>
        <w:rPr>
          <w:rStyle w:val="FootnoteAnchor"/>
          <w:rtl w:val="true"/>
        </w:rPr>
        <w:footnoteReference w:id="29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اقرار در این قاعده یا معنای لغوی آن است و یا معنای اصطلاحی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در لغت به معنی اثبات امری است، خواه علیه خود یا علیه دیگری و در اصطلاح فقهی خبر دادن از حقّی بر ذمّه خود مخبر و اثبات آن به ضرر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اصطلاحی آن، اخص از معنای لغوی بوده و شامل خبر دادن از حقی به ضرر غیر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اقرار وکیل یا ولی بر حقی که به ضرر موکل یا مولّی علیه</w:t>
      </w:r>
      <w:bookmarkStart w:id="364" w:name="pg5537_41477"/>
    </w:p>
    <w:p>
      <w:pPr>
        <w:pStyle w:val="BookText"/>
        <w:rPr/>
      </w:pPr>
      <w:bookmarkEnd w:id="364"/>
      <w:r>
        <w:rPr>
          <w:rFonts w:ascii="IRNazanin" w:hAnsi="IRNazanin" w:eastAsia="IRNazanin"/>
          <w:color w:val="111111"/>
          <w:sz w:val="28"/>
          <w:sz w:val="28"/>
          <w:szCs w:val="28"/>
          <w:rtl w:val="true"/>
          <w:lang w:bidi="fa-IR"/>
        </w:rPr>
        <w:t>است، خارج از شمول تعریف اصطلاحی اقرار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صورتی که وکیل یا ولی به نفع غیر و بر ضرر موکل یا مولّی علیه شهادت دهند، نیز خارج از دایرۀ تعریف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وفق معنای اصطلاحی اقرار، مفاد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لفظ اقرار در کلمات فقها تناسب دارد، اما استناد آنان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مثل اقرار وکیل بر علیه موکل، و همینطور استعمال لفظ مزبور در موارد اقرار بر علیه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علی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گونۀ صریح نشانگر استعمال آن در معنای لغوی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 توجه به عبارات شیخ انصاری، تفسیر مفردات قاعده از دیدگاه وی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قاعده،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 ماضی هم در جمله شرط و هم در جمله جزا به کار رفته است و مفعول آن در جمله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مالکیت در اینجا، تسلّط، اختیار و اهلیت انجام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شیء در اینجا، اعمال و تصرفات حقوقی است؛ نه اعیان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 اقرار در قاعده، معنای لغوی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در برخی موارد، ناظر به اقرارهایی است که مفاد آن علیه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از نظر شرعی و قانونی توانایی و اهلیت انجام عملی را دارد، دارای این اختیار نیز هست که به آن اقرار کند و اقرارش در خصوص آن عمل، نافذ خواهد بود؛ اگر چه مفاد اقرار بر ضرر خود او نباشد</w:t>
      </w:r>
      <w:r>
        <w:rPr>
          <w:rFonts w:eastAsia="IRNazanin" w:cs="IRNazanin"/>
          <w:color w:val="111111"/>
          <w:sz w:val="28"/>
          <w:szCs w:val="28"/>
          <w:rtl w:val="true"/>
          <w:lang w:bidi="fa-IR"/>
        </w:rPr>
        <w:t>.</w:t>
      </w:r>
    </w:p>
    <w:p>
      <w:pPr>
        <w:pStyle w:val="Heading4"/>
        <w:numPr>
          <w:ilvl w:val="3"/>
          <w:numId w:val="1"/>
        </w:numPr>
        <w:rPr/>
      </w:pPr>
      <w:bookmarkStart w:id="365" w:name="__RefHeading___Toc2472293_581953129"/>
      <w:bookmarkStart w:id="366" w:name="_Toc140"/>
      <w:bookmarkEnd w:id="365"/>
      <w:r>
        <w:rPr>
          <w:rtl w:val="true"/>
        </w:rPr>
        <w:t>ب</w:t>
      </w:r>
      <w:r>
        <w:rPr>
          <w:rtl w:val="true"/>
        </w:rPr>
        <w:t xml:space="preserve">) </w:t>
      </w:r>
      <w:r>
        <w:rPr>
          <w:rtl w:val="true"/>
        </w:rPr>
        <w:t>کلام امام خمینی در مفردات قاعده</w:t>
      </w:r>
      <w:bookmarkEnd w:id="366"/>
    </w:p>
    <w:p>
      <w:pPr>
        <w:pStyle w:val="Heading5"/>
        <w:numPr>
          <w:ilvl w:val="4"/>
          <w:numId w:val="1"/>
        </w:numPr>
        <w:rPr/>
      </w:pPr>
      <w:bookmarkStart w:id="367" w:name="__RefHeading___Toc2472295_581953129"/>
      <w:bookmarkStart w:id="368" w:name="_Toc141"/>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مرحوم امام رحمه الله مفردات قاعده را دقیقاً عکس نظر شیخ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یستفاد من اللغة والعرف هی</w:t>
      </w:r>
    </w:p>
    <w:p>
      <w:pPr>
        <w:pStyle w:val="BookText"/>
        <w:rPr/>
      </w:pPr>
      <w:r>
        <w:rPr>
          <w:rFonts w:ascii="IRNazanin" w:hAnsi="IRNazanin" w:eastAsia="IRNazanin"/>
          <w:color w:val="111111"/>
          <w:sz w:val="28"/>
          <w:sz w:val="28"/>
          <w:szCs w:val="28"/>
          <w:rtl w:val="true"/>
          <w:lang w:bidi="fa-IR"/>
        </w:rPr>
        <w:t xml:space="preserve">علقة‌رابطة اعتباریة حاصلة بین الشخص والشیء، تستتبعها السلطنة الاستبداد به، وهی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ولغةً</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یعنی بر کسی پوشیده نیست که معنای لغوی وعرفی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علقه و رابطۀ اعتباری بین شخص و مال بوده و سلطنت و چیرگی لازمۀ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حیث لغت و هم از نظر عرفی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به اقامۀ دلیل بر مدعای خویش پرداخته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ولهذا وقع التشاجر من الصدر الأوّل بین المفسّرین والمحقّقین فی أرجحیة مالِکِ یَوْمِ الدِّینِ أو مَلِکِ یَوْمِ الدِّینِ 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السلطان لما وقع النزاع والتشاجر بین أئمّة اللغة والتفسیر وأساطین الأدب والعربیة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احتواه قادراً علی الاستبداد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والسلطنة لازم أعمّ للمالکیة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فإنّ اولی الأمر من النبی والوصی لهم السلطنة علی أموال الناس وأنفسهم، ولیست لهم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المتفاهم العرفی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کونه صاحباً له فعلًا، فیشمل ملک الصغیر، فعدم نفوذ إقراره من مستثنیات هذه القاعدة، لا أنّ نفوذه فی الموارد الخاصّة من الدواخل</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همین اختلاف معنای مالکیت و سلطنت از ابتدا موجب وقوع نزاع بین مفسرین شده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 زیرا اگر مراد از مالک، همان سلطان بود، ایندو لفظ دارای معنای واحدی بودند و چنین نزاعی معنا نداشت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صاحبان کتب لغت مثل قاموس، در تفسیر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 را در بر گرفت در حالی که قادر بر استبداد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w:t>
      </w:r>
    </w:p>
    <w:p>
      <w:pPr>
        <w:pStyle w:val="BookText"/>
        <w:rPr/>
      </w:pPr>
      <w:r>
        <w:rPr>
          <w:rFonts w:ascii="IRNazanin" w:hAnsi="IRNazanin" w:eastAsia="IRNazanin"/>
          <w:color w:val="111111"/>
          <w:sz w:val="28"/>
          <w:sz w:val="28"/>
          <w:szCs w:val="28"/>
          <w:rtl w:val="true"/>
          <w:lang w:bidi="fa-IR"/>
        </w:rPr>
        <w:t>که معنای مطابقی ملکیت، سلطنت نیست؛ بلکه سلطنت لازم اعم آن است و این امری است روشن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و ائمۀ معصومین علیهم السلام با اینکه سلطنت بر تصرّف در اموال و نفوس مؤمنین دارند، اما مالک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مالکیت فعلی بر شیء است که شامل صغیر نیز بوده و اینکه اقرار وی نافذ نیست، از مستثنیات قاعده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وفق عموم قاعدۀ مورد بحث، اقرار صبی نیز بایستی نافذ باشد، اما ادلۀ دیگر که صبی را مسلوب العباره به شمار آورده، موجب تخصیص عموم مزبور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نفوذ اقرار صبی در موارد خاص نیز داخل در این عموم بوده و نیازی به دلیل مستقل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تفسیر شیخ قدس سره 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مورد مناقشه قرار داده،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ما ذکرنا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النظر فیما أفاده قدس سره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الأعیان والأفعال، مثل التصرّفات، بل خصّه بالأفعال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التصرّفات بقرینة أنّ الإقرار لا یتعلّق بنفس الأعیان، بل بثبوته ومثل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الأُمور العامّة، ولکنّه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الحکم والموضوع منصرف ومختصّ بالأعیان، 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نفسه منصرف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لیس ببعید لیکون قرینةً علی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فرضاً أعمّ من الصاحب والسلطان، وإلّا فقد عرفت أنّه ظاهر فی الأوّل لغةً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ظهور الصدر أقوی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علیه، لا العکس کما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0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ذکر کردیم، ایراد کلام شیخ قدس سره مبنی بر اینکه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اعیان و افعال و بلکه مختص به افعال است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این لفظ از الفاظ عامه</w:t>
      </w:r>
    </w:p>
    <w:p>
      <w:pPr>
        <w:pStyle w:val="BookText"/>
        <w:rPr/>
      </w:pP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نگوئیم این لفظ به خودی خود منصرف به اعیان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تناسب حکم و موضوع، انصراف و اختصاص به اعیان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این لفظ شاهد باشد بر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اصل مالکیت دارد، نه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اعم از مالک و سلطان است؛ در این قاعده به قرینۀ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در همان مالکیت دانست؛ نه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اینکه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قاعده، قوی تر از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همین راه را طی نمود و عکس بیان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اطلاق شیء را قرینه قرار دهیم بر تصرّف در 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آنگونه که شیخ قدس سره عمل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معنای قاعده این است که مثلاً اگر کسی مالک عبا بود و اقرار کرد این عبا مال زید است، از او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در مقام دفع ایراد از مدعای خویش، اشکال و جوابی را طرح نموده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السلطنة علیه لا المالکیة، فیکون قرینة 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المشاکلة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اطبخوا لی جبّةً وقمیصاً</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ممکن است کسی اشکال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در معنای سلطنت است نه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مالکیت اعتباری نسبت به اعیان متصور است، اما نسبت به اقرار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قرینه ایست بر اینکه مالکیت اول نیز به معنای سلطنت به کار رفته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مشاکله</w:t>
      </w:r>
      <w:r>
        <w:rPr>
          <w:rStyle w:val="FootnoteAnchor"/>
          <w:rtl w:val="true"/>
        </w:rPr>
        <w:footnoteReference w:id="304"/>
      </w:r>
      <w:r>
        <w:rPr>
          <w:rFonts w:ascii="IRNazanin" w:hAnsi="IRNazanin" w:eastAsia="IRNazanin"/>
          <w:color w:val="111111"/>
          <w:sz w:val="28"/>
          <w:sz w:val="28"/>
          <w:szCs w:val="28"/>
          <w:rtl w:val="true"/>
          <w:lang w:bidi="fa-IR"/>
        </w:rPr>
        <w:t>و</w:t>
      </w:r>
      <w:bookmarkStart w:id="369" w:name="pg5537_41486"/>
    </w:p>
    <w:p>
      <w:pPr>
        <w:pStyle w:val="BookText"/>
        <w:rPr/>
      </w:pPr>
      <w:bookmarkEnd w:id="369"/>
      <w:r>
        <w:rPr>
          <w:rFonts w:ascii="IRNazanin" w:hAnsi="IRNazanin" w:eastAsia="IRNazanin"/>
          <w:color w:val="111111"/>
          <w:sz w:val="28"/>
          <w:sz w:val="28"/>
          <w:szCs w:val="28"/>
          <w:rtl w:val="true"/>
          <w:lang w:bidi="fa-IR"/>
        </w:rPr>
        <w:t>تطابق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آن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تن پوش و پیراهنی بپزید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370" w:name="__RefHeading___Toc2472297_581953129"/>
      <w:bookmarkStart w:id="371" w:name="_Toc142"/>
      <w:bookmarkEnd w:id="370"/>
      <w:r>
        <w:rPr>
          <w:rtl w:val="true"/>
        </w:rPr>
        <w:t>نقد مرحوم آیة‌اللّه فاضل لنکرانی بر کلام امام خمینی</w:t>
      </w:r>
      <w:bookmarkEnd w:id="371"/>
    </w:p>
    <w:p>
      <w:pPr>
        <w:pStyle w:val="BookText"/>
        <w:rPr/>
      </w:pPr>
      <w:r>
        <w:rPr>
          <w:rFonts w:ascii="IRNazanin" w:hAnsi="IRNazanin" w:eastAsia="IRNazanin"/>
          <w:color w:val="111111"/>
          <w:sz w:val="28"/>
          <w:sz w:val="28"/>
          <w:szCs w:val="28"/>
          <w:rtl w:val="true"/>
          <w:lang w:bidi="fa-IR"/>
        </w:rPr>
        <w:t>مرحوم والد محقق ما قدس سره پس از نقل کلام مرحوم امام قدس سره، آن را مورد مناقشه قرار داده و نظر شیخ اعظم قدس سره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ولکن الظاهر انه حیث کانت القاعدة مسوقة لإفادة ملکیة الإقرار فی مورد ملکیة الشیء، ولا یلائم ذلک التعبیر بالملکیة، مع کون المراد بها غیر معناها، بل ما هو لازم أعم منها، فیکون ذلک قرینة علی ان المراد بها هی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القاعدة علی ما یستفاد من موارد استدلالات الأصحاب بها مسوقة لإفادة مثل نفوذ إقرار الصبیّ فی التصرفات الجائزة له، واللازم معناها بحیث ینطبق علیها، ولا مجال لحملها علی معنی یخرج منه کثیر من الموارد، فالإنصاف ان جعل ملک الإقرار قرینة علی ان المراد بملک الشیء أیضاً هو السلطنة علیه لا الملکیة الاصطلاحیة صحیح</w:t>
      </w:r>
      <w:r>
        <w:rPr>
          <w:rFonts w:eastAsia="IRNazanin" w:cs="IRNazanin"/>
          <w:color w:val="111111"/>
          <w:sz w:val="28"/>
          <w:szCs w:val="28"/>
          <w:rtl w:val="true"/>
          <w:lang w:bidi="fa-IR"/>
        </w:rPr>
        <w:t>».</w:t>
      </w:r>
      <w:r>
        <w:rPr>
          <w:rStyle w:val="FootnoteAnchor"/>
          <w:rtl w:val="true"/>
        </w:rPr>
        <w:footnoteReference w:id="306"/>
      </w:r>
      <w:bookmarkStart w:id="372" w:name="pg5537_41488"/>
    </w:p>
    <w:p>
      <w:pPr>
        <w:pStyle w:val="BookText"/>
        <w:rPr/>
      </w:pPr>
      <w:bookmarkEnd w:id="372"/>
      <w:r>
        <w:rPr>
          <w:rFonts w:ascii="IRNazanin" w:hAnsi="IRNazanin" w:eastAsia="IRNazanin"/>
          <w:color w:val="111111"/>
          <w:sz w:val="28"/>
          <w:sz w:val="28"/>
          <w:szCs w:val="28"/>
          <w:rtl w:val="true"/>
          <w:lang w:bidi="fa-IR"/>
        </w:rPr>
        <w:t>ظاهر این است که قاعده در مقام اثبات سلطه داشتن بر اقرار برای کسی است که بر مقرٌّ به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ملکیت اصطلاحی مناسبتی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اصطلاحی آن نیست؛ بلکه مراد، لازم اعم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قرینه است بر اینکه مراد از ملکیت شیء نیز سلطنت بر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از موارد استدلال اصحاب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قاعده مستمسک آنان برای اثبات اموری مثل نفوذ اقرار صبی در تصرفات جایزش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آن معنا نمودن قاعده به گونه‌ای است که قابل انطباق بر چنین مواردی باشد؛ نه اینکه بر معنایی حمل شود که وفق آن، مصادیق بسیاری از شمول قاعده خارج گردند</w:t>
      </w:r>
      <w:r>
        <w:rPr>
          <w:rFonts w:eastAsia="IRNazanin" w:cs="IRNazanin"/>
          <w:color w:val="111111"/>
          <w:sz w:val="28"/>
          <w:szCs w:val="28"/>
          <w:rtl w:val="true"/>
          <w:lang w:bidi="fa-IR"/>
        </w:rPr>
        <w:t>.</w:t>
      </w:r>
    </w:p>
    <w:p>
      <w:pPr>
        <w:pStyle w:val="Heading5"/>
        <w:numPr>
          <w:ilvl w:val="4"/>
          <w:numId w:val="1"/>
        </w:numPr>
        <w:rPr/>
      </w:pPr>
      <w:bookmarkStart w:id="373" w:name="__RefHeading___Toc2472299_581953129"/>
      <w:bookmarkStart w:id="374" w:name="_Toc143"/>
      <w:bookmarkEnd w:id="373"/>
      <w:r>
        <w:rPr>
          <w:rtl w:val="true"/>
        </w:rPr>
        <w:t>ایراد حضرت استاد بر کلام مرحوم آیة‌اللّه فاضل لنکرانی</w:t>
      </w:r>
      <w:bookmarkEnd w:id="374"/>
    </w:p>
    <w:p>
      <w:pPr>
        <w:pStyle w:val="BookText"/>
        <w:rPr/>
      </w:pPr>
      <w:r>
        <w:rPr>
          <w:rFonts w:ascii="IRNazanin" w:hAnsi="IRNazanin" w:eastAsia="IRNazanin"/>
          <w:color w:val="111111"/>
          <w:sz w:val="28"/>
          <w:sz w:val="28"/>
          <w:szCs w:val="28"/>
          <w:rtl w:val="true"/>
          <w:lang w:bidi="fa-IR"/>
        </w:rPr>
        <w:t>ماحصل کلام والد محقّق قدس سره در قسمت دوم این است که اصحاب در پی مستندی برای اثبات نفوذ اقرار صبی بر وصیت، وقف و سایر تصرفات مجاز 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قاعده را طوری معنا نمود که با استدلالات اصحاب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مطلب عکس مراد ایشان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صبی ملکیت اصطلاحیه دارد اما دارای سلطنت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 این بود که مرحوم والد در رد کلام امام، استناد فقها به قاعده را برای نفوذ اقرار وکیل را مطرح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وکیل مالکیت ندارد، امّا دارای سلطنت است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pStyle w:val="Heading5"/>
        <w:numPr>
          <w:ilvl w:val="4"/>
          <w:numId w:val="1"/>
        </w:numPr>
        <w:rPr/>
      </w:pPr>
      <w:bookmarkStart w:id="375" w:name="__RefHeading___Toc2472301_581953129"/>
      <w:bookmarkStart w:id="376" w:name="_Toc144"/>
      <w:bookmarkEnd w:id="375"/>
      <w:r>
        <w:rPr>
          <w:rtl w:val="true"/>
        </w:rPr>
        <w:t xml:space="preserve">کلام مرحوم آیة‌اللّه فاضل لنکرانی در معنای </w:t>
      </w:r>
      <w:r>
        <w:rPr>
          <w:rtl w:val="true"/>
        </w:rPr>
        <w:t>«</w:t>
      </w:r>
      <w:r>
        <w:rPr>
          <w:rtl w:val="true"/>
        </w:rPr>
        <w:t>شیء</w:t>
      </w:r>
      <w:r>
        <w:rPr>
          <w:rtl w:val="true"/>
        </w:rPr>
        <w:t>»</w:t>
      </w:r>
      <w:bookmarkEnd w:id="37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والد قدس سره پس از بیان احتمالات موجود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اعم از اعیان و افعال دانسته می‌نویسد</w:t>
      </w:r>
      <w:r>
        <w:rPr>
          <w:rFonts w:eastAsia="IRNazanin" w:cs="IRNazanin"/>
          <w:color w:val="111111"/>
          <w:sz w:val="28"/>
          <w:szCs w:val="28"/>
          <w:rtl w:val="true"/>
          <w:lang w:bidi="fa-IR"/>
        </w:rPr>
        <w:t>:</w:t>
      </w:r>
      <w:bookmarkStart w:id="377" w:name="pg5537_41490"/>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الإقرار وإن لم یتعلق بنفس العین الخارجیّة، الّا انه لا یلزم تعلقه بفعل من الأفعال؛ فإنه لو أقرّ ذو الید بکون ما فی یده ملکاً لزید، یترتب علی إقراره النفوذ والمضی، مع ان الإقرار بالملکیة لا یکون إقراراً بفعل من الافعال، ولا مجال لإخراج هذا المورد من القاعدة وإن کان داخلًا فی قاعدة الإقرار أیضاً</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یعنی با وجود اینکه اقرار به عین خارجی تعلق پیدا نمی‌کند، اما لازم نیست که همیشه متعلق آن، فعلی از افعال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اگر ذوالید اقرار کند که آنچه در دست من است، ملک عمرو می‌باشد، این مورد علاوه بر اینکه داخل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مصادیق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اقرار به ملکیت، اقرار به فعلی از افعال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نمودن آن از تحت شمول قاعده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اقرار به عین نیز تعلق پیدا می‌کند</w:t>
      </w:r>
      <w:r>
        <w:rPr>
          <w:rFonts w:eastAsia="IRNazanin" w:cs="IRNazanin"/>
          <w:color w:val="111111"/>
          <w:sz w:val="28"/>
          <w:szCs w:val="28"/>
          <w:rtl w:val="true"/>
          <w:lang w:bidi="fa-IR"/>
        </w:rPr>
        <w:t>.</w:t>
      </w:r>
    </w:p>
    <w:p>
      <w:pPr>
        <w:pStyle w:val="Heading5"/>
        <w:numPr>
          <w:ilvl w:val="4"/>
          <w:numId w:val="1"/>
        </w:numPr>
        <w:rPr/>
      </w:pPr>
      <w:bookmarkStart w:id="378" w:name="__RefHeading___Toc2472303_581953129"/>
      <w:bookmarkStart w:id="379" w:name="_Toc145"/>
      <w:bookmarkEnd w:id="378"/>
      <w:r>
        <w:rPr>
          <w:rtl w:val="true"/>
        </w:rPr>
        <w:t>ایراد حضرت استاد بر کلام مرحوم آیة‌اللّه فاضل لنکرانی</w:t>
      </w:r>
      <w:bookmarkEnd w:id="3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کلام ایشان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بطن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وجود دارد مبنی بر اینکه علت مالکیت اقرار، مالکیت بر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مالک للإقرار من جهة أنّه مالک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مزبور، اقرار بر تعلق عین به دیگری، اصل مالکیت بر شیء را از بین می‌برد و در نتیجه جایی برای معلول آن یعنی ملکیت اقرار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مثالی که ایشان مطرح نموده، خارج از شمول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10"/>
      </w:r>
      <w:bookmarkStart w:id="380" w:name="pg5537_41492"/>
    </w:p>
    <w:p>
      <w:pPr>
        <w:pStyle w:val="Heading4"/>
        <w:numPr>
          <w:ilvl w:val="3"/>
          <w:numId w:val="1"/>
        </w:numPr>
        <w:rPr/>
      </w:pPr>
      <w:bookmarkStart w:id="381" w:name="__RefHeading___Toc2472305_581953129"/>
      <w:bookmarkStart w:id="382" w:name="_Toc146"/>
      <w:bookmarkEnd w:id="380"/>
      <w:bookmarkEnd w:id="381"/>
      <w:r>
        <w:rPr>
          <w:rtl w:val="true"/>
        </w:rPr>
        <w:t>پ</w:t>
      </w:r>
      <w:r>
        <w:rPr>
          <w:rtl w:val="true"/>
        </w:rPr>
        <w:t xml:space="preserve">) </w:t>
      </w:r>
      <w:r>
        <w:rPr>
          <w:rtl w:val="true"/>
        </w:rPr>
        <w:t>نظر حضرت استاد</w:t>
      </w:r>
      <w:bookmarkEnd w:id="382"/>
    </w:p>
    <w:p>
      <w:pPr>
        <w:pStyle w:val="BookText"/>
        <w:rPr/>
      </w:pPr>
      <w:r>
        <w:rPr>
          <w:rFonts w:ascii="IRNazanin" w:hAnsi="IRNazanin" w:eastAsia="IRNazanin"/>
          <w:color w:val="111111"/>
          <w:sz w:val="28"/>
          <w:sz w:val="28"/>
          <w:szCs w:val="28"/>
          <w:rtl w:val="true"/>
          <w:lang w:bidi="fa-IR"/>
        </w:rPr>
        <w:t>به نظر ما در اصل مدعا، حق با مرحوم شیخ قدس سره و والد محقّق قدس سره است و مراد از ملکیت در قاعده، سلطنت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 در نفوذ اقرار عبد مأذون، وکیل و ولی به این قاعده استدلال شده، در حالی که هیچ یک دارای ملکیت اصطلاحی نبوده و تنها سلطنت بر تصرف دارند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در فعلی از افعال است و شامل اعیان نمی‌شود</w:t>
      </w:r>
      <w:r>
        <w:rPr>
          <w:rFonts w:eastAsia="IRNazanin" w:cs="IRNazanin"/>
          <w:color w:val="111111"/>
          <w:sz w:val="28"/>
          <w:szCs w:val="28"/>
          <w:rtl w:val="true"/>
          <w:lang w:bidi="fa-IR"/>
        </w:rPr>
        <w:t>.</w:t>
      </w:r>
      <w:bookmarkStart w:id="383" w:name="pg5537_41495"/>
    </w:p>
    <w:p>
      <w:pPr>
        <w:pStyle w:val="Heading3"/>
        <w:numPr>
          <w:ilvl w:val="2"/>
          <w:numId w:val="1"/>
        </w:numPr>
        <w:rPr/>
      </w:pPr>
      <w:bookmarkStart w:id="384" w:name="__RefHeading___Toc2472307_581953129"/>
      <w:bookmarkStart w:id="385" w:name="_Toc147"/>
      <w:bookmarkEnd w:id="383"/>
      <w:bookmarkEnd w:id="384"/>
      <w:r>
        <w:rPr>
          <w:rtl w:val="true"/>
        </w:rPr>
        <w:t>فصل سوم</w:t>
      </w:r>
      <w:r>
        <w:rPr>
          <w:rtl w:val="true"/>
        </w:rPr>
        <w:t xml:space="preserve">: </w:t>
      </w:r>
      <w:r>
        <w:rPr>
          <w:rtl w:val="true"/>
        </w:rPr>
        <w:t xml:space="preserve">شرایط اجرای قاعدۀ </w:t>
      </w:r>
      <w:r>
        <w:rPr>
          <w:rtl w:val="true"/>
        </w:rPr>
        <w:t>«</w:t>
      </w:r>
      <w:r>
        <w:rPr>
          <w:rtl w:val="true"/>
        </w:rPr>
        <w:t>من ملک</w:t>
      </w:r>
      <w:r>
        <w:rPr>
          <w:rtl w:val="true"/>
        </w:rPr>
        <w:t>»</w:t>
      </w:r>
      <w:bookmarkEnd w:id="385"/>
    </w:p>
    <w:p>
      <w:pPr>
        <w:pStyle w:val="Heading4"/>
        <w:numPr>
          <w:ilvl w:val="3"/>
          <w:numId w:val="1"/>
        </w:numPr>
        <w:rPr/>
      </w:pPr>
      <w:bookmarkStart w:id="386" w:name="__RefHeading___Toc2472309_581953129"/>
      <w:bookmarkStart w:id="387" w:name="_Toc148"/>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مباحث این بخش در حقیقت به خصوصیات و شرایط ملکیت اقرار در قاعده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ابتدا باید دید آیا لازم است که سلطنت بر شیء، فعلی باشد؟</w:t>
      </w:r>
    </w:p>
    <w:p>
      <w:pPr>
        <w:pStyle w:val="BookText"/>
        <w:rPr/>
      </w:pPr>
      <w:r>
        <w:rPr>
          <w:rFonts w:ascii="IRNazanin" w:hAnsi="IRNazanin" w:eastAsia="IRNazanin"/>
          <w:color w:val="111111"/>
          <w:sz w:val="28"/>
          <w:sz w:val="28"/>
          <w:szCs w:val="28"/>
          <w:rtl w:val="true"/>
          <w:lang w:bidi="fa-IR"/>
        </w:rPr>
        <w:t xml:space="preserve">مراد 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از ملکیت، سلطنت فعلیه است یا اعم از شأنی و فعلی؟ اگر مراد، سلطنت فعلیه باشد، شامل صغیر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صغیر سلطنت فعلیه ندارد و تنها دارای سلطنت شأنیه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اعم از فعلیه و شأنیه باشد، اقرار صغیر را نیز در بر می‌گیرد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دوم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اعتبار اقرار مشروط بر این است که مقرّ حین اقرار دارای سلطه فعلی بر انجام عمل موضوع اقرار باشد یا سلطه قبلی نیز کفایت می‌کند؟ به دیگر سخن؛ آیا مقر باید در حین اقرار مالک شیء باشد، یا صرف اینکه زمانی مالک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در زمان اقرار مالک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بتواند از آن اخبار کند؟ خلاص؟ این بحث آن است که آیا در این مورد</w:t>
      </w:r>
      <w:bookmarkStart w:id="388" w:name="pg5537_41496"/>
    </w:p>
    <w:p>
      <w:pPr>
        <w:pStyle w:val="BookText"/>
        <w:rPr/>
      </w:pPr>
      <w:bookmarkEnd w:id="388"/>
      <w:r>
        <w:rPr>
          <w:rFonts w:ascii="IRNazanin" w:hAnsi="IRNazanin" w:eastAsia="IRNazanin"/>
          <w:color w:val="111111"/>
          <w:sz w:val="28"/>
          <w:sz w:val="28"/>
          <w:szCs w:val="28"/>
          <w:rtl w:val="true"/>
          <w:lang w:bidi="fa-IR"/>
        </w:rPr>
        <w:t>مقارنۀ زمانیه بین سلطنت و اقرار لازم است یا خیر؟</w:t>
      </w:r>
    </w:p>
    <w:p>
      <w:pPr>
        <w:pStyle w:val="BookText"/>
        <w:rPr/>
      </w:pPr>
      <w:r>
        <w:rPr>
          <w:rFonts w:ascii="IRNazanin" w:hAnsi="IRNazanin" w:eastAsia="IRNazanin"/>
          <w:color w:val="111111"/>
          <w:sz w:val="28"/>
          <w:sz w:val="28"/>
          <w:szCs w:val="28"/>
          <w:rtl w:val="true"/>
          <w:lang w:bidi="fa-IR"/>
        </w:rPr>
        <w:t>پس از آن باید دید که درجه اختیار و تسلط مقرّ نسبت به موضوع اقرار تا چه میزان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باید دید که آیا قدرت بر تصرف باید به صورت مطلق و تام باشد یا صرف اختیار انجام عمل کافی است؟</w:t>
      </w:r>
    </w:p>
    <w:p>
      <w:pPr>
        <w:pStyle w:val="BookText"/>
        <w:rPr/>
      </w:pPr>
      <w:r>
        <w:rPr>
          <w:rFonts w:ascii="IRNazanin" w:hAnsi="IRNazanin" w:eastAsia="IRNazanin"/>
          <w:color w:val="111111"/>
          <w:sz w:val="28"/>
          <w:sz w:val="28"/>
          <w:szCs w:val="28"/>
          <w:rtl w:val="true"/>
          <w:lang w:bidi="fa-IR"/>
        </w:rPr>
        <w:t>بنابراین در خصوص شرایط اجرای قاعده سه مسأله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یا عدم لزوم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بر موضوع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مورد اقرار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یا عدم لزوم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بر موضوع اقرار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یا عدم لزوم تامه بودن سلطنت بر موضوع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 کدام از این سه مسأله را جداگانه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89" w:name="__RefHeading___Toc2472311_581953129"/>
      <w:bookmarkStart w:id="390" w:name="_Toc149"/>
      <w:bookmarkEnd w:id="389"/>
      <w:r>
        <w:rPr>
          <w:rtl w:val="true"/>
        </w:rPr>
        <w:t>الف</w:t>
      </w:r>
      <w:r>
        <w:rPr>
          <w:rtl w:val="true"/>
        </w:rPr>
        <w:t xml:space="preserve">- </w:t>
      </w:r>
      <w:r>
        <w:rPr>
          <w:rtl w:val="true"/>
        </w:rPr>
        <w:t xml:space="preserve">فعلیت </w:t>
      </w:r>
      <w:r>
        <w:rPr>
          <w:rtl w:val="true"/>
        </w:rPr>
        <w:t>(</w:t>
      </w:r>
      <w:r>
        <w:rPr>
          <w:rtl w:val="true"/>
        </w:rPr>
        <w:t>در مقابل شأنیت</w:t>
      </w:r>
      <w:r>
        <w:rPr>
          <w:rtl w:val="true"/>
        </w:rPr>
        <w:t xml:space="preserve">) </w:t>
      </w:r>
      <w:r>
        <w:rPr>
          <w:rtl w:val="true"/>
        </w:rPr>
        <w:t>سلطنت بر موضوع اقرار</w:t>
      </w:r>
      <w:bookmarkEnd w:id="390"/>
    </w:p>
    <w:p>
      <w:pPr>
        <w:pStyle w:val="BookText"/>
        <w:rPr/>
      </w:pPr>
      <w:r>
        <w:rPr>
          <w:rFonts w:ascii="IRNazanin" w:hAnsi="IRNazanin" w:eastAsia="IRNazanin"/>
          <w:color w:val="111111"/>
          <w:sz w:val="28"/>
          <w:sz w:val="28"/>
          <w:szCs w:val="28"/>
          <w:rtl w:val="true"/>
          <w:lang w:bidi="fa-IR"/>
        </w:rPr>
        <w:t>همان‌گونه که در کلمات مرحوم شیخ انصاری قدس سره گذشت، دلالت ظاهر قاعده بر سلطنت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الآن سلطنت فعلیه بر تصرّفی دارد، اگر نسبت به آن تصرف اقرار کرد، پذیرفته می‌شود</w:t>
      </w:r>
      <w:r>
        <w:rPr>
          <w:rFonts w:eastAsia="IRNazanin" w:cs="IRNazanin"/>
          <w:color w:val="111111"/>
          <w:sz w:val="28"/>
          <w:szCs w:val="28"/>
          <w:rtl w:val="true"/>
          <w:lang w:bidi="fa-IR"/>
        </w:rPr>
        <w:t>.</w:t>
      </w:r>
    </w:p>
    <w:p>
      <w:pPr>
        <w:pStyle w:val="Heading4"/>
        <w:numPr>
          <w:ilvl w:val="3"/>
          <w:numId w:val="1"/>
        </w:numPr>
        <w:rPr/>
      </w:pPr>
      <w:bookmarkStart w:id="391" w:name="__RefHeading___Toc2472313_581953129"/>
      <w:bookmarkStart w:id="392" w:name="_Toc150"/>
      <w:bookmarkEnd w:id="391"/>
      <w:r>
        <w:rPr>
          <w:rtl w:val="true"/>
        </w:rPr>
        <w:t>ب</w:t>
      </w:r>
      <w:r>
        <w:rPr>
          <w:rtl w:val="true"/>
        </w:rPr>
        <w:t xml:space="preserve">- </w:t>
      </w:r>
      <w:r>
        <w:rPr>
          <w:rtl w:val="true"/>
        </w:rPr>
        <w:t xml:space="preserve">فعلیت </w:t>
      </w:r>
      <w:r>
        <w:rPr>
          <w:rtl w:val="true"/>
        </w:rPr>
        <w:t>(</w:t>
      </w:r>
      <w:r>
        <w:rPr>
          <w:rtl w:val="true"/>
        </w:rPr>
        <w:t>در مقابل انقضاء</w:t>
      </w:r>
      <w:r>
        <w:rPr>
          <w:rtl w:val="true"/>
        </w:rPr>
        <w:t xml:space="preserve">) </w:t>
      </w:r>
      <w:r>
        <w:rPr>
          <w:rtl w:val="true"/>
        </w:rPr>
        <w:t>سلطنت بر موضوع اقرار</w:t>
      </w:r>
      <w:bookmarkEnd w:id="392"/>
    </w:p>
    <w:p>
      <w:pPr>
        <w:pStyle w:val="Heading5"/>
        <w:numPr>
          <w:ilvl w:val="4"/>
          <w:numId w:val="1"/>
        </w:numPr>
        <w:rPr/>
      </w:pPr>
      <w:bookmarkStart w:id="393" w:name="__RefHeading___Toc2472315_581953129"/>
      <w:bookmarkStart w:id="394" w:name="_Toc151"/>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آیا نفوذ و اعتبار اقرار، منوط به این است که تسلّط مقرّ در زمان اقرار فعلیت داشته باشد و یا صرف اینکه او در زمان انجام عمل موضوع اقرار، اختیار آن را داشته است برای نفوذ اقرار کافی است؟ به عنوان مثال، آیا نفوذ اقرار وکیل مشروط بدان است که در زمان وکالت صورت گیرد یا اینکه اگر وکیل پس از استعفا یا عزل از وکالت نیز نسبت به اعمال گذشته اقرار کند معتبر خواهد بود؟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ولیّ دختری پس از بلوغ و کبر سن وی، اقرار به تزویج دختر در زمان طفولیت بنماید چنین اقراری نافذ خواهد بود؟</w:t>
      </w:r>
      <w:bookmarkStart w:id="395" w:name="pg5537_41498"/>
    </w:p>
    <w:p>
      <w:pPr>
        <w:pStyle w:val="BookText"/>
        <w:rPr/>
      </w:pPr>
      <w:bookmarkEnd w:id="395"/>
      <w:r>
        <w:rPr>
          <w:rFonts w:ascii="IRNazanin" w:hAnsi="IRNazanin" w:eastAsia="IRNazanin"/>
          <w:color w:val="111111"/>
          <w:sz w:val="28"/>
          <w:sz w:val="28"/>
          <w:szCs w:val="28"/>
          <w:rtl w:val="true"/>
          <w:lang w:bidi="fa-IR"/>
        </w:rPr>
        <w:t>برای پاسخ به این پرسش ابتدا بایستی نظرات فقها و دلائل ایشان را در این زمینه ملاحظه نمود</w:t>
      </w:r>
      <w:r>
        <w:rPr>
          <w:rFonts w:eastAsia="IRNazanin" w:cs="IRNazanin"/>
          <w:color w:val="111111"/>
          <w:sz w:val="28"/>
          <w:szCs w:val="28"/>
          <w:rtl w:val="true"/>
          <w:lang w:bidi="fa-IR"/>
        </w:rPr>
        <w:t>.</w:t>
      </w:r>
    </w:p>
    <w:p>
      <w:pPr>
        <w:pStyle w:val="Heading5"/>
        <w:numPr>
          <w:ilvl w:val="4"/>
          <w:numId w:val="1"/>
        </w:numPr>
        <w:rPr/>
      </w:pPr>
      <w:bookmarkStart w:id="396" w:name="__RefHeading___Toc2472317_581953129"/>
      <w:bookmarkStart w:id="397" w:name="_Toc152"/>
      <w:bookmarkEnd w:id="396"/>
      <w:r>
        <w:rPr>
          <w:rtl w:val="true"/>
        </w:rPr>
        <w:t>اقوال فقها در مسأله</w:t>
      </w:r>
      <w:bookmarkEnd w:id="397"/>
    </w:p>
    <w:p>
      <w:pPr>
        <w:pStyle w:val="Heading6"/>
        <w:numPr>
          <w:ilvl w:val="5"/>
          <w:numId w:val="1"/>
        </w:numPr>
        <w:rPr/>
      </w:pPr>
      <w:bookmarkStart w:id="398" w:name="__RefHeading___Toc2472319_581953129"/>
      <w:bookmarkStart w:id="399" w:name="_Toc153"/>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از بررسی نظرات فقهاء در فروع مختلف به دست می‌آید که در میان آنها دو دیدگاه وجود دارد</w:t>
      </w:r>
      <w:r>
        <w:rPr>
          <w:rFonts w:eastAsia="IRNazanin" w:cs="IRNazanin"/>
          <w:color w:val="111111"/>
          <w:sz w:val="28"/>
          <w:szCs w:val="28"/>
          <w:rtl w:val="true"/>
          <w:lang w:bidi="fa-IR"/>
        </w:rPr>
        <w:t>:</w:t>
      </w:r>
    </w:p>
    <w:p>
      <w:pPr>
        <w:pStyle w:val="Heading6"/>
        <w:numPr>
          <w:ilvl w:val="5"/>
          <w:numId w:val="1"/>
        </w:numPr>
        <w:rPr/>
      </w:pPr>
      <w:bookmarkStart w:id="400" w:name="__RefHeading___Toc2472321_581953129"/>
      <w:bookmarkStart w:id="401" w:name="_Toc154"/>
      <w:bookmarkEnd w:id="400"/>
      <w:r>
        <w:rPr>
          <w:rtl w:val="true"/>
        </w:rPr>
        <w:t>دیدگاه اول</w:t>
      </w:r>
      <w:bookmarkEnd w:id="401"/>
    </w:p>
    <w:p>
      <w:pPr>
        <w:pStyle w:val="Heading6"/>
        <w:numPr>
          <w:ilvl w:val="5"/>
          <w:numId w:val="1"/>
        </w:numPr>
        <w:rPr/>
      </w:pPr>
      <w:bookmarkStart w:id="402" w:name="__RefHeading___Toc2472323_581953129"/>
      <w:bookmarkStart w:id="403" w:name="_Toc155"/>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غالب فقها قائل به لزوم مقارنۀ زمانی بین اقرار و سلطنت هستند</w:t>
      </w:r>
      <w:r>
        <w:rPr>
          <w:rFonts w:eastAsia="IRNazanin" w:cs="IRNazanin"/>
          <w:color w:val="111111"/>
          <w:sz w:val="28"/>
          <w:szCs w:val="28"/>
          <w:rtl w:val="true"/>
          <w:lang w:bidi="fa-IR"/>
        </w:rPr>
        <w:t>.</w:t>
      </w:r>
    </w:p>
    <w:p>
      <w:pPr>
        <w:pStyle w:val="Heading6"/>
        <w:numPr>
          <w:ilvl w:val="5"/>
          <w:numId w:val="1"/>
        </w:numPr>
        <w:rPr/>
      </w:pPr>
      <w:bookmarkStart w:id="404" w:name="__RefHeading___Toc2472325_581953129"/>
      <w:bookmarkStart w:id="405" w:name="_Toc156"/>
      <w:bookmarkEnd w:id="404"/>
      <w:r>
        <w:rPr/>
        <w:t>1</w:t>
      </w:r>
      <w:r>
        <w:rPr>
          <w:rtl w:val="true"/>
        </w:rPr>
        <w:t xml:space="preserve">- </w:t>
      </w:r>
      <w:r>
        <w:rPr>
          <w:rtl w:val="true"/>
        </w:rPr>
        <w:t>نظریه محقق اول</w:t>
      </w:r>
      <w:bookmarkEnd w:id="405"/>
    </w:p>
    <w:p>
      <w:pPr>
        <w:pStyle w:val="BookText"/>
        <w:rPr/>
      </w:pPr>
      <w:r>
        <w:rPr>
          <w:rFonts w:ascii="IRNazanin" w:hAnsi="IRNazanin" w:eastAsia="IRNazanin"/>
          <w:color w:val="111111"/>
          <w:sz w:val="28"/>
          <w:sz w:val="28"/>
          <w:szCs w:val="28"/>
          <w:rtl w:val="true"/>
          <w:lang w:bidi="fa-IR"/>
        </w:rPr>
        <w:t>مرحوم محقق قدس سره در خصوص طلاق مریض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طلقت فی الصحة ثلاثا قبل منه ولم ترثه والوجه أنه لا یقبل بالنسبة إلی دها</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یعنی اگر مریض مشرف به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تصرّفات وی تنها در ثلث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مرض اقرار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زنم را در حال صحّت سه بار طلاق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طلاق از وی پذیرفته گشته و زن از ارث محروم می‌شود؛ اما قول مطابق با دلیل آن است که قول وی نسبت به محرومیت ارث زن مورد قبول نیست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فرض کنیم شوهر ادعا کند طلاق زنم بائن است، اما زوجه بگوید</w:t>
      </w:r>
      <w:bookmarkStart w:id="406" w:name="pg5537_41500"/>
    </w:p>
    <w:p>
      <w:pPr>
        <w:pStyle w:val="BookText"/>
        <w:rPr/>
      </w:pPr>
      <w:bookmarkEnd w:id="406"/>
      <w:r>
        <w:rPr>
          <w:rFonts w:ascii="IRNazanin" w:hAnsi="IRNazanin" w:eastAsia="IRNazanin"/>
          <w:color w:val="111111"/>
          <w:sz w:val="28"/>
          <w:sz w:val="28"/>
          <w:szCs w:val="28"/>
          <w:rtl w:val="true"/>
          <w:lang w:bidi="fa-IR"/>
        </w:rPr>
        <w:t>طلاقم رجعی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اختلاف این است که اگر شوهر در حال عده فوت کند،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ارث می‌برد، اما به مطلقۀ بائن ارث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عقیده دارد که اقرار چنین مردی پذیرفته است، اما آنچه در حق زوجۀ خود می‌گوید قبول نمی‌شود و شوهر در حال مرض موت نمی‌تواند زوجه خودش را از ارث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صاحب چنین سلطه‌ای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کلام محقق قدس سره بر می‌آید که در نظر وی، اقرار حتماً باید مقرون به سلطه بوده و عناوین ولایت، وصایت، تولی یا وکالت بر مقر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 ایشان، قبول اقرار دایر مدار سلطه است</w:t>
      </w:r>
      <w:r>
        <w:rPr>
          <w:rFonts w:eastAsia="IRNazanin" w:cs="IRNazanin"/>
          <w:color w:val="111111"/>
          <w:sz w:val="28"/>
          <w:szCs w:val="28"/>
          <w:rtl w:val="true"/>
          <w:lang w:bidi="fa-IR"/>
        </w:rPr>
        <w:t>.</w:t>
      </w:r>
    </w:p>
    <w:p>
      <w:pPr>
        <w:pStyle w:val="Heading6"/>
        <w:numPr>
          <w:ilvl w:val="5"/>
          <w:numId w:val="1"/>
        </w:numPr>
        <w:rPr/>
      </w:pPr>
      <w:bookmarkStart w:id="407" w:name="__RefHeading___Toc2472327_581953129"/>
      <w:bookmarkStart w:id="408" w:name="_Toc157"/>
      <w:bookmarkEnd w:id="407"/>
      <w:r>
        <w:rPr/>
        <w:t>2</w:t>
      </w:r>
      <w:r>
        <w:rPr>
          <w:rtl w:val="true"/>
        </w:rPr>
        <w:t xml:space="preserve">- </w:t>
      </w:r>
      <w:r>
        <w:rPr>
          <w:rtl w:val="true"/>
        </w:rPr>
        <w:t>نظریه علامه حلی</w:t>
      </w:r>
      <w:bookmarkEnd w:id="408"/>
    </w:p>
    <w:p>
      <w:pPr>
        <w:pStyle w:val="BookText"/>
        <w:rPr/>
      </w:pPr>
      <w:r>
        <w:rPr>
          <w:rFonts w:ascii="IRNazanin" w:hAnsi="IRNazanin" w:eastAsia="IRNazanin"/>
          <w:color w:val="111111"/>
          <w:sz w:val="28"/>
          <w:sz w:val="28"/>
          <w:szCs w:val="28"/>
          <w:rtl w:val="true"/>
          <w:lang w:bidi="fa-IR"/>
        </w:rPr>
        <w:t>مرحوم علامه قدس سره در مواضع متعددی از تحریر، بر شرط مزبور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مأذونا له فی التجارة، فإن أقرّ بما یتعلّق بها قبل ویؤخذ ما أقرّ به ممّا فی یده، ولو کان أکثر، لم یضمنه المولی بل یتبع به بعد العتق، کذا لو أقرّ بعد الحجر بدین أسنده إلی حالة الإذن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یعنی اقرار عبد مأذون در تجارت پس از زوال اذن، نسبت به دین مربوط به حال اذن،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عبد مأذون بعد از منع مولا ادعا کند که در زمان مأذون بودن، دینی را بر ذمۀ مولا داشته،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خصوص اقرار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هبه و قبض آن در زمان سلامت، شرط مزبور را به صورت کلی بیان کرده و چنین اظهار داشته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لا یتمکّن من إنشاء شیء لا ینفذ اقراره فیه</w:t>
      </w:r>
      <w:r>
        <w:rPr>
          <w:rFonts w:eastAsia="IRNazanin" w:cs="IRNazanin"/>
          <w:color w:val="111111"/>
          <w:sz w:val="28"/>
          <w:szCs w:val="28"/>
          <w:rtl w:val="true"/>
          <w:lang w:bidi="fa-IR"/>
        </w:rPr>
        <w:t>».</w:t>
      </w:r>
      <w:r>
        <w:rPr>
          <w:rStyle w:val="FootnoteAnchor"/>
          <w:rtl w:val="true"/>
        </w:rPr>
        <w:footnoteReference w:id="316"/>
      </w:r>
      <w:bookmarkStart w:id="409" w:name="pg5537_41502"/>
    </w:p>
    <w:p>
      <w:pPr>
        <w:pStyle w:val="BookText"/>
        <w:rPr/>
      </w:pPr>
      <w:bookmarkEnd w:id="409"/>
      <w:r>
        <w:rPr>
          <w:rFonts w:ascii="IRNazanin" w:hAnsi="IRNazanin" w:eastAsia="IRNazanin"/>
          <w:color w:val="111111"/>
          <w:sz w:val="28"/>
          <w:sz w:val="28"/>
          <w:szCs w:val="28"/>
          <w:rtl w:val="true"/>
          <w:lang w:bidi="fa-IR"/>
        </w:rPr>
        <w:t>هر کس متمکن از انشای چیزی نباشد اقرارش در آن مورد نافذ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اقرار مریض را از این حکم کلی چنین استنتاج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اقر المریض بانّه وهب و اقبض حال الصّحه لم ینفذ من الاصل</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یعنی اگر مریض اقرار کند که در حال سلامت، مالی راهبه کرده و آن را به قبض داده، اقرار او نسبت به اصل مال نافذ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بیمار در حال مرض منتهی به مرگ از تصرف در اموال خود به میزان مازاد بر ثلث، محجور است و در واقع سلطه فعلی بر کل اموال خود ندارد اقرار او نیز فقط تا حد ثلث نافذ است و لو آنکه عمل موضوع اقرار در زمانی صورت گرفته باشد که او در حال سلامت بوده و سلطه کامل بر اموال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نکاح تذکره خویش، در مسأله اقرار ولی به نکاح دختر، باز همین شرط را مورد تصریح قرار داده و آن را در زمانی که ولی سلطۀ فعلی بر انشاء نکاح مولی علیه ندارد، فاقد اعتبار شمرده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مرحوم علامه قدس سره در مسأله اقرار به امان نیز همچون محقق و سایر فقها، لزوم شرط مذکور را خاطر نشان ساخته و در مقام تعلیل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یصحّ منه حینئذ انشاؤه</w:t>
      </w:r>
      <w:r>
        <w:rPr>
          <w:rFonts w:eastAsia="IRNazanin" w:cs="IRNazanin"/>
          <w:color w:val="111111"/>
          <w:sz w:val="28"/>
          <w:szCs w:val="28"/>
          <w:rtl w:val="true"/>
          <w:lang w:bidi="fa-IR"/>
        </w:rPr>
        <w:t>».</w:t>
      </w:r>
      <w:r>
        <w:rPr>
          <w:rStyle w:val="FootnoteAnchor"/>
          <w:rtl w:val="true"/>
        </w:rPr>
        <w:footnoteReference w:id="319"/>
      </w:r>
    </w:p>
    <w:p>
      <w:pPr>
        <w:pStyle w:val="Heading6"/>
        <w:numPr>
          <w:ilvl w:val="5"/>
          <w:numId w:val="1"/>
        </w:numPr>
        <w:rPr/>
      </w:pPr>
      <w:bookmarkStart w:id="410" w:name="__RefHeading___Toc2472329_581953129"/>
      <w:bookmarkStart w:id="411" w:name="_Toc158"/>
      <w:bookmarkEnd w:id="410"/>
      <w:r>
        <w:rPr/>
        <w:t>3</w:t>
      </w:r>
      <w:r>
        <w:rPr>
          <w:rtl w:val="true"/>
        </w:rPr>
        <w:t xml:space="preserve">- </w:t>
      </w:r>
      <w:r>
        <w:rPr>
          <w:rtl w:val="true"/>
        </w:rPr>
        <w:t>نظریه شیخ انصاری</w:t>
      </w:r>
      <w:bookmarkEnd w:id="411"/>
    </w:p>
    <w:p>
      <w:pPr>
        <w:pStyle w:val="BookText"/>
        <w:rPr/>
      </w:pPr>
      <w:r>
        <w:rPr>
          <w:rFonts w:ascii="IRNazanin" w:hAnsi="IRNazanin" w:eastAsia="IRNazanin"/>
          <w:color w:val="111111"/>
          <w:sz w:val="28"/>
          <w:sz w:val="28"/>
          <w:szCs w:val="28"/>
          <w:rtl w:val="true"/>
          <w:lang w:bidi="fa-IR"/>
        </w:rPr>
        <w:t>مرحوم شیخ اعظم قدس سره نیز معتقد به لزوم تقارن زمانی اقرار با سلطنت بوده و برای اثبات نظریۀ خویش به اقتضاء جملۀ شرطیه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من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الإقرار بالشیء المملوک حین کونه مملوکا،</w:t>
      </w:r>
      <w:bookmarkStart w:id="412" w:name="pg5537_41504"/>
    </w:p>
    <w:p>
      <w:pPr>
        <w:pStyle w:val="BookText"/>
        <w:rPr/>
      </w:pPr>
      <w:bookmarkEnd w:id="412"/>
      <w:r>
        <w:rPr>
          <w:rFonts w:ascii="IRNazanin" w:hAnsi="IRNazanin" w:eastAsia="IRNazanin"/>
          <w:color w:val="111111"/>
          <w:sz w:val="28"/>
          <w:sz w:val="28"/>
          <w:szCs w:val="28"/>
          <w:rtl w:val="true"/>
          <w:lang w:bidi="fa-IR"/>
        </w:rPr>
        <w:t xml:space="preserve">وأنّ ملک الإقرار بالشیء تابع لملک ذلک الشیء حدوثا وبقاء علی ما یقتضیه الجملة الشرطیة الدالّة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التجرّد عن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العلّة فی الجزاء هو نفس الشرط لا حدوثه وإن زال</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ما حصل کلام شیخ این است که وقوع اقرار بر امر مورد اقرار، لزوماً بایستی در زمان مالکیت مقر بر آن امر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مقر در حین اقرار حتماً باید دارای یکی از عناوین سته</w:t>
      </w:r>
      <w:r>
        <w:rPr>
          <w:rStyle w:val="FootnoteAnchor"/>
          <w:rtl w:val="true"/>
        </w:rPr>
        <w:footnoteReference w:id="321"/>
      </w:r>
      <w:r>
        <w:rPr>
          <w:rFonts w:ascii="IRNazanin" w:hAnsi="IRNazanin" w:eastAsia="IRNazanin"/>
          <w:color w:val="111111"/>
          <w:sz w:val="28"/>
          <w:sz w:val="28"/>
          <w:szCs w:val="28"/>
          <w:rtl w:val="true"/>
          <w:lang w:bidi="fa-IR"/>
        </w:rPr>
        <w:t>باشد و اقرار وی پس از انقضای عناوین مزبور،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یک جمله شرطیه بوده و اصولاً جمله شرطیه در صورت فقدان قرینه مخالف، دلالت بر آن دارد که شرط، علت جزا است هم در اصل حدوث و تحقق آن و هم در استمرار و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اصل حدوث جزا منوط به تحقق شرط است بلکه بقای آن نیز بستگی به بقای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مورد بحث علت تسلط مقرّ بر اقرار و نفوذ و اعتبار آن، تسلط او بر انجام عمل موضوع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دلالت جمله شرطیه این علیّت هم در مرحله حدوث اختیار و تسلّط بر اقرار وجود دارد و هم در مرحله استمرار و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اقرار در صورتی معتبر شناخته می‌شود که اقرارکننده در زمان اقرار دارای سلطه فعلی بر انجام عمل مقرّ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اقوال فقهای پیش از خود به عنوان شاهد تمسک جسته و نمونه هایی ذکر نموده است</w:t>
      </w:r>
      <w:r>
        <w:rPr>
          <w:rFonts w:eastAsia="IRNazanin" w:cs="IRNazanin"/>
          <w:color w:val="111111"/>
          <w:sz w:val="28"/>
          <w:szCs w:val="28"/>
          <w:rtl w:val="true"/>
          <w:lang w:bidi="fa-IR"/>
        </w:rPr>
        <w:t>.</w:t>
      </w:r>
      <w:r>
        <w:rPr>
          <w:rStyle w:val="FootnoteAnchor"/>
          <w:rtl w:val="true"/>
        </w:rPr>
        <w:footnoteReference w:id="322"/>
      </w:r>
    </w:p>
    <w:p>
      <w:pPr>
        <w:pStyle w:val="Heading6"/>
        <w:numPr>
          <w:ilvl w:val="5"/>
          <w:numId w:val="1"/>
        </w:numPr>
        <w:rPr/>
      </w:pPr>
      <w:bookmarkStart w:id="413" w:name="__RefHeading___Toc2472331_581953129"/>
      <w:bookmarkStart w:id="414" w:name="_Toc159"/>
      <w:bookmarkEnd w:id="413"/>
      <w:r>
        <w:rPr/>
        <w:t>4</w:t>
      </w:r>
      <w:r>
        <w:rPr>
          <w:rtl w:val="true"/>
        </w:rPr>
        <w:t xml:space="preserve">- </w:t>
      </w:r>
      <w:r>
        <w:rPr>
          <w:rtl w:val="true"/>
        </w:rPr>
        <w:t>نظریه امام خمینی</w:t>
      </w:r>
      <w:bookmarkEnd w:id="41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قدس سره نیز در این مسأله موافق شیخ اعظم قدس سره و اکثریت بوده و شرط مزبور را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bookmarkStart w:id="415" w:name="pg5537_41506"/>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الظاهر أنّ ظرف وقوع الإقرار بالشیء هو ظرف مالکیته، کما هو الشأن فی کلّ القضایا مع تجرّدها عن القرائن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یعنی ظاهر قضیه اینست که ظرف اقرار، همان ظرف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تمام قضایای شرطیه که قرینه‌ای بر خلاف در بین نیست، مسئله به همین منوال می‌باشد</w:t>
      </w:r>
      <w:r>
        <w:rPr>
          <w:rFonts w:eastAsia="IRNazanin" w:cs="IRNazanin"/>
          <w:color w:val="111111"/>
          <w:sz w:val="28"/>
          <w:szCs w:val="28"/>
          <w:rtl w:val="true"/>
          <w:lang w:bidi="fa-IR"/>
        </w:rPr>
        <w:t>.</w:t>
      </w:r>
    </w:p>
    <w:p>
      <w:pPr>
        <w:pStyle w:val="Heading6"/>
        <w:numPr>
          <w:ilvl w:val="5"/>
          <w:numId w:val="1"/>
        </w:numPr>
        <w:rPr/>
      </w:pPr>
      <w:bookmarkStart w:id="416" w:name="__RefHeading___Toc2472333_581953129"/>
      <w:bookmarkStart w:id="417" w:name="_Toc160"/>
      <w:bookmarkEnd w:id="416"/>
      <w:r>
        <w:rPr>
          <w:rtl w:val="true"/>
        </w:rPr>
        <w:t>دیدگاه دوم</w:t>
      </w:r>
      <w:bookmarkEnd w:id="417"/>
    </w:p>
    <w:p>
      <w:pPr>
        <w:pStyle w:val="Heading6"/>
        <w:numPr>
          <w:ilvl w:val="5"/>
          <w:numId w:val="1"/>
        </w:numPr>
        <w:rPr/>
      </w:pPr>
      <w:bookmarkStart w:id="418" w:name="__RefHeading___Toc2472335_581953129"/>
      <w:bookmarkStart w:id="419" w:name="_Toc161"/>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دیدگاه برخی از فقها حاکی از پذیرش اقراری است که پس از زوال سلطه شخص بر عمل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عقیده دارند که اقرار ولو بعد از زوال سلطنت مقرّ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موافق این نظریه هستند؛ یکی شیخ طوسی قدس سره در مبسوط است و دیگری فخرالمحقّقین قدس سره در ایضاح</w:t>
      </w:r>
      <w:r>
        <w:rPr>
          <w:rFonts w:eastAsia="IRNazanin" w:cs="IRNazanin"/>
          <w:color w:val="111111"/>
          <w:sz w:val="28"/>
          <w:szCs w:val="28"/>
          <w:rtl w:val="true"/>
          <w:lang w:bidi="fa-IR"/>
        </w:rPr>
        <w:t>.</w:t>
      </w:r>
      <w:r>
        <w:rPr>
          <w:rStyle w:val="FootnoteAnchor"/>
          <w:rtl w:val="true"/>
        </w:rPr>
        <w:footnoteReference w:id="324"/>
      </w:r>
    </w:p>
    <w:p>
      <w:pPr>
        <w:pStyle w:val="Heading6"/>
        <w:numPr>
          <w:ilvl w:val="5"/>
          <w:numId w:val="1"/>
        </w:numPr>
        <w:rPr/>
      </w:pPr>
      <w:bookmarkStart w:id="420" w:name="__RefHeading___Toc2472337_581953129"/>
      <w:bookmarkStart w:id="421" w:name="_Toc162"/>
      <w:bookmarkEnd w:id="420"/>
      <w:r>
        <w:rPr/>
        <w:t>1</w:t>
      </w:r>
      <w:r>
        <w:rPr>
          <w:rtl w:val="true"/>
        </w:rPr>
        <w:t xml:space="preserve">- </w:t>
      </w:r>
      <w:r>
        <w:rPr>
          <w:rtl w:val="true"/>
        </w:rPr>
        <w:t>نظریه شیخ طوسی</w:t>
      </w:r>
      <w:bookmarkEnd w:id="421"/>
    </w:p>
    <w:p>
      <w:pPr>
        <w:pStyle w:val="BookText"/>
        <w:rPr/>
      </w:pPr>
      <w:r>
        <w:rPr>
          <w:rFonts w:ascii="IRNazanin" w:hAnsi="IRNazanin" w:eastAsia="IRNazanin"/>
          <w:color w:val="111111"/>
          <w:sz w:val="28"/>
          <w:sz w:val="28"/>
          <w:szCs w:val="28"/>
          <w:rtl w:val="true"/>
          <w:lang w:bidi="fa-IR"/>
        </w:rPr>
        <w:t>مرحوم شیخ قدس سره در مبسوط بر خلاف صاحب شرایع تصریح می‌کند که اقرار مریض به طلاق زوجه، موجب محرومیت زن از ارث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مریض أنه طلقها ثلاثا فی حال الصحة قبل قوله، وحکم بأنها بانت منه فی حال الصحة وتکون العدة من حین تکلم وهکذا یجب أن نقول إذا قال طلقتها ثلاثا علی الشروط التی یقع معها عندنا</w:t>
      </w:r>
      <w:r>
        <w:rPr>
          <w:rFonts w:eastAsia="IRNazanin" w:cs="IRNazanin"/>
          <w:color w:val="111111"/>
          <w:sz w:val="28"/>
          <w:szCs w:val="28"/>
          <w:rtl w:val="true"/>
          <w:lang w:bidi="fa-IR"/>
        </w:rPr>
        <w:t>».</w:t>
      </w:r>
      <w:r>
        <w:rPr>
          <w:rStyle w:val="FootnoteAnchor"/>
          <w:rtl w:val="true"/>
        </w:rPr>
        <w:footnoteReference w:id="32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مستلزم آن است که اقرار شخص پس از زوال مالکیت و تسلط نیز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وفق نظر مشهور فقها، هر چند که مریض در حال بیماری می‌تواند زن خود را طلاق دهد؛ اما این طلاق موجب محرومیت زن از ارث نمی‌شود، و در صورتی که زوج تا</w:t>
      </w:r>
      <w:bookmarkStart w:id="422" w:name="pg5537_41508"/>
    </w:p>
    <w:p>
      <w:pPr>
        <w:pStyle w:val="BookText"/>
        <w:rPr/>
      </w:pPr>
      <w:bookmarkEnd w:id="422"/>
      <w:r>
        <w:rPr>
          <w:rFonts w:ascii="IRNazanin" w:hAnsi="IRNazanin" w:eastAsia="IRNazanin"/>
          <w:color w:val="111111"/>
          <w:sz w:val="28"/>
          <w:sz w:val="28"/>
          <w:szCs w:val="28"/>
          <w:rtl w:val="true"/>
          <w:lang w:bidi="fa-IR"/>
        </w:rPr>
        <w:t>یک سال بعد از تاریخ طلاق به همان مرض بمیرد زوجه از او ارث می‌برد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 حال که شیخ طوسی با اقرار مریض به انشای طلاق در حال سلامت حکم به محرومیت زن از ارث نموده، در حقیقت قائل به عدم لزوم شرط مزبور در صحت و نفوذ اقرار شده است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p>
    <w:p>
      <w:pPr>
        <w:pStyle w:val="Heading6"/>
        <w:numPr>
          <w:ilvl w:val="5"/>
          <w:numId w:val="1"/>
        </w:numPr>
        <w:rPr/>
      </w:pPr>
      <w:bookmarkStart w:id="423" w:name="__RefHeading___Toc2472339_581953129"/>
      <w:bookmarkStart w:id="424" w:name="_Toc163"/>
      <w:bookmarkEnd w:id="423"/>
      <w:r>
        <w:rPr/>
        <w:t>2</w:t>
      </w:r>
      <w:r>
        <w:rPr>
          <w:rtl w:val="true"/>
        </w:rPr>
        <w:t xml:space="preserve">- </w:t>
      </w:r>
      <w:r>
        <w:rPr>
          <w:rtl w:val="true"/>
        </w:rPr>
        <w:t>نظریه فخر المحققین</w:t>
      </w:r>
      <w:bookmarkEnd w:id="424"/>
    </w:p>
    <w:p>
      <w:pPr>
        <w:pStyle w:val="BookText"/>
        <w:rPr/>
      </w:pPr>
      <w:r>
        <w:rPr>
          <w:rFonts w:ascii="IRNazanin" w:hAnsi="IRNazanin" w:eastAsia="IRNazanin"/>
          <w:color w:val="111111"/>
          <w:sz w:val="28"/>
          <w:sz w:val="28"/>
          <w:szCs w:val="28"/>
          <w:rtl w:val="true"/>
          <w:lang w:bidi="fa-IR"/>
        </w:rPr>
        <w:t xml:space="preserve">علاوه بر شیخ طوسی، مرحوم فخر المحققین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اختلاف ولی و مولی علیه، شرط مذکور را فاقد ضرورت دانسته می‌نویسد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ان القول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الإنفاق بالمعروف لعسر إقامة البیّنة فی کل وقت علی الإنفاق وعسر ضبطه ولا فی ان القول قوله فی التلف من غیر تفریط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الودعی ولا فی ان القول قول الأب فی ان القرض أو البیع للمصلحة لأنه غیر متهم فی حق ابنه وعلیه الإنفاق، والاشکال فی غیره ومنشأه أصالة صحة تصرفات المسلم المالک لذلک التصرف ولانه موضوع لفعل ما یعتقد أنه مصلحة</w:t>
      </w:r>
    </w:p>
    <w:p>
      <w:pPr>
        <w:pStyle w:val="BookText"/>
        <w:rPr/>
      </w:pPr>
      <w:r>
        <w:rPr>
          <w:rFonts w:ascii="IRNazanin" w:hAnsi="IRNazanin" w:eastAsia="IRNazanin"/>
          <w:color w:val="111111"/>
          <w:sz w:val="28"/>
          <w:sz w:val="28"/>
          <w:szCs w:val="28"/>
          <w:rtl w:val="true"/>
          <w:lang w:bidi="fa-IR"/>
        </w:rPr>
        <w:t xml:space="preserve">فلا یمکن إقامة البینة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بصلاح التصرف دعوی عدم التعدی وهو الأصل‌القول قوله فیه وأصالة بقاء الملک علی مالکه الی ان یثبت الناقل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الحاجة الی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المصالح، والأقوی ان کل من یلزم فعله أو إنشائه غیره یمضی إقراره بذلک علیه کبیع الولی</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مواردی که ولی شرعی ادعای انفاق به معروف یا ادعای تلف بدون تفریط دارد، بی‌شک قول وی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اقامۀ بینه برای هر موردی که انفاق می‌نماید، موجب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پدر ادعا کند که مال فرزندش را به جهت مصلحتی فروخته یا آن را قرض داده است، در این صورت نیز سخنش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شخص دیگری غیر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قیم یا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دعاوی فوق باشد، پذیرش قول وی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اشکال این است که از یک سو دلیل بر صحّت ادعا وجود دارد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اصالة الصحه در تصرفات و فعل مسلمان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چنین مواردی که شخص مجاز به تصرّف موجّه بوده و به مصلحت تصرّف خویش معتقد است، اقامۀ بینه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همین ادعای به مصلحت بودن تصرّف وی، در حقیقت به معنای ادعای عدم تعدّی و تفریط می‌باشد که مطابق با اصل بوده و قول چنین کسی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اما دلیل بر عدم صحت ادعای وی وجود دارد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اصال بر بقاء ملک در ید مالک است؛ مگر اینکه نقل و انتقال آن اثبات شده و دلیلی بر آن وجود داشته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صورت شک در اینکه آیا در فروش مال، مصلحت بوده یا خیر؛ اصل بر عدم وجود مصلحت است</w:t>
      </w:r>
      <w:r>
        <w:rPr>
          <w:rFonts w:eastAsia="IRNazanin" w:cs="IRNazanin"/>
          <w:color w:val="111111"/>
          <w:sz w:val="28"/>
          <w:szCs w:val="28"/>
          <w:rtl w:val="true"/>
          <w:lang w:bidi="fa-IR"/>
        </w:rPr>
        <w:t>.</w:t>
      </w:r>
      <w:bookmarkStart w:id="425" w:name="pg5537_41512"/>
    </w:p>
    <w:p>
      <w:pPr>
        <w:pStyle w:val="BookText"/>
        <w:rPr/>
      </w:pPr>
      <w:bookmarkEnd w:id="425"/>
      <w:r>
        <w:rPr>
          <w:rFonts w:ascii="IRNazanin" w:hAnsi="IRNazanin" w:eastAsia="IRNazanin"/>
          <w:color w:val="111111"/>
          <w:sz w:val="28"/>
          <w:sz w:val="28"/>
          <w:szCs w:val="28"/>
          <w:rtl w:val="true"/>
          <w:lang w:bidi="fa-IR"/>
        </w:rPr>
        <w:t>ثالثاً اصل بر این است که مصالح، پنهان نیستند و هر کسی می‌تواند بدان پی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خفاء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دیدگاه وی این است که اقرار پدر، به دلایلی مانند عسر و حرج اقامۀ بینه و اصالت صحت فعل و تصرفات مسلمان، حتی بعد از انقضای ولایت نیز نافذ است</w:t>
      </w:r>
      <w:r>
        <w:rPr>
          <w:rFonts w:eastAsia="IRNazanin" w:cs="IRNazanin"/>
          <w:color w:val="111111"/>
          <w:sz w:val="28"/>
          <w:szCs w:val="28"/>
          <w:rtl w:val="true"/>
          <w:lang w:bidi="fa-IR"/>
        </w:rPr>
        <w:t>.</w:t>
      </w:r>
    </w:p>
    <w:p>
      <w:pPr>
        <w:pStyle w:val="Heading6"/>
        <w:numPr>
          <w:ilvl w:val="5"/>
          <w:numId w:val="1"/>
        </w:numPr>
        <w:rPr/>
      </w:pPr>
      <w:bookmarkStart w:id="426" w:name="__RefHeading___Toc2472341_581953129"/>
      <w:bookmarkStart w:id="427" w:name="_Toc164"/>
      <w:bookmarkEnd w:id="426"/>
      <w:r>
        <w:rPr>
          <w:rtl w:val="true"/>
        </w:rPr>
        <w:t>دلیل احتمالی دیدگاه دوم</w:t>
      </w:r>
      <w:bookmarkEnd w:id="427"/>
    </w:p>
    <w:p>
      <w:pPr>
        <w:pStyle w:val="BookText"/>
        <w:rPr/>
      </w:pPr>
      <w:r>
        <w:rPr>
          <w:rFonts w:ascii="IRNazanin" w:hAnsi="IRNazanin" w:eastAsia="IRNazanin"/>
          <w:color w:val="111111"/>
          <w:sz w:val="28"/>
          <w:sz w:val="28"/>
          <w:szCs w:val="28"/>
          <w:rtl w:val="true"/>
          <w:lang w:bidi="fa-IR"/>
        </w:rPr>
        <w:t>برای اثبات عدم لزوم چنین شرطی ممکن است به استصحاب 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صحت و اعتبار اقرار، در حین وقوع فعل و سلطه شخص بر عمل یقینا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زوال قدرت شخص، اعتبار اقرار مورد تردید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 استصحاب که مفاد آن عدم نقض یقین به شک است باید حکم به بقای سلطه شخص بر اقرار و صحت و نفوذ آن کرد</w:t>
      </w:r>
      <w:r>
        <w:rPr>
          <w:rFonts w:eastAsia="IRNazanin" w:cs="IRNazanin"/>
          <w:color w:val="111111"/>
          <w:sz w:val="28"/>
          <w:szCs w:val="28"/>
          <w:rtl w:val="true"/>
          <w:lang w:bidi="fa-IR"/>
        </w:rPr>
        <w:t>.</w:t>
      </w:r>
    </w:p>
    <w:p>
      <w:pPr>
        <w:pStyle w:val="Heading5"/>
        <w:numPr>
          <w:ilvl w:val="4"/>
          <w:numId w:val="1"/>
        </w:numPr>
        <w:rPr/>
      </w:pPr>
      <w:bookmarkStart w:id="428" w:name="__RefHeading___Toc2472343_581953129"/>
      <w:bookmarkStart w:id="429" w:name="_Toc165"/>
      <w:bookmarkEnd w:id="428"/>
      <w:r>
        <w:rPr>
          <w:rtl w:val="true"/>
        </w:rPr>
        <w:t>مناقشۀ حضرت استاد</w:t>
      </w:r>
      <w:bookmarkEnd w:id="42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استصحابی فاقد وحدت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نفوذ اقرار مقر در سابق به جهت عناوین سته بوده که در زمان لاحق، عناوین مزبور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قبلاً وکیل یا ولی بوده ولی حال چنین عنوانی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یکی از شرایط اجرای استصحاب، وحدت قضیۀ متیقنه و مشکوکه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یقین و متعلق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مانحن فیه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می‌توان حکم به بقای مشکوک نمود که همان امر به طور عینی در سابق مورد یقین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اینجا، موضوع سلطه بر اقرار که در زمان سابق یقینی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مسلط بر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موضوع در زمان لاحق، متبدّل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فرض، وی دیگر اختیار انجام عمل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قضیّه متیقّنه و قضیّه مشکوکه وحدت برقرار نیست و به همین سبب مجالی برای اجرای استصحاب باقی نمی‌ماند</w:t>
      </w:r>
      <w:r>
        <w:rPr>
          <w:rFonts w:eastAsia="IRNazanin" w:cs="IRNazanin"/>
          <w:color w:val="111111"/>
          <w:sz w:val="28"/>
          <w:szCs w:val="28"/>
          <w:rtl w:val="true"/>
          <w:lang w:bidi="fa-IR"/>
        </w:rPr>
        <w:t>.</w:t>
      </w:r>
      <w:bookmarkStart w:id="430" w:name="pg5537_41514"/>
    </w:p>
    <w:p>
      <w:pPr>
        <w:pStyle w:val="Heading5"/>
        <w:numPr>
          <w:ilvl w:val="4"/>
          <w:numId w:val="1"/>
        </w:numPr>
        <w:rPr/>
      </w:pPr>
      <w:bookmarkStart w:id="431" w:name="__RefHeading___Toc2472345_581953129"/>
      <w:bookmarkStart w:id="432" w:name="_Toc166"/>
      <w:bookmarkEnd w:id="430"/>
      <w:bookmarkEnd w:id="431"/>
      <w:r>
        <w:rPr>
          <w:rtl w:val="true"/>
        </w:rPr>
        <w:t>نظر حضرت استاد</w:t>
      </w:r>
      <w:bookmarkEnd w:id="432"/>
    </w:p>
    <w:p>
      <w:pPr>
        <w:pStyle w:val="BookText"/>
        <w:rPr/>
      </w:pPr>
      <w:r>
        <w:rPr>
          <w:rFonts w:ascii="IRNazanin" w:hAnsi="IRNazanin" w:eastAsia="IRNazanin"/>
          <w:color w:val="111111"/>
          <w:sz w:val="28"/>
          <w:sz w:val="28"/>
          <w:szCs w:val="28"/>
          <w:rtl w:val="true"/>
          <w:lang w:bidi="fa-IR"/>
        </w:rPr>
        <w:t>به نظر ما قول اول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در کلمات شیخ انصاری قدس سره گذشت، ظهور قضیۀ شرطیه در اینست که جزا، هم حدوثاً و هم بقاءً بر شرط متفرع است نه اینکه فقط حدوثاً بر آن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با توجه به مستندات و ادلۀ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عمدۀ آنها اجماع و بناء عقلاست، باید دید اجماعی که بر این قاعده منعقد شده، مطلق است یا دلالت بر تفصیل بین دو حالت دارد؟ همچنین بنای عقلاء در حدود قاعده تا چه میزان می‌باشد؟</w:t>
      </w:r>
    </w:p>
    <w:p>
      <w:pPr>
        <w:pStyle w:val="BookText"/>
        <w:rPr/>
      </w:pPr>
      <w:r>
        <w:rPr>
          <w:rFonts w:ascii="IRNazanin" w:hAnsi="IRNazanin" w:eastAsia="IRNazanin"/>
          <w:color w:val="111111"/>
          <w:sz w:val="28"/>
          <w:sz w:val="28"/>
          <w:szCs w:val="28"/>
          <w:rtl w:val="true"/>
          <w:lang w:bidi="fa-IR"/>
        </w:rPr>
        <w:t>در پاسخ می‌گوییم که اجماع و بنای عقلاء دلیل لبی بوده و در موارد مشکوک بایستی به قدر متیقن أخذ شود و آن عبارتست از سلطنت فعلیه</w:t>
      </w:r>
      <w:r>
        <w:rPr>
          <w:rFonts w:eastAsia="IRNazanin" w:cs="IRNazanin"/>
          <w:color w:val="111111"/>
          <w:sz w:val="28"/>
          <w:szCs w:val="28"/>
          <w:rtl w:val="true"/>
          <w:lang w:bidi="fa-IR"/>
        </w:rPr>
        <w:t>.</w:t>
      </w:r>
      <w:r>
        <w:rPr>
          <w:rStyle w:val="FootnoteAnchor"/>
          <w:rtl w:val="true"/>
        </w:rPr>
        <w:footnoteReference w:id="33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قاعدۀ مذکور خصوص مقارنۀ زمانیۀ میان مالک شیء و مالک اقرار را در بر می‌گیرد و زائد بر آن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قدر متیقن آن است که برای اجرای قاعده من ملک فعلیت سلطه مقرّ، بر انجام عمل موضوع اقرار، ضروری است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433" w:name="pg5537_41517"/>
    </w:p>
    <w:p>
      <w:pPr>
        <w:pStyle w:val="Heading4"/>
        <w:numPr>
          <w:ilvl w:val="3"/>
          <w:numId w:val="1"/>
        </w:numPr>
        <w:rPr/>
      </w:pPr>
      <w:bookmarkStart w:id="434" w:name="__RefHeading___Toc2472347_581953129"/>
      <w:bookmarkStart w:id="435" w:name="_Toc167"/>
      <w:bookmarkEnd w:id="433"/>
      <w:bookmarkEnd w:id="434"/>
      <w:r>
        <w:rPr>
          <w:rtl w:val="true"/>
        </w:rPr>
        <w:t>پ</w:t>
      </w:r>
      <w:r>
        <w:rPr>
          <w:rtl w:val="true"/>
        </w:rPr>
        <w:t xml:space="preserve">- </w:t>
      </w:r>
      <w:r>
        <w:rPr>
          <w:rtl w:val="true"/>
        </w:rPr>
        <w:t>تامه بودن سلطنت بر موضوع اقرار</w:t>
      </w:r>
      <w:bookmarkEnd w:id="435"/>
    </w:p>
    <w:p>
      <w:pPr>
        <w:pStyle w:val="BookText"/>
        <w:rPr/>
      </w:pPr>
      <w:r>
        <w:rPr>
          <w:rFonts w:ascii="IRNazanin" w:hAnsi="IRNazanin" w:eastAsia="IRNazanin"/>
          <w:color w:val="111111"/>
          <w:sz w:val="28"/>
          <w:sz w:val="28"/>
          <w:szCs w:val="28"/>
          <w:rtl w:val="true"/>
          <w:lang w:bidi="fa-IR"/>
        </w:rPr>
        <w:t xml:space="preserve">آیا مراد از سلطنت، سلطنت مطلقۀ مستقله است یا اینکه مجرد القدرة علی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استقلالی هم در کار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دیگر سخن آیا تسلط مقرّ بر انجام عمل مورد اقرار باید به صورت مطلق</w:t>
      </w:r>
      <w:r>
        <w:rPr>
          <w:rStyle w:val="FootnoteAnchor"/>
          <w:rtl w:val="true"/>
        </w:rPr>
        <w:footnoteReference w:id="332"/>
      </w:r>
      <w:r>
        <w:rPr>
          <w:rFonts w:ascii="IRNazanin" w:hAnsi="IRNazanin" w:eastAsia="IRNazanin"/>
          <w:color w:val="111111"/>
          <w:sz w:val="28"/>
          <w:sz w:val="28"/>
          <w:szCs w:val="28"/>
          <w:rtl w:val="true"/>
          <w:lang w:bidi="fa-IR"/>
        </w:rPr>
        <w:t xml:space="preserve">و مستقل باشد؟ و یا صرف قدرت داشتن بر تصرف کافی است؟ این پرسش در حقیقت مربوط به جمله شرط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قدس سره در پاسخ به این پرسش دو احتمال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معنی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الموضوع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هی السلطنة المستقلة، أو مجرّد أنّ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بالمالک الأصیل والولیّ الإجباری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الوکیل والعبد المأذون أیضاً</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یعنی مراد از ملکیت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امر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سلطنت مستقله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تسلط باید مطلق و بدون معارض باشد و مقرّ بتواند مستقلا تصرف خویش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قدرت بر تصرف در یک مورد کافی است خواه به صورت مستقل یا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احتمال اول، قاعده دو مصداق بیشتر ندارد؛ یکی مالک اصیل است و دیگری ولی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نفوذ و اعتبار اقرار در فرض حاضر مختص به اقرار مالک اصیل و ولی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هستند که می‌توانند به صورت مستقل در اموال خود یا نسبت به مولی علیه تصرفاتی نمایند بدون آنکه کسی دیگر بتواند مانع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اشخاصی مانند وکیل و عبد مأذون و ولی اختیاری که مستقلا قادر به تصرف نیستند؛ اقرارشان نافذ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احتمال دوم، اقرار این گونه اشخاص نیز معتبر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قاعده علاوه بر مالک اصیل و ولی اجباری، شامل وکیل، عبد مأذون و متولی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ذکر دو احتمال فوق اذعان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أنّ مراد جلّ الفقهاء، بل کلّهم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تعبیرهم بأنّ له أن یفعل کذا فله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یقدر علی إنشاء شیء یقدر علی الإقرار به، ومن یلزم فعله غیره یلزم إقراره به علیه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جلّ فقها بلکه تمامی ایشان، دومی را اراده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w:t>
      </w:r>
    </w:p>
    <w:p>
      <w:pPr>
        <w:pStyle w:val="BookText"/>
        <w:rPr/>
      </w:pPr>
      <w:r>
        <w:rPr>
          <w:rFonts w:ascii="IRNazanin" w:hAnsi="IRNazanin" w:eastAsia="IRNazanin"/>
          <w:color w:val="111111"/>
          <w:sz w:val="28"/>
          <w:sz w:val="28"/>
          <w:szCs w:val="28"/>
          <w:rtl w:val="true"/>
          <w:lang w:bidi="fa-IR"/>
        </w:rPr>
        <w:t>فقها در مواردی به این قاعده استناد کرده‌اند که مقر قادر به تصرف در مورد اقرار است؛ هر چند قدرت او به صورت غیر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مسأله وکالت، صرف قدرت وکیل بر انشا را در پذیرش و اعتبار اقرار او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استقلال در تصرف و قدرت مطلق مقرّ شرط نفوذ، اقرار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سخن ما این است که فقها گاه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أن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یقدر علی إنشاء شیءٍ یقدر علی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والد محقّق قدس سره تعبیر زیبایی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بملاحظة موارد الاستدلال بالقاعدة فی کلمات الأصحاب؟ هو الثانی، فالمراد بها لیست هی السلطنة المطلقة بل مطلق السّلطنة کما لا یخفی</w:t>
      </w:r>
      <w:r>
        <w:rPr>
          <w:rFonts w:eastAsia="IRNazanin" w:cs="IRNazanin"/>
          <w:color w:val="111111"/>
          <w:sz w:val="28"/>
          <w:szCs w:val="28"/>
          <w:rtl w:val="true"/>
          <w:lang w:bidi="fa-IR"/>
        </w:rPr>
        <w:t>».</w:t>
      </w:r>
      <w:r>
        <w:rPr>
          <w:rStyle w:val="FootnoteAnchor"/>
          <w:rtl w:val="true"/>
        </w:rPr>
        <w:footnoteReference w:id="33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مراد، سلطنت مطلقه نیست بلکه مطلق السلطنة است</w:t>
      </w:r>
      <w:r>
        <w:rPr>
          <w:rFonts w:eastAsia="IRNazanin" w:cs="IRNazanin"/>
          <w:color w:val="111111"/>
          <w:sz w:val="28"/>
          <w:szCs w:val="28"/>
          <w:rtl w:val="true"/>
          <w:lang w:bidi="fa-IR"/>
        </w:rPr>
        <w:t>.</w:t>
      </w:r>
      <w:bookmarkStart w:id="436" w:name="pg5537_41523"/>
    </w:p>
    <w:p>
      <w:pPr>
        <w:pStyle w:val="Heading3"/>
        <w:numPr>
          <w:ilvl w:val="2"/>
          <w:numId w:val="1"/>
        </w:numPr>
        <w:rPr/>
      </w:pPr>
      <w:bookmarkStart w:id="437" w:name="__RefHeading___Toc2472349_581953129"/>
      <w:bookmarkStart w:id="438" w:name="_Toc168"/>
      <w:bookmarkEnd w:id="436"/>
      <w:bookmarkEnd w:id="437"/>
      <w:r>
        <w:rPr>
          <w:rtl w:val="true"/>
        </w:rPr>
        <w:t>فصل چهارم</w:t>
      </w:r>
      <w:r>
        <w:rPr>
          <w:rtl w:val="true"/>
        </w:rPr>
        <w:t xml:space="preserve">: </w:t>
      </w:r>
      <w:r>
        <w:rPr>
          <w:rtl w:val="true"/>
        </w:rPr>
        <w:t xml:space="preserve">گسترۀ قاعدۀ </w:t>
      </w:r>
      <w:r>
        <w:rPr>
          <w:rtl w:val="true"/>
        </w:rPr>
        <w:t>«</w:t>
      </w:r>
      <w:r>
        <w:rPr>
          <w:rtl w:val="true"/>
        </w:rPr>
        <w:t>من ملک</w:t>
      </w:r>
      <w:r>
        <w:rPr>
          <w:rtl w:val="true"/>
        </w:rPr>
        <w:t>»</w:t>
      </w:r>
      <w:bookmarkEnd w:id="438"/>
    </w:p>
    <w:p>
      <w:pPr>
        <w:pStyle w:val="Heading4"/>
        <w:numPr>
          <w:ilvl w:val="3"/>
          <w:numId w:val="1"/>
        </w:numPr>
        <w:rPr/>
      </w:pPr>
      <w:bookmarkStart w:id="439" w:name="__RefHeading___Toc2472351_581953129"/>
      <w:bookmarkStart w:id="440" w:name="_Toc169"/>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اقرار در فقه امامیه دارای اعتبار مطلق است، به گونه‌ای که انکار مقرّ پس از اقرار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شخص مقر جز در موارد خاصی نمی‌تواند بر خلاف اقرار خود بیّنه اقامه نموده و یا بر عدم وقوع مقرّ به،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وفق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در مواردی است که مفاد اقرار بر ضرر خود مقر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پرسش اینجاست که آیا در اقرارهایی که اعتبارشان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 نیز همین حکم جاریست یا خیر؟ به دیگر سخن آیا در این گونه موارد نیز اقرار دارای اعتبار مطلق است؟</w:t>
      </w:r>
    </w:p>
    <w:p>
      <w:pPr>
        <w:pStyle w:val="BookText"/>
        <w:rPr/>
      </w:pPr>
      <w:r>
        <w:rPr>
          <w:rFonts w:ascii="IRNazanin" w:hAnsi="IRNazanin" w:eastAsia="IRNazanin"/>
          <w:color w:val="111111"/>
          <w:sz w:val="28"/>
          <w:sz w:val="28"/>
          <w:szCs w:val="28"/>
          <w:rtl w:val="true"/>
          <w:lang w:bidi="fa-IR"/>
        </w:rPr>
        <w:t>به عنوان نمونه آیا اقرار وکیل به همان درجه معتبر است که اقرار اصیل اعتبار دارد؛ به گونه‌ای که اصیل نتواند بر خلاف اقرار وکیل اقامه بیّنه نماید؟</w:t>
      </w:r>
    </w:p>
    <w:p>
      <w:pPr>
        <w:pStyle w:val="BookText"/>
        <w:rPr/>
      </w:pPr>
      <w:r>
        <w:rPr>
          <w:rFonts w:ascii="IRNazanin" w:hAnsi="IRNazanin" w:eastAsia="IRNazanin"/>
          <w:color w:val="111111"/>
          <w:sz w:val="28"/>
          <w:sz w:val="28"/>
          <w:szCs w:val="28"/>
          <w:rtl w:val="true"/>
          <w:lang w:bidi="fa-IR"/>
        </w:rPr>
        <w:t xml:space="preserve">بنابراین مباحث این بخش در حقیقت به دامنۀ نفوذ اقرار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پذیرش آن و در یک جمله به میزان اعتبار اقرار در قاعده برمی گردد</w:t>
      </w:r>
      <w:r>
        <w:rPr>
          <w:rFonts w:eastAsia="IRNazanin" w:cs="IRNazanin"/>
          <w:color w:val="111111"/>
          <w:sz w:val="28"/>
          <w:szCs w:val="28"/>
          <w:rtl w:val="true"/>
          <w:lang w:bidi="fa-IR"/>
        </w:rPr>
        <w:t>.</w:t>
      </w:r>
    </w:p>
    <w:p>
      <w:pPr>
        <w:pStyle w:val="Heading4"/>
        <w:numPr>
          <w:ilvl w:val="3"/>
          <w:numId w:val="1"/>
        </w:numPr>
        <w:rPr/>
      </w:pPr>
      <w:bookmarkStart w:id="441" w:name="__RefHeading___Toc2472353_581953129"/>
      <w:bookmarkStart w:id="442" w:name="_Toc170"/>
      <w:bookmarkEnd w:id="441"/>
      <w:r>
        <w:rPr>
          <w:rtl w:val="true"/>
        </w:rPr>
        <w:t>کلام شیخ انصاری در میزان نفوذ اقرار</w:t>
      </w:r>
      <w:bookmarkEnd w:id="44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مرحوم شیخ قدس سره اگر اقرار از سوی مالک اصیل صورت گیرد، مسلماً نافذ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به</w:t>
      </w:r>
      <w:bookmarkStart w:id="443" w:name="pg5537_41525"/>
    </w:p>
    <w:p>
      <w:pPr>
        <w:pStyle w:val="BookText"/>
        <w:rPr/>
      </w:pPr>
      <w:bookmarkEnd w:id="443"/>
      <w:r>
        <w:rPr>
          <w:rFonts w:ascii="IRNazanin" w:hAnsi="IRNazanin" w:eastAsia="IRNazanin"/>
          <w:color w:val="111111"/>
          <w:sz w:val="28"/>
          <w:sz w:val="28"/>
          <w:szCs w:val="28"/>
          <w:rtl w:val="true"/>
          <w:lang w:bidi="fa-IR"/>
        </w:rPr>
        <w:t>عنوان مثال اگر پدری در روزهای آخر عمرش به فرزندان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خانه ام را وقف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وی بدون نیاز به بینه یا قسم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بالاتر از این، به نظر ما بینۀ مخالف نیز نمی‌تواند در مقابل نفوذ اقرار اصیل قد علم کند</w:t>
      </w:r>
      <w:r>
        <w:rPr>
          <w:rFonts w:eastAsia="IRNazanin" w:cs="IRNazanin"/>
          <w:color w:val="111111"/>
          <w:sz w:val="28"/>
          <w:szCs w:val="28"/>
          <w:rtl w:val="true"/>
          <w:lang w:bidi="fa-IR"/>
        </w:rPr>
        <w:t>.</w:t>
      </w:r>
    </w:p>
    <w:p>
      <w:pPr>
        <w:pStyle w:val="Heading4"/>
        <w:numPr>
          <w:ilvl w:val="3"/>
          <w:numId w:val="1"/>
        </w:numPr>
        <w:rPr/>
      </w:pPr>
      <w:bookmarkStart w:id="444" w:name="__RefHeading___Toc2472355_581953129"/>
      <w:bookmarkStart w:id="445" w:name="_Toc171"/>
      <w:bookmarkEnd w:id="444"/>
      <w:r>
        <w:rPr>
          <w:rtl w:val="true"/>
        </w:rPr>
        <w:t>احتمالات سه گانه در کلام شیخ انصاری</w:t>
      </w:r>
      <w:bookmarkEnd w:id="445"/>
    </w:p>
    <w:p>
      <w:pPr>
        <w:pStyle w:val="BookText"/>
        <w:rPr/>
      </w:pPr>
      <w:r>
        <w:rPr>
          <w:rFonts w:ascii="IRNazanin" w:hAnsi="IRNazanin" w:eastAsia="IRNazanin"/>
          <w:color w:val="111111"/>
          <w:sz w:val="28"/>
          <w:sz w:val="28"/>
          <w:szCs w:val="28"/>
          <w:rtl w:val="true"/>
          <w:lang w:bidi="fa-IR"/>
        </w:rPr>
        <w:t>شیخ پس از بیان حکم مزبور، در خصوص اقرار مالک اصیل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غیر 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کالولیّ والوکیل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أمورا</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اما اگر آن کسی که تصرّف کرده، شخصی غیر از مالک اصیل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ولی، یا عبد 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سه احتمال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علی الإقرار به، بمعنی أنّ إقراره ماض مطلقا، ویکون کإقرار ذلک الغیر الذی یتصرّف المقرّ عنه أو له، حتی أنّه لا یسمع منه بیّنة علی خلافه فضلا عن حلفه علی عدمه، وهذا المعنی وإن کان بحسب الظاهر أنسب بلفظ الإقرار إلّاأنّه یکاد یقطع بعدم إرادته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اقرار غیر اصیل به صورت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واجد همان آثاری است که اقرار اصیل دارد و در نتیجه انکار اصیل علیه وی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حتی اگر اصیل بر خلاف مفاد اقرار غیر اصیل، اقامه بیّنه یا سوگند نماید، پذیرفته نمی‌شود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لفظ اقرار ظهور در این معنا دارد اما ما قطع داریم به اینکه فقها این معنا را اراده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إقراره به نافذ بالنّسبة إلی الأصیل، کنفوذ إقراره، وإن لم یترتّب علیه جمیع آثار إقراره، فالتعبیر بالإقرار من حیث إنّه لمّا کان فی التّصرف نائبا عنه وکان کالتصرّف الصادر عن نفسه، فالإخبار به 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عن نفسه، ففعله کفعله ولسانه کلسانه، ولا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یقع هناک دعوی وبین أن لا یکون، ولا بین أن یکون الدعوی مع ذلک الأصیل أو مع ثالث</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اقرار نسبی است و اثبات خلاف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اقرار مقر غیر اصیل نسبت به اصیل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صورتی که اصیل بر شخص ثالث دعوایی داشته باشد، و وکیل در این میان بر علیه اصیل اقرار کند، اقرارش نافذ و به منزلۀ بیّنه‌ای علیه اصیل تلقی می‌گردد و اصیل نمی‌تواند با اقامه بیّنه یا دلیل معتبر دیگر، خلاف آن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جمیع آثار اقرار بر چنین اقراری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اقرار وکیل به نفع موکل نافذ نیست؛ بلکه اقرار وکیل تنها در نزاع اصیل با شخص ثالث، به نفع ثالث و به ضرر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اقرار نیز به این علت است که تصرف وکیل نازل منزلۀ تصرف موکل 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احتمال، اعتبار اقرار از حیث وجود اختلاف یا عدم آن و نیز از حیث طرفین دعوی مطلق است، یعنی فرقی ندارد که در خصوص موضوع، اصولاً اختلاف و دعوایی مطرح باشد یا خیر و در صورت وجود اختلاف نیز تفاوتی بین موردی که طرفین دعوی،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موردی که طرفین، اصیل و شخص ثالث باشند،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قدس سره برای احتمال دوم، سه نمونه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فلو أخبر الوکیل بقبض الدین من الغریم، فإخباره یکون بمنزلة البیّنة للغریم علی الأصیل لو ادّعی علیه بقاء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اگر وکیل، به قبض دین از بدهکار اقرار کند، اقرار او به منزلۀ بیّنه‌ای به نفع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طلبکار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وکیل گفت من دین شما موکل از غریم را گرفته ام، اما موکل ادعا کند که آن مدیون دین من را نداده، اقرار وکیل وفق این احتمال دوم بمنزلة البینة به نفع غریم و به ضرر موکل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أخبار الولیّ بالتّزویج إذا أنکرت المرأة علی الزوج التزویج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هرگاه ولی، خبر از تزویج مولیّ علیه دهد، اخبار او به مثابۀ بیّنه‌ای به نفع زوج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کنیم که زوجی به زوجه 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تو صغیره بودی ولی ات تو را برایم تزویج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زوجه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اقرار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تزویج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اقرار به منزلۀ بینه‌ای به نفع زوج و به ضرر زوجه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ادّعی البائع علی الأصیل شراء وکیله المتاع بأزید مما یقرّ به الأصیل، فشهد له الوکیل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بایع بر علیه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کند که کالا را به بیش از قیمت مورد قبول مشتری فروخته و وکیل مشتری بدان اقرار کند، اعتبار چنین اقراری همانند بیّنه‌ای به نفع بایع در مقابل مشتری است</w:t>
      </w:r>
      <w:r>
        <w:rPr>
          <w:rFonts w:eastAsia="IRNazanin" w:cs="IRNazanin"/>
          <w:color w:val="111111"/>
          <w:sz w:val="28"/>
          <w:szCs w:val="28"/>
          <w:rtl w:val="true"/>
          <w:lang w:bidi="fa-IR"/>
        </w:rPr>
        <w:t>.</w:t>
      </w:r>
      <w:bookmarkStart w:id="446" w:name="pg5537_41531"/>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قبول قوله بالنّسبة إلی الأصیل لو أنکره، فیختصّ بالتداعی الواقع بینهما، فلا تعرّض فیه لقبول قوله بالنسبة إلی الأصیل لو کانت الدعوی ترجع علی ثالث، حتّی یکون کالشاهد للثالث علی الأصیل</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اعتبار اقرار محدود به مواردی است که بین اصیل و مقرّ اختلاف و دعوایی مطرح باشد؛ اما اگر اختلاف در واقع میان اصیل و شخص ثالث باشد اقرار غیر اصیل فاقد اعتبار است</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447" w:name="__RefHeading___Toc2472357_581953129"/>
      <w:bookmarkStart w:id="448" w:name="_Toc172"/>
      <w:bookmarkEnd w:id="447"/>
      <w:r>
        <w:rPr>
          <w:rtl w:val="true"/>
        </w:rPr>
        <w:t>بررسی احتمالات سه گانه در کلام شیخ انصاری</w:t>
      </w:r>
      <w:bookmarkEnd w:id="448"/>
    </w:p>
    <w:p>
      <w:pPr>
        <w:pStyle w:val="BookText"/>
        <w:rPr/>
      </w:pPr>
      <w:r>
        <w:rPr>
          <w:rFonts w:ascii="IRNazanin" w:hAnsi="IRNazanin" w:eastAsia="IRNazanin"/>
          <w:color w:val="111111"/>
          <w:sz w:val="28"/>
          <w:sz w:val="28"/>
          <w:szCs w:val="28"/>
          <w:rtl w:val="true"/>
          <w:lang w:bidi="fa-IR"/>
        </w:rPr>
        <w:t>با توجه به اینکه مستند قاعده آیه یا روایت نیست تا بتوان از مدلول الفاظ آن، مفاد قاعده و حدود اعتبار اقرار را به درستی تعیین نمود، مرحوم شیخ قدس سره صریحاً اظهار نظر ننموده و هیچ یک از احتمالات مذکور را بطور جزم ترجیح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مورد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اوسع احتمالات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این معنی بالفظ اقرار سازگارتر است، اما قطعا می‌دانیم در قاعده چنین معنایی از اقرار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معلوم می‌شود که احتمال اول یقیناً مختار شیخ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باقی می‌ماند احتمال دوم و احتمال سوم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پیرامون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دایره اش نسبت به احتمال اول محدودتر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آن که کلیه آثار اقرار مترتب نمی‌گردد تعبیر به اقرار از آن جهت است که غیر اصیل، نماینده اصیل است و تصرف او مانند تصرف اصیل است، پس فعل او و</w:t>
      </w:r>
    </w:p>
    <w:p>
      <w:pPr>
        <w:pStyle w:val="BookText"/>
        <w:rPr/>
      </w:pPr>
      <w:r>
        <w:rPr>
          <w:rFonts w:ascii="IRNazanin" w:hAnsi="IRNazanin" w:eastAsia="IRNazanin"/>
          <w:color w:val="111111"/>
          <w:sz w:val="28"/>
          <w:sz w:val="28"/>
          <w:szCs w:val="28"/>
          <w:rtl w:val="true"/>
          <w:lang w:bidi="fa-IR"/>
        </w:rPr>
        <w:t>لسان او همانند فعل و لسان اصیل است، بنابراین اخبار شخص غیر اصیل علیه او همانند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ترجیح آن بر سایر احتمالات سخنی به میان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اضیق سه احتمال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دارد که ظهور در اختیار این احتمال از سوی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یجمع بین حکم المحقّق والعلّامة</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با این احتمال می‌توان بین دو فتوی از محقّق حلی و علامه حلی که به ظاهر با هم متعارضند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مطلب را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 حکم المحقّق والعلّامة بتقدیم قول الوکیل فیما إذا ادّعی علی الموکّل إتیان ما وکّل فیه، معلّلین بأنّه أقرّ بما له أن یفعله،</w:t>
      </w:r>
      <w:r>
        <w:rPr>
          <w:rStyle w:val="FootnoteAnchor"/>
          <w:rtl w:val="true"/>
        </w:rPr>
        <w:footnoteReference w:id="346"/>
      </w:r>
      <w:r>
        <w:rPr>
          <w:rFonts w:ascii="IRNazanin" w:hAnsi="IRNazanin" w:eastAsia="IRNazanin"/>
          <w:color w:val="111111"/>
          <w:sz w:val="28"/>
          <w:sz w:val="28"/>
          <w:szCs w:val="28"/>
          <w:rtl w:val="true"/>
          <w:lang w:bidi="fa-IR"/>
        </w:rPr>
        <w:t>وتقدیم قول الموکّل فیما إذا ادّعی الوکیل شراء العبد بمائة وادّعی الموکّل شراءه بثمانین، معلّلین بأنّ الموکّل غارم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ومعنی ذلک أنّ الوکیل لا یرید أن یدفع عن نفسه شیئاً وإنّما یرید أن یثبت لغیره حقّا علی موکّله، فهو بمنزلة الشاهد علی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إقراره بما له أن یفعله فیما یتعلّق بنفسه لا فیما یتعلّق بغیره</w:t>
      </w:r>
      <w:r>
        <w:rPr>
          <w:rFonts w:eastAsia="IRNazanin" w:cs="IRNazanin"/>
          <w:color w:val="111111"/>
          <w:sz w:val="28"/>
          <w:szCs w:val="28"/>
          <w:rtl w:val="true"/>
          <w:lang w:bidi="fa-IR"/>
        </w:rPr>
        <w:t>».</w:t>
      </w:r>
      <w:r>
        <w:rPr>
          <w:rStyle w:val="FootnoteAnchor"/>
          <w:rtl w:val="true"/>
        </w:rPr>
        <w:footnoteReference w:id="3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دو بزرگوار از یک سو در موردی که وکیل در مقابل موکل، مدّعی انجام مورد وکالت است، قول وکیل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اقرار کرده که اختیار</w:t>
      </w:r>
      <w:bookmarkStart w:id="449" w:name="pg5537_41535"/>
    </w:p>
    <w:p>
      <w:pPr>
        <w:pStyle w:val="BookText"/>
        <w:rPr/>
      </w:pPr>
      <w:bookmarkEnd w:id="449"/>
      <w:r>
        <w:rPr>
          <w:rFonts w:ascii="IRNazanin" w:hAnsi="IRNazanin" w:eastAsia="IRNazanin"/>
          <w:color w:val="111111"/>
          <w:sz w:val="28"/>
          <w:sz w:val="28"/>
          <w:szCs w:val="28"/>
          <w:rtl w:val="true"/>
          <w:lang w:bidi="fa-IR"/>
        </w:rPr>
        <w:t>انجام آن را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داشته‌اند؛ و از سوی دیگر در موردی که وکیل ادعای خریداری عبدی را به صد تومان دارد و در مقابل، موکل مدّعی است که وی آن را به هشتاد تومان خریده، قول موکل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تعلیل که موکل غارم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معنی است که وکیل در مورد دوّم، با اقرار خود صرفاً نمی‌خواهد در مورد عملی که به عهده وی بوده اقراری کند و آن را انجام داده شده تلقی نماید و در صدد دفاع از خویش نیست؛ بلکه می‌خواهد در مقابل موکل حقی را برای شخص ثالث اثبات نماید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واقع اقرار وکیل در اینجا به منزلۀ شاهدی به زیان موکل و به نفع شخص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اقرار وکیل در آنچه که مربوط به فعل و عمل وکالت خویش است، در صورتی پذیرفته می‌شود که مربوط به امور خود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یا عدم انجام مورد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بر له یا ضرر شخص ثالث است، اقرار وی معتبر نیست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مرحوم شیخ اعظم قدس سره پس از ذکر فتاوای محقق قدس سره و علامه قدس سره و جمع بین دو فتوا، به کلمات شیخ طوسی قدس سره استناد نموده و به عنوان مؤیدی برای ترجیح قول سوم دو عبارت از مبسوط نقل می‌کند که در آنها شیخ قائل به تفصیل شده است</w:t>
      </w:r>
      <w:r>
        <w:rPr>
          <w:rFonts w:eastAsia="IRNazanin" w:cs="IRNazanin"/>
          <w:color w:val="111111"/>
          <w:sz w:val="28"/>
          <w:szCs w:val="28"/>
          <w:rtl w:val="true"/>
          <w:lang w:bidi="fa-IR"/>
        </w:rPr>
        <w:t>.</w:t>
      </w:r>
    </w:p>
    <w:p>
      <w:pPr>
        <w:pStyle w:val="Heading4"/>
        <w:numPr>
          <w:ilvl w:val="3"/>
          <w:numId w:val="1"/>
        </w:numPr>
        <w:rPr/>
      </w:pPr>
      <w:bookmarkStart w:id="450" w:name="__RefHeading___Toc2472359_581953129"/>
      <w:bookmarkStart w:id="451" w:name="_Toc173"/>
      <w:bookmarkEnd w:id="450"/>
      <w:r>
        <w:rPr>
          <w:rtl w:val="true"/>
        </w:rPr>
        <w:t>تفصیل شیخ طوسی در مبسوط</w:t>
      </w:r>
      <w:bookmarkEnd w:id="451"/>
    </w:p>
    <w:p>
      <w:pPr>
        <w:pStyle w:val="Heading5"/>
        <w:numPr>
          <w:ilvl w:val="4"/>
          <w:numId w:val="1"/>
        </w:numPr>
        <w:rPr/>
      </w:pPr>
      <w:bookmarkStart w:id="452" w:name="__RefHeading___Toc2472361_581953129"/>
      <w:bookmarkStart w:id="453" w:name="_Toc174"/>
      <w:bookmarkEnd w:id="452"/>
      <w:r>
        <w:rPr>
          <w:rtl w:val="true"/>
        </w:rPr>
        <w:t>اشاره</w:t>
      </w:r>
      <w:bookmarkEnd w:id="4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قدس سره در فروع اختلاف وکیل و موکل در کتاب مبسوط خویش، پیرامون مسألۀ مزبور در فرع اول و دوم نظرات متفاوتی ابراز نموده که مورد انتقاد</w:t>
      </w:r>
      <w:bookmarkStart w:id="454" w:name="pg5537_41537"/>
    </w:p>
    <w:p>
      <w:pPr>
        <w:pStyle w:val="BookText"/>
        <w:rPr/>
      </w:pPr>
      <w:bookmarkEnd w:id="454"/>
      <w:r>
        <w:rPr>
          <w:rFonts w:ascii="IRNazanin" w:hAnsi="IRNazanin" w:eastAsia="IRNazanin"/>
          <w:color w:val="111111"/>
          <w:sz w:val="28"/>
          <w:sz w:val="28"/>
          <w:szCs w:val="28"/>
          <w:rtl w:val="true"/>
          <w:lang w:bidi="fa-IR"/>
        </w:rPr>
        <w:t>محقق حلی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فرع اول تصریح نموده که در اختلاف وکیل و موکل؛ قول موکل با یمین مقدّم است، اما در فرع دوم اذعان نموده که قول وکیل با یمین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عبارات شیخ</w:t>
      </w:r>
      <w:r>
        <w:rPr>
          <w:rFonts w:eastAsia="IRNazanin" w:cs="IRNazanin"/>
          <w:color w:val="111111"/>
          <w:sz w:val="28"/>
          <w:szCs w:val="28"/>
          <w:rtl w:val="true"/>
          <w:lang w:bidi="fa-IR"/>
        </w:rPr>
        <w:t>:</w:t>
      </w:r>
    </w:p>
    <w:p>
      <w:pPr>
        <w:pStyle w:val="Heading5"/>
        <w:numPr>
          <w:ilvl w:val="4"/>
          <w:numId w:val="1"/>
        </w:numPr>
        <w:rPr/>
      </w:pPr>
      <w:bookmarkStart w:id="455" w:name="__RefHeading___Toc2472363_581953129"/>
      <w:bookmarkStart w:id="456" w:name="_Toc175"/>
      <w:bookmarkEnd w:id="455"/>
      <w:r>
        <w:rPr>
          <w:rtl w:val="true"/>
        </w:rPr>
        <w:t>فرع اول شیخ</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 رجلا فی قبض دین له علی غیره</w:t>
      </w:r>
      <w:r>
        <w:rPr>
          <w:rStyle w:val="FootnoteAnchor"/>
          <w:rtl w:val="true"/>
        </w:rPr>
        <w:footnoteReference w:id="351"/>
      </w:r>
      <w:r>
        <w:rPr>
          <w:rFonts w:ascii="IRNazanin" w:hAnsi="IRNazanin" w:eastAsia="IRNazanin"/>
          <w:color w:val="111111"/>
          <w:sz w:val="28"/>
          <w:sz w:val="28"/>
          <w:szCs w:val="28"/>
          <w:rtl w:val="true"/>
          <w:lang w:bidi="fa-IR"/>
        </w:rPr>
        <w:t>فادعی الوکیل أنه قبضه منه‌سلمه إلیه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فی یدی وصدقه من علیه الدین، وقال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یقبضه منه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قول الموکل مع یمینه ولا یقبل قول الوکیل ولا المدین إلا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الموکل یدعی المال علی المدین دون الوکیل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أستحق علیک شیئا لأنک لم تقبض المال، وإن مالی باق علی المدین ولهذا إذا حلف المدعی طالب الذی علیه الدین ولا یثبت بیمینه علی الوکیل شیء فإذا کان کذلک کان بمنزلة أن یدعی من علیه الدین دفع المال إلیه وهو ینکره فیکون القول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هاهنا، وهذا أقوی</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فرض کنید یک نفر، دیگری را وکیل کرده که بدهی او را از 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سپس وکیل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موکل را از غریم گرفتم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موکل را از غریمش گرفتم، اما پس از قبض در دستم تلف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غریم نیز ادعای وکیل را در قبض تصدیق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من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موکل اصل قبض را انکار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اصلاً طلب مرا از غریم من نگرفته است</w:t>
      </w:r>
      <w:r>
        <w:rPr>
          <w:rFonts w:eastAsia="IRNazanin" w:cs="IRNazanin"/>
          <w:color w:val="111111"/>
          <w:sz w:val="28"/>
          <w:szCs w:val="28"/>
          <w:rtl w:val="true"/>
          <w:lang w:bidi="fa-IR"/>
        </w:rPr>
        <w:t>».</w:t>
      </w:r>
      <w:bookmarkStart w:id="457" w:name="pg5537_41539"/>
    </w:p>
    <w:p>
      <w:pPr>
        <w:pStyle w:val="BookText"/>
        <w:rPr/>
      </w:pPr>
      <w:bookmarkEnd w:id="457"/>
      <w:r>
        <w:rPr>
          <w:rFonts w:ascii="IRNazanin" w:hAnsi="IRNazanin" w:eastAsia="IRNazanin"/>
          <w:color w:val="111111"/>
          <w:sz w:val="28"/>
          <w:sz w:val="28"/>
          <w:szCs w:val="28"/>
          <w:rtl w:val="true"/>
          <w:lang w:bidi="fa-IR"/>
        </w:rPr>
        <w:t>شیخ طوسی قدس سره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قومی از فقها این است که قول موکل همراه با یمین بر قول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و 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موکل بر انکار قول وکیل و غریم، قسم یاد کند، حرف او قبول است؛ مگر اینکه آن دو بینه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موکل، مدعی طلب خود بر ذمۀ غریم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 موکل، غریم است، نه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غریم مدعی پرداخت دین خویش به موکل است، اما موکل پرداخت دین توسط غریم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حقیقت غریم مدعی است و موکل،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 اثبات بر دوش غریم است و چون بینه ندارد، موکل که منکر است قسم یاد می‌کند و مسئله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 اقوی است</w:t>
      </w:r>
      <w:r>
        <w:rPr>
          <w:rFonts w:eastAsia="IRNazanin" w:cs="IRNazanin"/>
          <w:color w:val="111111"/>
          <w:sz w:val="28"/>
          <w:szCs w:val="28"/>
          <w:rtl w:val="true"/>
          <w:lang w:bidi="fa-IR"/>
        </w:rPr>
        <w:t>».</w:t>
      </w:r>
    </w:p>
    <w:p>
      <w:pPr>
        <w:pStyle w:val="Heading5"/>
        <w:numPr>
          <w:ilvl w:val="4"/>
          <w:numId w:val="1"/>
        </w:numPr>
        <w:rPr/>
      </w:pPr>
      <w:bookmarkStart w:id="458" w:name="__RefHeading___Toc2472365_581953129"/>
      <w:bookmarkStart w:id="459" w:name="_Toc176"/>
      <w:bookmarkEnd w:id="458"/>
      <w:r>
        <w:rPr>
          <w:rtl w:val="true"/>
        </w:rPr>
        <w:t>فرع دوم شیخ</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وکله بالبیع والتسلیم وقبض الثمن فباعه وسلم المبیع فادعی قبض الثمن وتلفه فی یده أو دفعه إلیه فأنکر الموکل أن یکون قبضه من المشتری کان القول قول الوکیل مع یمینه لأن الوکیل مدعی علیه لأنه یدعی أنه سلم المبیع ولم یقبض الثمن فصار ضامنا فیکون القول قول الوکیل مع یمینه لأن الأصل أنه أمین وأنه لا ضمان علیه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فرض حاضر، وکیل از جانب موکل وکالت بر فروش و تسلیم مبیع و قبض ثمن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مبیع را فروخته، تحویل مشتری دادم و ثمن را نیز گرفتم، اما ثمن در دستم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را به من داد و من به موکل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موکل قبض را انکار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اصلاً ثمن را از مشتری نگرفته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قدس سره پس از بیان نظر فوق،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وکیل همراه با یمین</w:t>
      </w:r>
      <w:r>
        <w:rPr>
          <w:rStyle w:val="FootnoteAnchor"/>
          <w:rtl w:val="true"/>
        </w:rPr>
        <w:footnoteReference w:id="354"/>
      </w:r>
      <w:r>
        <w:rPr>
          <w:rFonts w:ascii="IRNazanin" w:hAnsi="IRNazanin" w:eastAsia="IRNazanin"/>
          <w:color w:val="111111"/>
          <w:sz w:val="28"/>
          <w:sz w:val="28"/>
          <w:szCs w:val="28"/>
          <w:rtl w:val="true"/>
          <w:lang w:bidi="fa-IR"/>
        </w:rPr>
        <w:t>مقبول</w:t>
      </w:r>
      <w:bookmarkStart w:id="460" w:name="pg5537_41541"/>
    </w:p>
    <w:p>
      <w:pPr>
        <w:pStyle w:val="BookText"/>
        <w:rPr/>
      </w:pPr>
      <w:bookmarkEnd w:id="46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وکیل در این حالت مدعی علیه واقع شده و موکل مدعی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موکل ادعا می‌کند که وکیل، مبیع را تحویل مشتری داده، اما ثمن را نگرفته، پس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موکل مقدم شود؛ موجب ضمان و اثبات غرامت بر ذمۀ وکیل می‌شود؛ در حالی که اصل در وکالت، امین بودن وکیل و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مطابق اصل، وکیل امین است و ضمانی بر عهده‌اش نیست</w:t>
      </w:r>
      <w:r>
        <w:rPr>
          <w:rFonts w:eastAsia="IRNazanin" w:cs="IRNazanin"/>
          <w:color w:val="111111"/>
          <w:sz w:val="28"/>
          <w:szCs w:val="28"/>
          <w:rtl w:val="true"/>
          <w:lang w:bidi="fa-IR"/>
        </w:rPr>
        <w:t>.</w:t>
      </w:r>
    </w:p>
    <w:p>
      <w:pPr>
        <w:pStyle w:val="Heading4"/>
        <w:numPr>
          <w:ilvl w:val="3"/>
          <w:numId w:val="1"/>
        </w:numPr>
        <w:rPr/>
      </w:pPr>
      <w:bookmarkStart w:id="461" w:name="__RefHeading___Toc2472367_581953129"/>
      <w:bookmarkStart w:id="462" w:name="_Toc177"/>
      <w:bookmarkEnd w:id="461"/>
      <w:r>
        <w:rPr>
          <w:rtl w:val="true"/>
        </w:rPr>
        <w:t>تفاوت دو فرع مذکور از دیدگاه شیخ طوسی</w:t>
      </w:r>
      <w:bookmarkEnd w:id="462"/>
    </w:p>
    <w:p>
      <w:pPr>
        <w:pStyle w:val="BookText"/>
        <w:rPr/>
      </w:pPr>
      <w:r>
        <w:rPr>
          <w:rFonts w:ascii="IRNazanin" w:hAnsi="IRNazanin" w:eastAsia="IRNazanin"/>
          <w:color w:val="111111"/>
          <w:sz w:val="28"/>
          <w:sz w:val="28"/>
          <w:szCs w:val="28"/>
          <w:rtl w:val="true"/>
          <w:lang w:bidi="fa-IR"/>
        </w:rPr>
        <w:t>شیخ قدس سره پس از ذکر احکام فروع مذکور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ویخالف المسئلة الأولی لأن المدعی علیه هو الذی علیه الدین وهو الخصم فیه وفی المسئلة الأولی إذا جعلنا القول قول الموکل لم نوجب علی الوکیل غرامة وفی المسئلة الثانیة نوجب غرامته فجعلنا القول قول الوکیل فی الثانیة إذا کان بالضد من ذلک فادعی المشتری دفع الثمن إلی الوکیل‌أنکر الوکیل ذلک وصدقه الموکل کان القول قول الموکل إذا ادعی لم یجز له الرد علی المشتری لأنه یدعی أنه لم یدفع الثمن إلیه ولا إلی وکیله، وله أن یرد علی الوکیل لأنه قد أقر بقبض الثمن منه فلم یجز أن یرجع علیه وکان القول قوله مع یمینه أنه ما قبض ولا وکیله وهکذا إذا اختلفا فی الثمن تحالفا وترادا فطالبه بالبینة کان القول قوله مع یمینه</w:t>
      </w:r>
      <w:r>
        <w:rPr>
          <w:rFonts w:eastAsia="IRNazanin" w:cs="IRNazanin"/>
          <w:color w:val="111111"/>
          <w:sz w:val="28"/>
          <w:szCs w:val="28"/>
          <w:rtl w:val="true"/>
          <w:lang w:bidi="fa-IR"/>
        </w:rPr>
        <w:t>».</w:t>
      </w:r>
      <w:r>
        <w:rPr>
          <w:rStyle w:val="FootnoteAnchor"/>
          <w:rtl w:val="true"/>
        </w:rPr>
        <w:footnoteReference w:id="35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تفاوت این مسأله با مسأله اول آن است که در مسأله اول، مدّعی علیه کسی است که دین بر عهده او است و او خصم است و اگر قول موکل را مقدم بداریم موجب غرامتی بر عهدۀ وکیل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دوم، در صورت تقدیم قول موکل، وکیل باید غرامت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مسأله دوم قول وکیل مقدم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فرع نخست اگر قول موکل مقدم شود، موجب ضمان و غرامت وکیل</w:t>
      </w:r>
      <w:bookmarkStart w:id="463" w:name="pg5537_41543"/>
    </w:p>
    <w:p>
      <w:pPr>
        <w:pStyle w:val="BookText"/>
        <w:rPr/>
      </w:pPr>
      <w:bookmarkEnd w:id="463"/>
      <w:r>
        <w:rPr>
          <w:rFonts w:ascii="IRNazanin" w:hAnsi="IRNazanin" w:eastAsia="IRNazanin"/>
          <w:color w:val="111111"/>
          <w:sz w:val="28"/>
          <w:sz w:val="28"/>
          <w:szCs w:val="28"/>
          <w:rtl w:val="true"/>
          <w:lang w:bidi="fa-IR"/>
        </w:rPr>
        <w:t>نیست، ولی چون در فرع دوم با تقدیم قول موکل، ضمان و غرامت بر ذمۀ وکیل ثابت می‌شود، قول موکل را مقدم نمی‌داریم</w:t>
      </w:r>
      <w:r>
        <w:rPr>
          <w:rFonts w:eastAsia="IRNazanin" w:cs="IRNazanin"/>
          <w:color w:val="111111"/>
          <w:sz w:val="28"/>
          <w:szCs w:val="28"/>
          <w:rtl w:val="true"/>
          <w:lang w:bidi="fa-IR"/>
        </w:rPr>
        <w:t>.</w:t>
      </w:r>
    </w:p>
    <w:p>
      <w:pPr>
        <w:pStyle w:val="Heading4"/>
        <w:numPr>
          <w:ilvl w:val="3"/>
          <w:numId w:val="1"/>
        </w:numPr>
        <w:rPr/>
      </w:pPr>
      <w:bookmarkStart w:id="464" w:name="__RefHeading___Toc2472369_581953129"/>
      <w:bookmarkStart w:id="465" w:name="_Toc178"/>
      <w:bookmarkEnd w:id="464"/>
      <w:r>
        <w:rPr>
          <w:rtl w:val="true"/>
        </w:rPr>
        <w:t>کلام محقق پیرامون دو فرع مذکور</w:t>
      </w:r>
      <w:bookmarkEnd w:id="465"/>
    </w:p>
    <w:p>
      <w:pPr>
        <w:pStyle w:val="BookText"/>
        <w:rPr/>
      </w:pPr>
      <w:r>
        <w:rPr>
          <w:rFonts w:ascii="IRNazanin" w:hAnsi="IRNazanin" w:eastAsia="IRNazanin"/>
          <w:color w:val="111111"/>
          <w:sz w:val="28"/>
          <w:sz w:val="28"/>
          <w:szCs w:val="28"/>
          <w:rtl w:val="true"/>
          <w:lang w:bidi="fa-IR"/>
        </w:rPr>
        <w:t xml:space="preserve">محقق قدس سره نیز در شرایع در 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اختلاف وکیل و موکل در قبض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شیخ طوسی قدس سره قائل به تقدیم قول موکل شده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وکله بقبض دینه من غریم له فأقر الوکیل بالقبض وصدقه الغریم وأنکر الموکل؛ فالقول قول الموکل وفیه تردد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وی در فرع دوم نیز با شیخ هم عقیده بوده و جانب وکیل را مقدم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أمره ببیع سلعة وتسلیمها وقبض ثمنها فتلف من غیر تفریط فأقر الوکیل بالقبض وصدقه المشتری وأنکر الموکل فالقول قول الوکیل لأن الدعوی هنا علی الوکیل من حیث إنه سلم المبیع ولم یتسلم الثمن فکأنه یدعی ما یوجب الضمان وهناک الدعوی علی الغریم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محقق سپس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الفرق نظر</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 با این جمله به شیخ تعریض وارد نموده که چرا بین دو فرع، قائل به تفاوت شده است</w:t>
      </w:r>
      <w:r>
        <w:rPr>
          <w:rFonts w:eastAsia="IRNazanin" w:cs="IRNazanin"/>
          <w:color w:val="111111"/>
          <w:sz w:val="28"/>
          <w:szCs w:val="28"/>
          <w:rtl w:val="true"/>
          <w:lang w:bidi="fa-IR"/>
        </w:rPr>
        <w:t>.</w:t>
      </w:r>
    </w:p>
    <w:p>
      <w:pPr>
        <w:pStyle w:val="Heading4"/>
        <w:numPr>
          <w:ilvl w:val="3"/>
          <w:numId w:val="1"/>
        </w:numPr>
        <w:rPr/>
      </w:pPr>
      <w:bookmarkStart w:id="466" w:name="__RefHeading___Toc2472371_581953129"/>
      <w:bookmarkStart w:id="467" w:name="_Toc179"/>
      <w:bookmarkEnd w:id="466"/>
      <w:r>
        <w:rPr>
          <w:rtl w:val="true"/>
        </w:rPr>
        <w:t>کلام شیخ انصاری پیرامون دو فرع مذکور</w:t>
      </w:r>
      <w:bookmarkEnd w:id="4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سره این دو فرع و ادعای شیخ طوسی مبنی بر تفاوت آن دو را از مبسوط نقل نموده،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والمسألة الأولی نظیر ما ذکره المحقّق</w:t>
      </w:r>
      <w:r>
        <w:rPr>
          <w:rStyle w:val="FootnoteAnchor"/>
          <w:rtl w:val="true"/>
        </w:rPr>
        <w:footnoteReference w:id="360"/>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فی اختلاف الوکیل‌الموکّل فی الثمن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من أنّ الوکیل ما یدّعی علیه بشیء، بل یرید تغریم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المحقّق فی الشرائع تنظّر فی الفرق بین المسألتین الذی ذکره فی المبسوط</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یعنی صورت مسأله در فرع اول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وکیل و موکل در قبض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مسألۀ اختلاف وکیل و موکل در ثمن است که محقق و علامه آن را ذکر کرده و قائل به تقدم قول موکل شده و چنین استدلال نموده‌اند که در غیر این صورت موکل متضرر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نیز که پای مدیون در میان است، اگر قول وکیل مقدم شود، موجب غرامت علیه موکل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بر مبنای خود محقق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ثمن و فرع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وکیل علیه موکل ادعا نمی‌کند، بلکه در حقیقت می‌خواهد به موکل خسارت بزند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پس چرا محقق به تفاوت قائل شدن شیخ بین دو فرع اعتراض نموده، در حالی که این انتقاد طبق مبنای خود محقق، بیشتر به خودش وارد است تا شیخ رحمه الله</w:t>
      </w:r>
      <w:r>
        <w:rPr>
          <w:rFonts w:eastAsia="IRNazanin" w:cs="IRNazanin"/>
          <w:color w:val="111111"/>
          <w:sz w:val="28"/>
          <w:szCs w:val="28"/>
          <w:rtl w:val="true"/>
          <w:lang w:bidi="fa-IR"/>
        </w:rPr>
        <w:t>)</w:t>
      </w:r>
      <w:r>
        <w:rPr>
          <w:rStyle w:val="FootnoteAnchor"/>
          <w:rtl w:val="true"/>
        </w:rPr>
        <w:footnoteReference w:id="364"/>
      </w:r>
      <w:bookmarkStart w:id="468" w:name="pg5537_41547"/>
    </w:p>
    <w:p>
      <w:pPr>
        <w:pStyle w:val="BookText"/>
        <w:rPr/>
      </w:pPr>
      <w:bookmarkEnd w:id="468"/>
      <w:r>
        <w:rPr>
          <w:rFonts w:ascii="IRNazanin" w:hAnsi="IRNazanin" w:eastAsia="IRNazanin"/>
          <w:color w:val="111111"/>
          <w:sz w:val="28"/>
          <w:sz w:val="28"/>
          <w:szCs w:val="28"/>
          <w:rtl w:val="true"/>
          <w:lang w:bidi="fa-IR"/>
        </w:rPr>
        <w:t>زیرا محقق در قضیه اختلاف در ثمن و فرع اول که نظیر هم می‌باشند، دو نظر متفاوت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سره سپس کلامی از شیخ طوسی قدس سره در موضع دیگری از مبسوط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مبسوط، پیرامون مسأله‌ای دیگر دو قول را مطرح کرده است که یکی از آن دو، مؤید احتمال سوم است، اما در عین حال خود او قول دیگر را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صورت زیر است</w:t>
      </w:r>
      <w:r>
        <w:rPr>
          <w:rFonts w:eastAsia="IRNazanin" w:cs="IRNazanin"/>
          <w:color w:val="111111"/>
          <w:sz w:val="28"/>
          <w:szCs w:val="28"/>
          <w:rtl w:val="true"/>
          <w:lang w:bidi="fa-IR"/>
        </w:rPr>
        <w:t>:</w:t>
      </w:r>
    </w:p>
    <w:p>
      <w:pPr>
        <w:pStyle w:val="Heading4"/>
        <w:numPr>
          <w:ilvl w:val="3"/>
          <w:numId w:val="1"/>
        </w:numPr>
        <w:rPr/>
      </w:pPr>
      <w:bookmarkStart w:id="469" w:name="__RefHeading___Toc2472373_581953129"/>
      <w:bookmarkStart w:id="470" w:name="_Toc180"/>
      <w:bookmarkEnd w:id="469"/>
      <w:r>
        <w:rPr>
          <w:rtl w:val="true"/>
        </w:rPr>
        <w:t>کلام شیخ طوسی در مسألۀ اختلاف وکیل و موکل در ثمن</w:t>
      </w:r>
      <w:bookmarkEnd w:id="470"/>
    </w:p>
    <w:p>
      <w:pPr>
        <w:pStyle w:val="BookText"/>
        <w:rPr/>
      </w:pPr>
      <w:r>
        <w:rPr>
          <w:rFonts w:ascii="IRNazanin" w:hAnsi="IRNazanin" w:eastAsia="IRNazanin"/>
          <w:color w:val="111111"/>
          <w:sz w:val="28"/>
          <w:sz w:val="28"/>
          <w:szCs w:val="28"/>
          <w:rtl w:val="true"/>
          <w:lang w:bidi="fa-IR"/>
        </w:rPr>
        <w:t>شیخ طوسی قدس سره در مسألۀ اختلاف وکیل و موکل در ثمن می‌نویسد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له فی شراء عبد وصفه فاشتراه بمائة ثم اختلف هو والموکل</w:t>
      </w:r>
    </w:p>
    <w:p>
      <w:pPr>
        <w:pStyle w:val="BookText"/>
        <w:rPr/>
      </w:pPr>
      <w:r>
        <w:rPr>
          <w:rFonts w:ascii="IRNazanin" w:hAnsi="IRNazanin" w:eastAsia="IRNazanin"/>
          <w:color w:val="111111"/>
          <w:sz w:val="28"/>
          <w:sz w:val="28"/>
          <w:szCs w:val="28"/>
          <w:rtl w:val="true"/>
          <w:lang w:bidi="fa-IR"/>
        </w:rPr>
        <w:t>فقال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بثمانین، وقال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والعبد یساوی مائة،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یقبل قول الوکیل علیه کما یقبل قوله فی التسلیم والتلف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قوله علیه لأنه یتعلق بغیره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چنانچه موکل، وکیل خود را مأمور کرده تا برای وی عبدی با اوصاف معین خریداری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یک عبد جوان، سالم و تنومند خریداری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وکیل نیز عبد موصوف را خریده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عبد را به صد دینار خریده‌ام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بازار نیز قیمت چنان عبدی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وکیل و موکل بر سر ثمن، نزاع پیش آمده، موکل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این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مسألۀ تسلیم مبیع و ثمن به موکل یا در صورت تلف ثمن، قول وکیل مورد قبول است، در مقدار قیمت نیز قول وی مقبول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این است که وکیل، مالک فروش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شیخ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وکیل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اقرار وکیل در اینجا مربوط به حق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سپس ضابطۀ کلی ارائه داده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کلما اختلفا فیه مما یتعلق بحق غیرهما من بائعٍ أو مشتریٍ أو صاحب حقٍّ فإنّه علی قولین؛ والأول أصح</w:t>
      </w:r>
      <w:r>
        <w:rPr>
          <w:rFonts w:eastAsia="IRNazanin" w:cs="IRNazanin"/>
          <w:color w:val="111111"/>
          <w:sz w:val="28"/>
          <w:szCs w:val="28"/>
          <w:rtl w:val="true"/>
          <w:lang w:bidi="fa-IR"/>
        </w:rPr>
        <w:t>».</w:t>
      </w:r>
      <w:r>
        <w:rPr>
          <w:rStyle w:val="FootnoteAnchor"/>
          <w:rtl w:val="true"/>
        </w:rPr>
        <w:footnoteReference w:id="36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که وکیل و موکل اختلاف در ثمن داشته باشند و مقدار مورد اختلاف متعلق به شخص ثالثی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شخص ثالثی در میان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دو قول مطرح است و نظر صحیح‌تر،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قول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471" w:name="pg5537_41551"/>
    </w:p>
    <w:p>
      <w:pPr>
        <w:pStyle w:val="BookText"/>
        <w:rPr/>
      </w:pPr>
      <w:bookmarkEnd w:id="471"/>
      <w:r>
        <w:rPr>
          <w:rFonts w:ascii="IRNazanin" w:hAnsi="IRNazanin" w:eastAsia="IRNazanin"/>
          <w:color w:val="111111"/>
          <w:sz w:val="28"/>
          <w:sz w:val="28"/>
          <w:szCs w:val="28"/>
          <w:rtl w:val="true"/>
          <w:lang w:bidi="fa-IR"/>
        </w:rPr>
        <w:t>به دیگر سخن در کلیه مواردی که بین وکیل و موکل در مورد حق متعلق به غیر، اختلافی باشد، خواه شخص ثالث، بایع باشد یا مشتری یا صاحب حق، این دو قول وجود دارد، و قول اول صحیحتر است</w:t>
      </w:r>
      <w:r>
        <w:rPr>
          <w:rFonts w:eastAsia="IRNazanin" w:cs="IRNazanin"/>
          <w:color w:val="111111"/>
          <w:sz w:val="28"/>
          <w:szCs w:val="28"/>
          <w:rtl w:val="true"/>
          <w:lang w:bidi="fa-IR"/>
        </w:rPr>
        <w:t>.</w:t>
      </w:r>
    </w:p>
    <w:p>
      <w:pPr>
        <w:pStyle w:val="Heading4"/>
        <w:numPr>
          <w:ilvl w:val="3"/>
          <w:numId w:val="1"/>
        </w:numPr>
        <w:rPr/>
      </w:pPr>
      <w:bookmarkStart w:id="472" w:name="__RefHeading___Toc2472375_581953129"/>
      <w:bookmarkStart w:id="473" w:name="_Toc181"/>
      <w:bookmarkEnd w:id="472"/>
      <w:r>
        <w:rPr>
          <w:rtl w:val="true"/>
        </w:rPr>
        <w:t>کلام محقق در مسألۀ اختلاف وکیل و موکل در ثمن</w:t>
      </w:r>
      <w:bookmarkEnd w:id="473"/>
    </w:p>
    <w:p>
      <w:pPr>
        <w:pStyle w:val="BookText"/>
        <w:rPr/>
      </w:pPr>
      <w:r>
        <w:rPr>
          <w:rFonts w:ascii="IRNazanin" w:hAnsi="IRNazanin" w:eastAsia="IRNazanin"/>
          <w:color w:val="111111"/>
          <w:sz w:val="28"/>
          <w:sz w:val="28"/>
          <w:szCs w:val="28"/>
          <w:rtl w:val="true"/>
          <w:lang w:bidi="fa-IR"/>
        </w:rPr>
        <w:t>ایشان در مسألۀ اختلاف وکیل و موکل در ثمن با شیخ طوسی مخالفت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وکله فی ابتیاع عبد ف‌داشتراه بمائة فقال الموکل اشتریته بثمانین؛ فالقول قول الوکیل لأنه مؤتمن ولو قیل القول قول الموکل کان أشبه لأنه غارم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p>
    <w:p>
      <w:pPr>
        <w:pStyle w:val="Heading4"/>
        <w:numPr>
          <w:ilvl w:val="3"/>
          <w:numId w:val="1"/>
        </w:numPr>
        <w:rPr/>
      </w:pPr>
      <w:bookmarkStart w:id="474" w:name="__RefHeading___Toc2472377_581953129"/>
      <w:bookmarkStart w:id="475" w:name="_Toc182"/>
      <w:bookmarkEnd w:id="474"/>
      <w:r>
        <w:rPr>
          <w:rtl w:val="true"/>
        </w:rPr>
        <w:t>جمع بندی احتمالات سه گانۀ شیخ انصاری</w:t>
      </w:r>
      <w:bookmarkEnd w:id="475"/>
    </w:p>
    <w:p>
      <w:pPr>
        <w:pStyle w:val="BookText"/>
        <w:rPr/>
      </w:pPr>
      <w:r>
        <w:rPr>
          <w:rFonts w:ascii="IRNazanin" w:hAnsi="IRNazanin" w:eastAsia="IRNazanin"/>
          <w:color w:val="111111"/>
          <w:sz w:val="28"/>
          <w:sz w:val="28"/>
          <w:szCs w:val="28"/>
          <w:rtl w:val="true"/>
          <w:lang w:bidi="fa-IR"/>
        </w:rPr>
        <w:t>با توجه به نظرات مذکور به نظر می‌رسد که احتمال سوم در نظر شیخ انصاری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در صورتی معتبر است که اختلاف بین اصیل و مقرّ باشد اما هرگاه اختلاف مالی بوده و راجع به اصیل و شخص ثالث باشد؛ اقرار غیر اصیل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اقرار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یتعلّق بفعل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مرحوم شیخ در موضع دیگری از رسالۀ خویش،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دیگر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بایستی کلمات شیخ در مواضع مختلف، در کنار یکدیگر ملاحظه شود تا دیدگاه نهایی او معلوم گردد</w:t>
      </w:r>
      <w:r>
        <w:rPr>
          <w:rFonts w:eastAsia="IRNazanin" w:cs="IRNazanin"/>
          <w:color w:val="111111"/>
          <w:sz w:val="28"/>
          <w:szCs w:val="28"/>
          <w:rtl w:val="true"/>
          <w:lang w:bidi="fa-IR"/>
        </w:rPr>
        <w:t>.</w:t>
      </w:r>
    </w:p>
    <w:p>
      <w:pPr>
        <w:pStyle w:val="Heading4"/>
        <w:numPr>
          <w:ilvl w:val="3"/>
          <w:numId w:val="1"/>
        </w:numPr>
        <w:rPr/>
      </w:pPr>
      <w:bookmarkStart w:id="476" w:name="__RefHeading___Toc2472379_581953129"/>
      <w:bookmarkStart w:id="477" w:name="_Toc183"/>
      <w:bookmarkEnd w:id="476"/>
      <w:r>
        <w:rPr>
          <w:rtl w:val="true"/>
        </w:rPr>
        <w:t>احتمالات دوگانه در کلام شیخ انصاری</w:t>
      </w:r>
      <w:bookmarkEnd w:id="477"/>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ملک الإقرار، فیحتمل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یراد به السلطنة المستقلّة المطلقة، بمعنی أنّه لا یزاحمه أحد فی إقراره، وأنّه نافذ علی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بگوئیم مراد، سلطنت مستقله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هیچ کس نمی‌تواند بر خلاف اقرار او ایراد مزاحمت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کسی بر خلاف اقرار مقر، بینه اقامه نماید یا سوگند یاد کند، ضرری به اقرار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احتمال اول از احتمالات سه گانۀ شیخ مطابقت دارد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یراد به مجرّد أنّ له الإقرار به فلا سلطنة مطلقة له، فیمکن أن یزاحمه من یکون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سلطنة علی الفعل، فیکون ملک الإقرار بالشیء علی نحو السلطنة علی ذلک الشیء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احتمال دوم این است که مقر می‌تواند اقرار کند، اما سلطنت مطلقه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مزاحمت از سوی دیگران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چگونگی ملکیت اقرار بر امر مورد نظر، دقیقاً همانند کیفیت سلطنت بر آن امر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سپس پیرامون احتمال فوق با ذکر سه نمونه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للبنت البالغة الرشیدة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ولایة الأب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مزاحمة الولی فی إقراره، کما لیس لها مزاحمته فی أصل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قامت البیّنة علی إقرار الأب حین صغر الطفل بتصرّف فیه أو فی ماله، فلیس له بعد البلوغ مزاحمته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الموکّل فإنّه یزاحم الوکیل فی إقراره کما یزاحمه فی أصل</w:t>
      </w:r>
    </w:p>
    <w:p>
      <w:pPr>
        <w:pStyle w:val="BookText"/>
        <w:rPr/>
      </w:pP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اینکه أب بر بنت بالغه رشیده ولایت دارد</w:t>
      </w:r>
      <w:r>
        <w:rPr>
          <w:rStyle w:val="FootnoteAnchor"/>
          <w:rtl w:val="true"/>
        </w:rPr>
        <w:footnoteReference w:id="372"/>
      </w:r>
      <w:r>
        <w:rPr>
          <w:rFonts w:ascii="IRNazanin" w:hAnsi="IRNazanin" w:eastAsia="IRNazanin"/>
          <w:color w:val="111111"/>
          <w:sz w:val="28"/>
          <w:sz w:val="28"/>
          <w:szCs w:val="28"/>
          <w:rtl w:val="true"/>
          <w:lang w:bidi="fa-IR"/>
        </w:rPr>
        <w:t xml:space="preserve">اگر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 که من دخترم را به تزویج دیگری درآوردم، دختر نمی‌تواند آن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همانگونه که دختر در اصل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نمی‌تواند در مقابل پدر ایجاد مزاحمت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 نمی‌تواند به پدر بگوید تو این تزویج را نباید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اقرار ولی نیز نمی‌تواند مزاحمتی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دو شاهد، بر اقرار پدر پیرامون ازدواج طفل یا تصرف اموال وی صحه گذارند، انکار طفل پس از بلوغ نمی‌تواند در مقابل اقرار پدر ایجاد مزاحمت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پدر اقرار کند که مال دخترم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کوچک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فروختم، دختر بعد از اینکه بالغ شد حقّ مزاحمت با اقرار پدر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مثال مربوط به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اقرار مقرّ، قابلیت مزاحمت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دو مورد فوق، موکل هم در اصل فعل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فعل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مزاحمت نماید و هم در مقابل اقرار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موکل می‌تواند با اقرار وکیل مزاحمت کند همانطور که می‌تواند در اصل فعل مزاحمت کند</w:t>
      </w:r>
      <w:r>
        <w:rPr>
          <w:rFonts w:eastAsia="IRNazanin" w:cs="IRNazanin"/>
          <w:color w:val="111111"/>
          <w:sz w:val="28"/>
          <w:szCs w:val="28"/>
          <w:rtl w:val="true"/>
          <w:lang w:bidi="fa-IR"/>
        </w:rPr>
        <w:t>.)</w:t>
      </w:r>
      <w:r>
        <w:rPr>
          <w:rStyle w:val="FootnoteAnchor"/>
          <w:rtl w:val="true"/>
        </w:rPr>
        <w:footnoteReference w:id="373"/>
      </w:r>
      <w:bookmarkStart w:id="478" w:name="pg5537_41558"/>
    </w:p>
    <w:p>
      <w:pPr>
        <w:pStyle w:val="BookText"/>
        <w:rPr/>
      </w:pPr>
      <w:bookmarkEnd w:id="478"/>
      <w:r>
        <w:rPr>
          <w:rFonts w:ascii="IRNazanin" w:hAnsi="IRNazanin" w:eastAsia="IRNazanin"/>
          <w:color w:val="111111"/>
          <w:sz w:val="28"/>
          <w:sz w:val="28"/>
          <w:szCs w:val="28"/>
          <w:rtl w:val="true"/>
          <w:lang w:bidi="fa-IR"/>
        </w:rPr>
        <w:t>بنابراین می‌توان گفت که اقرار وکیل در صورت عدم مزاحمت از جانب موکل نافذ است، اما اگر موکل مزاحمت کرد، اقرار وکیل نافذ نیست</w:t>
      </w:r>
      <w:r>
        <w:rPr>
          <w:rFonts w:eastAsia="IRNazanin" w:cs="IRNazanin"/>
          <w:color w:val="111111"/>
          <w:sz w:val="28"/>
          <w:szCs w:val="28"/>
          <w:rtl w:val="true"/>
          <w:lang w:bidi="fa-IR"/>
        </w:rPr>
        <w:t>.</w:t>
      </w:r>
    </w:p>
    <w:p>
      <w:pPr>
        <w:pStyle w:val="Heading4"/>
        <w:numPr>
          <w:ilvl w:val="3"/>
          <w:numId w:val="1"/>
        </w:numPr>
        <w:rPr/>
      </w:pPr>
      <w:bookmarkStart w:id="479" w:name="__RefHeading___Toc2472381_581953129"/>
      <w:bookmarkStart w:id="480" w:name="_Toc184"/>
      <w:bookmarkEnd w:id="479"/>
      <w:r>
        <w:rPr>
          <w:rtl w:val="true"/>
        </w:rPr>
        <w:t xml:space="preserve">معنای </w:t>
      </w:r>
      <w:r>
        <w:rPr>
          <w:rtl w:val="true"/>
        </w:rPr>
        <w:t>«</w:t>
      </w:r>
      <w:r>
        <w:rPr>
          <w:rtl w:val="true"/>
        </w:rPr>
        <w:t>مزاحمت</w:t>
      </w:r>
      <w:r>
        <w:rPr>
          <w:rtl w:val="true"/>
        </w:rPr>
        <w:t xml:space="preserve">» </w:t>
      </w:r>
      <w:r>
        <w:rPr>
          <w:rtl w:val="true"/>
        </w:rPr>
        <w:t>در کلام شیخ انصاری</w:t>
      </w:r>
      <w:bookmarkEnd w:id="480"/>
    </w:p>
    <w:p>
      <w:pPr>
        <w:pStyle w:val="BookText"/>
        <w:rPr/>
      </w:pPr>
      <w:r>
        <w:rPr>
          <w:rFonts w:ascii="IRNazanin" w:hAnsi="IRNazanin" w:eastAsia="IRNazanin"/>
          <w:color w:val="111111"/>
          <w:sz w:val="28"/>
          <w:sz w:val="28"/>
          <w:szCs w:val="28"/>
          <w:rtl w:val="true"/>
          <w:lang w:bidi="fa-IR"/>
        </w:rPr>
        <w:t xml:space="preserve">وفق احتمال سوم از احتمالات سه‌گانۀ شیخ قدس سره، قدر متیقّن قاعده این است که اگر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غیر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احتمال دوم از احتمالات دو گانه، شیخ اذعان نمود که موکل می‌تواند در مقابل وکیل ایجاد مزاحمت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معناست که حتی در احتمال سوم، با وجود اینکه اضیق احتمالات است، نفوذ اقرار وکیل در مقابل موکل به صورت مطلق نیست؛ بلکه موکل فرصت دفاع دارد و می‌تواند دلائلی در رد اقرار وکیل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اگر متصرف غیر اصیل بر علیه اصیل، در مورد تصرفات خویش اقرار کند، با دو شرط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اقرار در بر دارندۀ ادعایی بر علیه شخص ثالث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دیگری که بتواند در مقابل اقرار ایجاد مزاحمت نماید در میان نباشد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بنابراین معنای مزاحمت و اموری که قابلیت مزاحمت در برابر اقرار دارند، بایستی روشن شود</w:t>
      </w:r>
      <w:r>
        <w:rPr>
          <w:rFonts w:eastAsia="IRNazanin" w:cs="IRNazanin"/>
          <w:color w:val="111111"/>
          <w:sz w:val="28"/>
          <w:szCs w:val="28"/>
          <w:rtl w:val="true"/>
          <w:lang w:bidi="fa-IR"/>
        </w:rPr>
        <w:t>.</w:t>
      </w:r>
    </w:p>
    <w:p>
      <w:pPr>
        <w:pStyle w:val="Heading4"/>
        <w:numPr>
          <w:ilvl w:val="3"/>
          <w:numId w:val="1"/>
        </w:numPr>
        <w:rPr/>
      </w:pPr>
      <w:bookmarkStart w:id="481" w:name="__RefHeading___Toc2472383_581953129"/>
      <w:bookmarkStart w:id="482" w:name="_Toc185"/>
      <w:bookmarkEnd w:id="481"/>
      <w:r>
        <w:rPr>
          <w:rtl w:val="true"/>
        </w:rPr>
        <w:t xml:space="preserve">کلام مرحوم آیة اللّه فاضل لنکرانی در معنای </w:t>
      </w:r>
      <w:r>
        <w:rPr>
          <w:rtl w:val="true"/>
        </w:rPr>
        <w:t>«</w:t>
      </w:r>
      <w:r>
        <w:rPr>
          <w:rtl w:val="true"/>
        </w:rPr>
        <w:t>مزاحمت</w:t>
      </w:r>
      <w:r>
        <w:rPr>
          <w:rtl w:val="true"/>
        </w:rPr>
        <w:t>»</w:t>
      </w:r>
      <w:bookmarkEnd w:id="48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 محقق ما قدس سره مزاحمت مذکور در کلام شیخ انصاری قدس سره را به این صورت معنی نموده است</w:t>
      </w:r>
      <w:r>
        <w:rPr>
          <w:rFonts w:eastAsia="IRNazanin" w:cs="IRNazanin"/>
          <w:color w:val="111111"/>
          <w:sz w:val="28"/>
          <w:szCs w:val="28"/>
          <w:rtl w:val="true"/>
          <w:lang w:bidi="fa-IR"/>
        </w:rPr>
        <w:t>:</w:t>
      </w:r>
      <w:bookmarkStart w:id="483" w:name="pg5537_41560"/>
    </w:p>
    <w:p>
      <w:pPr>
        <w:pStyle w:val="BookText"/>
        <w:rPr/>
      </w:pPr>
      <w:bookmarkEnd w:id="4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المزاحمة فی الإقرار الثابتة فی الموکل انه یمکن للموکّل الإقرار قبل الوکیل، فلا یبقی موضوع لإقرار الوکیل، مثلًا إذا أقرّ بأن مورد الوکالة ملک لزید، یترتب علی إقراره آثار ملکیة زید، ولا یبقی حینئذ موضوع لإقرار الوکیل بأنه باعه من عمرو مثلًا، مع انه لو لم یکن مسبوقاً بإقرار الموکل، لکان یترتب علی إقرار الوکیل تحقق المعاملة وثبوت الملکیة لعمرو؛ لان من ملک شیئاً ملک الإقرار به، فالمزاحمة فی الإقرار کالمزاحمة فی أصل التصرف، فاذا باع الموکل مورد الوکالة من شخص قبل ان یتحقق البیع من الوکیل، لا یبقی حینئذ موضوع لتصرف الوکیل</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یعنی مراد از مزاحمتی که برای 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اقرار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ممکن است این باشد که موکل قبل از اقرار وکیل، خود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موضوعی برای اقرار وکیل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موکل نیز همانند وکیل در مورد وکالت،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هرگاه پیش از آنکه وکیل حرفی بزند، موکل اقرار کند که خانۀ مورد وکالت ملک زید است، آثار ملکیت زید بر آن بار شده و در نتیجه دیگر موضوعی برای اقرار وکیل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مزاحمت در اقرار، همانند مزاحمت در اصل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اینکه منزل مورد وکالت توسط وکیل فروخته شود، خود موکل رأساً آن را بفروشد، در این صورت موضوعی برای تصرف وکیل باقی نمی‌ماند</w:t>
      </w:r>
      <w:r>
        <w:rPr>
          <w:rFonts w:eastAsia="IRNazanin" w:cs="IRNazanin"/>
          <w:color w:val="111111"/>
          <w:sz w:val="28"/>
          <w:szCs w:val="28"/>
          <w:rtl w:val="true"/>
          <w:lang w:bidi="fa-IR"/>
        </w:rPr>
        <w:t>.</w:t>
      </w:r>
    </w:p>
    <w:p>
      <w:pPr>
        <w:pStyle w:val="Heading4"/>
        <w:numPr>
          <w:ilvl w:val="3"/>
          <w:numId w:val="1"/>
        </w:numPr>
        <w:rPr/>
      </w:pPr>
      <w:bookmarkStart w:id="484" w:name="__RefHeading___Toc2472385_581953129"/>
      <w:bookmarkStart w:id="485" w:name="_Toc186"/>
      <w:bookmarkEnd w:id="484"/>
      <w:r>
        <w:rPr>
          <w:rtl w:val="true"/>
        </w:rPr>
        <w:t>بررسی کلام مرحوم آیة اللّه فاضل لنکرانی</w:t>
      </w:r>
      <w:bookmarkEnd w:id="48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کلام ایشان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شخص ذو الید اقرار کند که خانۀ تحت تصرف وی از آنِ زید است، از مصادیق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486" w:name="pg5537_41562"/>
    </w:p>
    <w:p>
      <w:pPr>
        <w:pStyle w:val="BookText"/>
        <w:rPr/>
      </w:pPr>
      <w:bookmarkEnd w:id="486"/>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موارد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محض چنین اقراری، تلویحاً اعتراف می‌کند که ید وی، ید مالکیت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مثال مذکور در کلام ایشان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487" w:name="__RefHeading___Toc2472387_581953129"/>
      <w:bookmarkStart w:id="488" w:name="_Toc187"/>
      <w:bookmarkEnd w:id="487"/>
      <w:r>
        <w:rPr>
          <w:rtl w:val="true"/>
        </w:rPr>
        <w:t>نظر حضرت استاد</w:t>
      </w:r>
      <w:bookmarkEnd w:id="488"/>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 در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موکل بدون ایراد دلیل، اقرار وکیل را مورد انکار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انکار صرف از سوی موکل توانایی مزاحمت با اقرار وکیل را نداشته و قول وکیل مقدم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یقیناً داخل در معنای مزاحمت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موکل علاوه بر انکار قول وکیل، خود در مقابل وی اقرار کند، یا بینه اقامه نماید و یا به اسناد معتبر دیگری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مزاحم، بر اقرار وکیل مقدم می‌شود، همین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وکیل اقرار کند که خانه را به زید فروختم، اما دو شاهد گواهی دهند که وی خانه را به عمرو فروخته، اینجا قول موکل به واسطۀ بینه با اقرار وکیل مزاحمت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سلطنت بر اقرار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المقر نافذ لو لا المزاحم، والمزاحم إمّا هو الإقرار علی الخلاف أو إقامة البینة علی الخلاف</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مجرّد الإنکار لیس مزاحماً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مزاحمتی در کار نیست و قول وکیل بر قول موکل مقدم می‌شود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از آنچه تاکنون گفته شد به دست می‌آید که هر چند فی الجمله می‌توان وجود تلازم عرفی بین ملکیت امری و ملکیت اقرار در مورد احوال آن را پذیرفت، اما باید گفت که موارد مورد ابتلا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اقرار فرد ربطی به غیر نداشته، با حق شخص دیگری در تعارض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شخصی زمینی داشته و آن را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تردید داریم که وقف مسجد کرده بود یا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بین ملکیت شیئ و ملکیت اقرار به احوال آن در عرف تلازم برقرار بوده اقرار مالک در نزد عقلا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دسته دیگر مواردی است که اقرار فرد با حق دیگری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مردی اقرار کند که نفقه همسرش را پرداخته است پذیرش این اقرار با حق زوجه در اخذ نفقه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فروض وجود تلازم در نزد عُقلا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میتوان گفت چنانچه این قاعده به صورت لفظی برای ما ثابت بود می‌توانستیم به اطلاق آن تمسک نموده و مالکیت و مؤثریت اقرار را در همۀ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فرض وجود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عمده مدرک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و سیره عقلاء است و از آنجا که ایندو، جزء دلایل لبی هستند، باید به قدر متیقن آن اخذ نمود و قدر متیقن این قاعده در بین عُقلا مواردی است که اقرار مالک اقرار، معارض حق غیر نبوده، و ادلۀ دیگری بر خلاف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استناد به این قاعده باید به مواردی که در میان عقلاء به آن اخذ می‌کنند اکتفا نمود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وآخر دعوانا ان الحمد للّه‌رب العالمین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 آله اجمعین</w:t>
      </w:r>
      <w:bookmarkStart w:id="489" w:name="pg5537_41566"/>
    </w:p>
    <w:p>
      <w:pPr>
        <w:pStyle w:val="Heading2"/>
        <w:numPr>
          <w:ilvl w:val="1"/>
          <w:numId w:val="1"/>
        </w:numPr>
        <w:rPr/>
      </w:pPr>
      <w:bookmarkStart w:id="490" w:name="__RefHeading___Toc2472389_581953129"/>
      <w:bookmarkStart w:id="491" w:name="_Toc188"/>
      <w:bookmarkEnd w:id="489"/>
      <w:bookmarkEnd w:id="490"/>
      <w:r>
        <w:rPr>
          <w:rtl w:val="true"/>
        </w:rPr>
        <w:t>فهرست منابع و مآخذ</w:t>
      </w:r>
      <w:bookmarkEnd w:id="4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آبی، فاضل، حسن بن ابی طالب یوسفی، کشف الرموز فی شرح مختصر النافع،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میرزا محمد حسن بن جعفر، کتاب الزکاة،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میرزا محمد حسن بن جعفر، کتاب القضاء،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علامه آشتیانی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صدوق دوم، محمد بن علی،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 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ابو محمد عبداللّه بن احمد مقدسی حنبلی، المغنی علی مختصر الخرقی،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دارالفکر،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بی‌سا،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ابو الفضل، جمال الدین، محمد بن مکرم، 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الفکر للطباعة و 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الحسین، احمد بن فارس بن زکریا، معجم مقائیس اللغة،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احسایی، ابن ابی جمهور، محمد بن علی، الأقطاب الفقهیة علی مذهب الإمامیة، در یک جلد، انتشارات کتابخانه آیة‌اللّه مرعشی نجفی رحمه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فقهیة، در یک جلد، کنگره جهانی بزرگداشت شیخ اعظم انصاری،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الأنصاری،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کنگره جهانی بزرگداشت شیخ اعظم انصاری،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ایروانی، باقر، دروس تمهیدیة فی القواعد الفقهیة، دو جلد، دار الفقه للطباعة و 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بجنوردی، سید حسن بن آقا بزرگ موسوی، القواعد الفقهیة،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الهادی،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بجنوردی، سید محمد بن حسن موسوی، قواعد فقهیه،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عروج،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محمد بن محمد تقی، بلغة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منشورات مکتبة الصادق،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آل عصفور، حسین بن محمد، الأنوار اللوامع فی شرح مفاتیح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العلمیة،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آل عصفور، حسین بن محمد، عیون الحقائق الناظرة فی تتمیم الحدائق،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آقا حسین طباطبایی، رسالة فی الخمس، در یک جلد، مرکز فقهی ائمه اطهار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بهوتی، منصور بن یونس حنبلی، کشاف القناع عن متن الاقناع،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تبریزی، جواد بن علی، منهاج الصالحین،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اسد اللّه کاظمی، مقابس الأنوار و نفائس الأسرار، در یک جلد، مؤسسه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مسعود بن عمر، شروح التلخیص، نشر ادب حوزه،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آقابزرگ، الذریعة الی تصانیف الشیعة،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مرتضی بن عبد الکریم، شرح العروة الوثقی،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 سعید طباطبایی، منهاج الصالحین،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الصفوة،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ادریس، محمد بن منصور بن احمد، السرائر الحاوی لتحریر الفتاوی،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یوسف بن مطهر اسدی، إرشاد الأذهان إلی أحکام الإیمان،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یوسف بن مطهر اسدی، تحریر الأحکام الشرعیة علی مذهب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امام صادق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یوسف بن مطهر اسدی، 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یوسف بن مطهر اسدی، تلخیص المرام فی معرفة الأحکام، در یک جلد، انتشارات دفتر تبلیغات اسلامی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 علامه، حسن بن یوسف بن مطهر اسدی، قواعد الأحکام فی معرفة الحلال و</w:t>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فخر المحققین، محمد بن حسن بن یوسف، إیضاح الفوائد فی شرح مشکلات القواعد،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محقق، نجم الدین، جعفر بن حسن، شرائع الإسلام فی مسائل الحلال و الحرام،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 اللّه بن جعفر، قرب الإسناد، در یک جلد، مؤسسه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نشوان بن سعید، شمس العلوم و دواء کلام العرب من الکلوم،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الفکر المعاصر،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روح‌اللّه موسوی، الرسائل العشرة، در یک جلد، مؤسسه تنظیم و نشر آثار امام خمینی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محاضرات فی أصول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دار الهادی،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 القاسم موسوی، مصباح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بی‌نا، بی‌تا</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 القاسم موسوی، معتمد العروة الوثقی،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منشورات مدرسة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 القاسم موسوی، منهاج الصالحین،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مدینة العلم،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 القاسم موسوی، موسوعة الإمام الخوئی،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إحیاء آثار الإمام الخوئی 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ألفاظ القرآن، در یک جلد،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زنجانی، سید موسی شبیری، کتاب نکاح،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پژوهشی رای‌پرداز،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زیلعی، فخر الدین عثمان بن علی حنفی، تبیین الحقائق فی شرح کنز الدقائق،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الکبری الأمیریة،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اول،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سید عبد الأعلی، مهذّب الأحکام،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محقق، محمد باقر بن محمد مؤمن، کفایة الأحکام،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سیفی مازندرانی، علی اکبر، دلیل 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در یک جلد، مؤسسه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تحریر اصول فقه در یک جلد، انتشارات داار العلم،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 ش</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کافی الکفاة، اسماعیل بن عباد، المحیط فی اللغة،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عالم الکتاب،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بحوث فی شرح العروة الوثقی،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الشهید آیة اللّه الصدر العلمی،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بحوث فی علم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بوستان 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حائری، سید علی بن محمد، ریاض المسائل،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قمی، سید تقی، الأنوار البهیة فی القواعد الفقهیة، در یک مجلد،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طرابلسی، ابن براج، قاضی، عبد العزیز، المهذب،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طریحی، فخر الدین، مجمع البحرین،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کتابفروشی مرتضوی،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المبسوط فی فقه الإمامیة،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المکتبة المرتضویة لإحیاء الآثار الجعفریة،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جمال الدین، حسن بن زین الدین، معالم الدین و ملاذ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الفقه للطباعة و 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حرّ، محمد بن حسن، وسائل الشیعة،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جواد بن محمد حسینی، مفتاح الکرامة فی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جواد بن محمد حسینی، مفتاح الکرامة فی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اول، محمد بن مکی، الدروس الشرعیة فی فقه الإمامیة،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اول، محمد بن مکی، القواعد و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کتابفروشی 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 بی‌تا</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ثانی، زین الدین بن علی، 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کتابفروشی 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ثانی، زین الدین بن علی، مسالک الأفهام إلی تنقیح شرائع الإسلام،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المعارف الإسلامیة،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کرکی، محقق ثانی، علی بن حسین، جامع المقاصد فی شرح القواعد،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آقا ضیاء الدین، حاشیة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للنجم‌آبادی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جلد، انتشارات غفور،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آقا ضیاء الدین، کتاب القضاء، در یک جلد، چاپخانه مهر،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 بی‌تا</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 آقا ضیاء الدین، کتاب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للنجم‌آبادی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جلد، انتشارات مؤسسه معارف اسلامی امام رضا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القواعد الفقهیة، در یک جلد، چاپخانه مهر،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هجرت،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مقری، المصباح المنیر فی غریب الشرح الکبیر للرافعی، در یک جلد، منشورات دار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ششم،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فیض، محمد محسن ابن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تفرشی، محمد، سفینة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جلد، اول، بی‌تا</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فیض، محمد محسن ابن شاه مرتضی، مفاتیح الشرائع،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آیة‌اللّه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گیلانی، نجفی، میرزا حبیب اللّه رشتی، کتاب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القرآن الکریم،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بن احمد بن شمس سروی، شرح الکافی،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المکتبة الإسلامیة،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ملا عبداللّه بن محمد حسن، حاشیة علی رسالة فی قاعدة من ملک، در یک جلد، مجمع الذخائر الإسلامیة،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سید مصطفی، قواعد 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مرکز نشر علوم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دوازدهم،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سید میر عبد الفتاح بن علی حسینی، العناوین الفقهیة،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تحقیقات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فقه و حقوق، مأخذشناسی قواعد فقهی، در یک جلد، انتشارات دفتر تبلیغات اسلامی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مصطلحات الفقه، در یک جلد، بی‌نا، بی‌جا، بی‌تا</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مرکز الکتاب للترجمة و النشر،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 محمد کاظم، مائة قاعدة فقهیة، در یک 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دروس 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فرهنگی مطالعاتی الزهرا علیها السلام،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دائرة المعارف فقه مقارن، مدرسه امام امیر المؤمنین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القواعد الفقهیة،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مدرسه امام امیر المؤمنین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ابو القاسم بن محمد حسن، رسائل المیرزا القمی، دو جلد، دفتر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خراسان،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میلانی، سید علی حسینی، تحقیق الأصول،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الحقائق،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میرزا محمد حسین غروی، کتاب 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صاحب الجواهر، محمد حسن، جواهر الکلام فی شرح شرائع الإسلام،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کاشف الغطاء، عباس بن حسن بن جعفر، منهل الغمام فی شرح شرائع الإسلام،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کاشف الغطاء،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کاشف الغطاء، محمد حسین بن علی بن محمد رضا، تحریر المجلة،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المکتبة المرتضویة،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اول،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 حسین، مستدرک الوسائل ومستنبط المسائل،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واسطی، زبیدی، حنفی، محب الدین، سید محمد مرتضی حسینی، تاج العروس من جواهر القاموس،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الفکر للطباعة و النشر و 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 خراسانی، حسین، منهاج الصالحین،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مدرسه امام باقر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پنجم،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آقا رضا بن محمد هادی، مصباح الفقیه،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الجعفریة لإحیاء التراث و مؤسسة النشر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سید محمد کاظم طباطبایی، تکملة العروة الوثقی،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کتابفروشی 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اینترنتی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مدرسه فقاهت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www.eshia.ir/Feqh/Archive/Sobhani/Feqh/92</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آیة‌اللّه محمد جواد فاضل لنکرانی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www.fazellankarani.ir</w:t>
      </w:r>
      <w:bookmarkStart w:id="492" w:name="pg5537_41584"/>
    </w:p>
    <w:p>
      <w:pPr>
        <w:pStyle w:val="Heading2"/>
        <w:numPr>
          <w:ilvl w:val="1"/>
          <w:numId w:val="1"/>
        </w:numPr>
        <w:rPr/>
      </w:pPr>
      <w:bookmarkStart w:id="493" w:name="__RefHeading___Toc2472391_581953129"/>
      <w:bookmarkStart w:id="494" w:name="_Toc189"/>
      <w:bookmarkEnd w:id="492"/>
      <w:bookmarkEnd w:id="493"/>
      <w:r>
        <w:rPr>
          <w:rtl w:val="true"/>
        </w:rPr>
        <w:t>فهرست مطالب</w:t>
      </w:r>
      <w:bookmarkEnd w:id="494"/>
    </w:p>
    <w:p>
      <w:pPr>
        <w:pStyle w:val="BookText"/>
        <w:rPr/>
      </w:pPr>
      <w:r>
        <w:rPr>
          <w:rFonts w:ascii="IRNazanin" w:hAnsi="IRNazanin" w:eastAsia="IRNazanin"/>
          <w:color w:val="111111"/>
          <w:sz w:val="28"/>
          <w:sz w:val="28"/>
          <w:szCs w:val="28"/>
          <w:rtl w:val="true"/>
          <w:lang w:bidi="fa-IR"/>
        </w:rPr>
        <w:t>سخن آغازین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قاعدۀ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قاعدۀ فقهی و اصولی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میر عبد الفتاح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مهدی قزوینی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علی 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حبیب‌اللّه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مهدی خالصی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محمدحسین 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موسوی بجنوردی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فاضل لنکرانی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کاظم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تقسیم نخست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تقسیم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 مستندات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 مستندات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مستقل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اول شیخ طوسی در 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دوم شیخ طوسی در 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قاضی ابن برّاج در مهذّب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اول محقق در 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دوم محقق در 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اول علامه در 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دوم علامه در 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فخر المحققین در ایضاح</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سید یزدی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عروة الوثقی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قدامه در مغنی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زیعلی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بهوتی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القناع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فقهای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محقق خوئی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بررسی کلام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آقا ضیاءالدین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بررسی کلام محقق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آیة‌اللّه محمد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بررسی کلام مرحوم آیة‌اللّه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بررسی ایرادات وارد شده بر سیرۀ متشرعه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کلام مرحوم آیة‌اللّه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اشکال بر دلیل بناء 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اشکال شیخ انصاری بر حجیت ظهور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بررسی اشکال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اشکال محقق بجنوردی بر دلیل ملازمه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پاسخ مرحوم آیة‌اللّه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مستفاد از قواعد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قاعدۀ حجیت قول ذو الید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قاعدۀ حجیت قول ذو الید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کلام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فقها پیرامون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نظر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رابطۀ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تبیین رابطۀ مزبور در کلام مرحوم آیة‌اللّه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وجوه افتراق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مناقشۀ محقق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کلام محقّق بجنوردی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بررسی کلام محقّق بجنوردی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رابطۀ قاعدۀ فخریه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نسبت قاعدۀ فخریه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مادۀ اجتماع سه 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مادۀ افتراق قاعدۀ إئتمان از قاعدۀ فخریه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مادۀ افتراق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قاعدۀ فخریه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مادۀ افتراق قاعدۀ فخریه از دو 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نسبت قاعدۀ فخریه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اشکال امام خمینی بر احتمال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اشکال امام خمینی بر احتمال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مناقشه حضرت استاد بر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نظر حضرت استاد پیرامون نسبت دو 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مفردات و حدود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مفردات و حدود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مفردات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در مفردات 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خمینی در مفردات 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نقد مرحوم آیة‌اللّه فاضل لنکرانی بر کلام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ایراد حضرت استاد بر کلام مرحوم آیة‌اللّه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کلام مرحوم آیة‌اللّه فاضل لنکرانی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ایراد حضرت استاد بر کلام مرحوم آیة‌اللّه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اجرای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بر موضوع 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بر موضوع 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محقق اول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فخر المحققین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دلیل احتمالی دیدگاه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مناقشۀ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نظر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بودن سلطنت بر موضوع 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گسترۀ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شیخ انصاری در میزان نفوذ 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احتمالات سه گانه در کلام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بررسی احتمالات سه گانه در کلام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تفصیل شیخ طوسی در 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فرع اول شیخ</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فرع دوم شیخ</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تفاوت دو فرع مذکور از دیدگاه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کلام محقق پیرامون دو فرع 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کلام شیخ انصاری پیرامون دو فرع 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کلام شیخ طوسی در مسألۀ اختلاف وکیل و موکل در ثمن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کلام محقق در مسألۀ اختلاف وکیل و موکل در ثمن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جمع‌بندی احتمالات سه‌گانۀ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احتمالات دوگانه در کلام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کلام مرحوم آیة‌اللّه فاضل لنکرانی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بررسی کلام مرحوم آیة‌اللّه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نظر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دهخدا، علی‌اکبر، لغتنامه 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محمد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علی‌اکبر، لغتنامه 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17193</w:t>
      </w:r>
      <w:r>
        <w:rPr>
          <w:rFonts w:ascii="IRNazanin" w:hAnsi="IRNazanin" w:eastAsia="IRNazanin"/>
          <w:b w:val="false"/>
          <w:b w:val="false"/>
          <w:bCs w:val="false"/>
          <w:i w:val="false"/>
          <w:i w:val="false"/>
          <w:iCs w:val="false"/>
          <w:color w:val="333333"/>
          <w:sz w:val="20"/>
          <w:sz w:val="20"/>
          <w:szCs w:val="20"/>
          <w:rtl w:val="true"/>
        </w:rPr>
        <w:t xml:space="preserve">؛ لنگرودی، محمدجعفر، مبسوط ترمینولوژی حقوق،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ابوالحسین، احمد بن فارس، معجم مقاییس اللغه،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فیومی، احمد، 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طریحی، فخرالدین،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قرشی، سید علی‌اکبر،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مصطفوی، حسن، التحقیق فی کلمات القران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حرف الفاء،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مطهری، مرتضی، آشنایی با علوم اسلامی، کتاب اصول فقه و فقه،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واسطی زبیدی، تاج العروس من جواهر القاموس،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علی‌اکبر، لغتنامه 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17193</w:t>
      </w:r>
      <w:r>
        <w:rPr>
          <w:rFonts w:ascii="IRNazanin" w:hAnsi="IRNazanin" w:eastAsia="IRNazanin"/>
          <w:b w:val="false"/>
          <w:b w:val="false"/>
          <w:bCs w:val="false"/>
          <w:i w:val="false"/>
          <w:i w:val="false"/>
          <w:iCs w:val="false"/>
          <w:color w:val="333333"/>
          <w:sz w:val="20"/>
          <w:sz w:val="20"/>
          <w:szCs w:val="20"/>
          <w:rtl w:val="true"/>
        </w:rPr>
        <w:t xml:space="preserve">؛ لنگرودی، محمدجعفر، مبسوط ترمینولوژی حقوق،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احکام شرعی فرعی از روی منابع و دلیل‌های تفصیلی آن‌ها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احسائی، ابن ابی‌جمهور، الأقطاب الفقهیة علی مذهب الإمامیة،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حسن بن زین الدین، معالم الدین و ملاذ المجتهدین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مازندرانی، ملا صالح، شرح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فیض کاشانی، محسن، سفینة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تفرشی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مشکینی، علی، مصطلحات الفقه،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شمس العلوم و دواء کلام العرب من الکلوم،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جمع قاعده به معنای بنیان و پایه برای چیزی است که در بالای آن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طریحی، فخرالدین،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تهانوی، کشاف اصطلاحات الفنون،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انهم اختلفوا فی تعریف القاعدة الفقهیة و ذکروا لبیان حدودهاکلمات کلها غیر خالیة عن الإیراد و الإجمال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فقهی قواعدی است که در راه به دست آوردن احکام شرعی الهی واقع می‌شوند، ولی این استفاده از باب استنباط و توسیط نبوده بلکه از باب تطبیق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خوئی، سید ابوالقاسم، محاضرات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فقهی، اصول فقهی کلی است با عبارت‌های کوتاه و اساسی که شامل می‌شود احکام تشریعی عام را در حوادثی که در موضوعات آن‌ها داخل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الزرقاء، مصطفی احمد، المدخل الفقهی العام،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سید مصطفی، قواعد فقه، بخش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نظریات دیگر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غمز عیون البصائر علی محاسن الاشباه والنظائر،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خادمی، ابوسعید، منافع الدقائق فی شرح مجامع الحقائق،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استاد نیز در مقدمۀ خود بر کتاب قواعد فقهیه مرحوم والدش وجوه متعددی را ذکر نموده و بطور مفصل به اقوال مطروحه در خصوص تعریف قاعدۀ فقهیه و ممیزات آنها پرداخته است که به جهت اختصار از درج آن خودداری می‌کنیم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انصاری، مرتضی بن محمّد امین، فرائد الاصول فی ابتداء بحث الاستصحاب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أورد علیه المحقّق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بانا نسلّم کون النتیجة فی المسألة الأُصولیة‌نافعة بحال المجتهد فقط و لکن لا نسلّم اشتراک النتیجة بین المجتهد و المقلّد فی القاعدة الفقهیة فمثلاً ان قاعدة ما یضمن بصحیحه یضمن بفاسده من‌ای طریق یعلم المقلّد ان البیع مثلًا من العقود الّتی یکون فی صحیحها الضمان و مثلًا قاعدة الصلح جائز بین المسلمین الّا ما خالف کتاب اللّه، فمن‌ای سبیل یتوجه المقلّد ان هذا الشرط هل هو موافق للکتاب أو مخالف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نتیجۀ حاصل از قیاسی که کبرای آن یک قاعدۀ فقهی است، همواره حکمی جزئی و در حیطۀ موضوعات فقهی است که مشترک بین مقلد و مجتهد است؛ بر خلاف نتیجۀ حاحل از قیاسی که کبرای آن، قاعدۀ اصولی است که نوعاً حکمی کلی است و اختصاص به مجتهد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کلام استاد در کمال متانت بوده و ایراد مذکور بر شیخ و محقق نائینی وارد نیست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محمدتقی، الاصول العامة للفقه المقارن،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انصاری، مرتضی بن محمّد امین، فوائدالاصول،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می‌رسد که این اشکال حضرت استاد و برخی از معاصرین مانند محقق سبحانی بر مرحوم نائینی وارد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مسائلی مانند استصحاب در احکام کلیه مسئله اصولی است، اما در 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استصحاب نجاست ثوب نجس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اصولی نیست، بلکه یک قاعده فقهیه است و در علم اصول، ترداً للباب مورد بحث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بسیاری از مسائل فقهی از قبیل اصل برائت و استصحاب در اصول فقه هم مورد بحث واقع شده است و بعضی مسائل اصول فقه نیز در کتب فقهی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از نظر تعریف، موضوع و مبادی علم اصول فقه و علم فقه کاملا از یکدیگر مجزا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می‌توان گفت اصل برائت و استصحاب و به طور کلی اصول عملیه همانند ضمان ید، اتلاف و تسبیب بیشتر قاعده فقهی هستند تا قاعده اصولی؛ اما به این دلیل که مدرک استنباط حکم شرعی در مجاری خود واقع می‌شوند، در علم اصول هم مورد بحث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عده‌ای از بزرگان سعی کرده‌اند به نحوی اصول عملیه را در قواعد اصولی داخل سازند، ولی در این امر دچار مشکل شده و مورد انتقاد و ایراد قرار گرفته‌اند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خوئی، سید ابوالقاسم، محاضرات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سید محمدباقر، بحوث فی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می‌رسد که این ایراد شهید صدر رحمه الله و حضرت استاد وارد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اولاً اشکال نخست، ادعایی بدون دلیل است و چنانکه خود استاد قید نموده حتی یک مثال برای آن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اشکال دوم خللی بر</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عراقی، ضیاءالدین، نهایة الافکار،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القاعدة الأُصولیة یتم الاستعانة بها فی جمیع أبواب الفقه بخلاف القاعدة الفقهیة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معاصرین مانند آیة‌اللّه حسین وحید خراسانی نیز ایراد نموده‌اند به این‌که اولاً این کلام، ادعایی بدون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روح‌اللّه، 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حسینی میلانی، سید علی، تحقیق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ایراد حضرت استاد درکمال متانت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به نظر می‌رسد تفاوتی که مرحوم امام رحمه الله ذکر نموده است، با تفاوت سوم که از محقق خوئی رحمه الله بود، در حقیقت یک مطلب است و مرحوم امام رحمه الله به نحو کلی‌تری همان مطلب را بیان فرموده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الاستنتاج فی القاعدة الأُصولیة غیر متوقّف علی القاعدة الفقهیة بخلافها فإنها متوقّفة علی‌القاعدة الأُصولیة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الفقهیة،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محمدتقی، الاصول العامة للفقه المقارن،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القواعد والفوائد،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سبحانی، جعفر، تاریخ الفقه اسلامی،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تمایز العلوم بالأغراض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دیگر معاصرین که همین نظریه را به عنوان تفاوت قاعدۀ فقهی و اصولی پذیرفته است، آیة‌اللّه حسین وحید خراسانی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عقیده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 قاعدة ذات خلفیّة تکون حجّةً للّه‌علی العبد أو للعبد أمام اللّه، فهی</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امام رضا علیه السلام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علینا إلقاء الاصول وعلیکم التّفریع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القاضی،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رسائل،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نراقی اولین کسی است که ولایت فقیه را در این کتاب مفصّلاً بحث کرده است، و مرحوم امام خمینی رحمه الله در بحث حکومت اسلامی از این کتاب استفاده شایانی کرده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سید مصطفی، قواعد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محقّقان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الأحکام العدلیة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مجله در واقع دستورالعمل‌های واحد قضایی برای دادگاه‌ها بود، که توسّط جمعی به صورت قانون مدنی عام، منتشر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جمع به وسیله گروهی هفت نفره، به ریاست احمد جودت پاشا تشکیل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کار آنان، این بود که، قوانین را به سادگی، خالی از نقل اقوال مختلف و بر اساس یک رأی و نظر، در اختیار مجامع ذی ربط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مجلّه در نهایت، دارای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گردید؛ که از یک مقدّمه و شانزده کتاب تشکیل شد، شانزده کتاب عبارت بود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بیوع، اجارات، کفالت، حواله، رهن، امانت، هبه، غصب و اتلاف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شرکت، وکالت، صلح و إبرا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شفعه و حَجْر و اکراه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اقرار، دعوی، قضا، بینه و سوگند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دائرة المعارف فقه مقارن،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الزرقاء، مصطفی احمد، المدخل الفقهی العام،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سبحانی، جعفر، تاریخ الفقه الاسلامی،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فضلی، عبدالهادی، تاریخ التشریع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سید محمدباقر، بحوث فی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سبحانی، جعفر، درس خارج قواعد فقهیه، به تاریخ </w:t>
      </w:r>
      <w:r>
        <w:rPr>
          <w:rFonts w:eastAsia="IRNazanin" w:cs="IRNazanin"/>
          <w:b w:val="false"/>
          <w:bCs w:val="false"/>
          <w:i w:val="false"/>
          <w:iCs w:val="false"/>
          <w:color w:val="333333"/>
          <w:sz w:val="20"/>
          <w:szCs w:val="20"/>
        </w:rPr>
        <w:t>93/6/23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می‌رسد که این تقسیم نیز فاقد ملاک کلی تقسیم منطقی بوده و استقرایی می‌باشد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داماد، سید مصطفی، قواعد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فالقاعدة الفقهیة اما ان تدلّ علی الحکم الشرعی الواقعی أو تدلّ علی الحکم الشرعی الظاهری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سایر تقسیمات قواعد فقهیه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مأخذشناسی قواعد فقهی،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القواعد و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آقابزرگ، الذریعة الی تصانیف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آدرس سایت تحقیقات علوم انسانی </w:t>
      </w:r>
      <w:r>
        <w:rPr>
          <w:rFonts w:eastAsia="IRNazanin" w:cs="IRNazanin"/>
          <w:b w:val="false"/>
          <w:bCs w:val="false"/>
          <w:i w:val="false"/>
          <w:iCs w:val="false"/>
          <w:color w:val="333333"/>
          <w:sz w:val="20"/>
          <w:szCs w:val="20"/>
        </w:rPr>
        <w:t>www.ensani.ir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محمدحسین، تحریر المجلة،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القواعد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قمی، سید تقی، الأنوار البهیة فی القواعد الفقهیة،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مصطفوی، سید محمدکاظم، مائة قاعدة فقهیة،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ایروانی، باقر، دروس تمهیدیة فی القواعد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شش قاعدۀ هم‌عرض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عبارتند از قاعده‌های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ادعای مدعی بلا معارض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حجیت قول‌ذو 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قول ما لا یعلم الا من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شرح آنها و نسبتشان با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کسی که مالک انشاء نباشد، اقرارش نافذ نیست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القواعد و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تحریر الأحکام الشرعیة علی مذهب الإمامیة،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ابوجعفر، المبسوط فی فقه الإمامیة،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نسخ،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مرحوم شیخ انصاری نیز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ابوجعفر، المبسوط فی فقه الإمامیة،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ابن ادریس، السرائر الحاوی لتحریر الفتاوی،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حکی هذا عنه الحلّی فی السرائر ساکتا علیه مع أنّ دأب الحلّی عدم المسامحة فیما لا یرتضیه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اینجا متذکر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دلایلی که عظمت فقهی شیخ انصاری را می‌رساند، همین 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شیخ انصاری چه تسلطی بر فقه داشته که حتی توانایی تفسیر سکوت ابن ادریس را نیز دارد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وان کان إقراره بما یتعلق بمال التجارة مثل أرش المعیب أو ثمن مبیع أو ما جری مجری ذلک فإن إقراره بذلک‌مقبول، لان المالک لشیء یملک الإقرار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طرابلسی، قاضی ابن براج،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ابوجعفر، المبسوط فی فقه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طرابلسی، قاضی ابن براج،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صیغه اسم فاعل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اقسام عبد، عبد مکاتَب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مکاتب، بنده‌ای است که با مولایش در مورد آزادیش قراردادی بسته باشد که هرگاه بها و قیمت خود را بدهدآزاد شود 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ادّیت فانت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مکاتبه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مطلق است یا 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آن است که اکتفا شود به عقدو مدت و عوض و نیت، و مشروط آن است که شرط کند اگر نتوانست بهای خود را بدهد برده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مکاتب مطلق عبد هر اندازه از قیمت خود را بدهد به همان اندازه آزاد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مکاتب مشروط مادام که تمام بها و قیمت را نپرداخته است عبد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 المکاتب و کان مشروطاً بطلت الکتابة و کان ما ترکه لمولاه و اولاده رقّ و اءًن لم یکن مشروطاً تحرًّر منه بقدر ما اداه و کان الباقی رقاً لمولاه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نجم‌الدین، شرایع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شهید ثانی، مسالک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اهمیت کتاب شرایع در این بخش متذکر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شرایع به عنوان قرآن الفقه مطرح است، مرحوم والد ما رحمه الله می‌فرمودند مرحوم آقای بروجردی رحمه الله خیلی بر شرایع تأکید داشت، چیزی که الآن در حوزه‌های ما متأسفانه به حاشیه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شرایع را در حوزه‌ها یک دوره می‌خواندند، حتّی مرحوم والد رحمه الله می‌فرمودند که به مرحوم آقای بروجردی رحمه الله پیشنهاد شد شما یک دوره کتاب فقهی مثل شرایع بنویسید، ایشان با آن عظمت فرموده بود که من یک صفحه مثل شرایع نمی‌توانم بنویسم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 بر عظمت و اتقان این کتاب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نجم‌الدین، شرائع الإسلام فی مسائل الحلال و الحرام،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نجم‌الدین، شرائع الإسلام فی مسائل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أقر بماله أن یفعله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تعبیر دیگر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شهید ثانی در مسالک، در شرح عبارت محقق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این که محقق، قول اول را اشبه دانسته این است که وکیل امین است و نسبت به انشای معامله قدرت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تصرف در مال از اختیارات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الأفهام إلی تنقیح شرائع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الأحکام فی معرفة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إرشاد الأذهان إلی أحکام الإیمان،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الوکیل و الموکّل، فادّعی الوکیل أنّه تصرّف کما أذن له، و أنکر الموکّل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تتصرّف البتّة بَعْدُ، فإن جری هذا النزاع بعد عزل الوکیل، لم یُقبل قوله إلّا ببیّنةٍ؛ لأنّ الأصل العدم، و بقاء الحال کما کان، و الوکیل غیر مالکٍ للتصرّف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جری قبل العزل، فالأقرب أنّه کذلک، و أنّ القول قول الموکّل؛ لأنّ الأصل العدم، ولأنّ الوکیل یقرّ علیه بزوال الملک عن السلعة، فوجب أن لا یُقبل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اختلفا فی التصرّف، فیقول 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 أو قبضت الثمن فتلف، و یقول الموکّل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تبع أو لم تقبض، احتمل تقدیم قول الوکیل، لإقراره بما له أن یفعله، واحتمل تقدیم قول الموکّل، لإقرار الوکیل هنا علی الموکّل، فلم یقبل، کما لو أقرّ علیه، وقوّی الشیخ الأوّل وعندی فیه تردّد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تحریر الأحکام الشرعیة علی مذهب الإمامیة،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الأفهام إلی تنقیح شرائع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بحرانی، حسین بن محمد، الأنوار اللوامع فی شرح مفاتیح الشرائع،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در تذکره، با وجود اینکه قول به تقدیم قول وکیل را نیز همراه با دلایل آن که از جمله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ذکر نموده، اما آن را قبول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القول قول الوکیل؛ لأنّه ائتمنه، فعلیه تصدیقه، و لأنّه مالک لإنشاء التصرّف، و مَنْ مَلَک الإنشاء قُبِل إقراره، کالولیّ المُجبَر إذا أقرّ بنکاح مولّیته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الأحکام فی معرفة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در سایر آثار خود نیز همین مطلب را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تحریر الأحکام الشرعیة علی‌مذهب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علامه حلی، تلخیص المرام فی معرفة الأحکام،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فقها مثل مرحوم محقق خوئی رحمه الله و به تبع ایشان مرحوم میرزا جواد تبریزی رحمه الله و شیخ حسین وحیدخراسانی، این مسأله را ذکر نموده و تصریح کرده‌اند که این مسأله از مصادیق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خوئی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أحد من المسلمین أقر بالأمان لمشرک، فإن کان الإقرار فی وقت یکون أمانه فی ذلک الوقت نافذا صح، لأن إقراره به فی الوقت المزبور أمان له و إن لم یصدر أمان منه قبل ذلک، و علیه فلا حاجة فیه إلی التمسک بقاعدة من ملک شیئا ملک الإقرار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سید ابوالقاسم،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تبریزی، جواد بن علی،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وحید خراسانی، وحید،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نظر می‌رسد که این استدلال،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اقرار به امان، غیر از انشاء امان و متأخر از آن است و همانگونه که حضرت استاد تصریح نموده، مورد از مصادیق قاعدۀ مزبور می‌باشد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نجم‌الدین، شرائع الإسلام فی مسائل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الأفهام إلی تنقیح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فقهای دیگر که بر این مسأله ادعای اجماع نموده، مرحوم محقق سبزواری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ذکر این مسأله چنین استدلال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أقرّ المسلم أنّه أذم المشرک یقبل إقراره للإجماع، و 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ملک شیئاً ملک الإقرار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سبزواری، سید عبدالاعلی، مهذب الأحکام،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الأحکام فی معرفة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فخرالمحققین، إیضاح الفوائد فی شرح مشکلات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صفحات آتی، وجه اعم و اخص بودن این دو قاعده مذکور خواهد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که قاعدۀ فخریه عبارت اخرای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نه اخص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چنانکه خواهد آمد، مراد از مالکیت در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سلطه و قدرت بر انشاء یا انجام کاری است و این سلطنت، همان چیزی است که مرحوم فخر رحمه الله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در مسأله طلاق یکی از زوجات که مصداق آن مشتبه شده،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طلق واحدة معینة و اشتبهت یقبل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مالک لإنشاء الطلاق و کل من ملک شیئا ملک الإقرار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 فخرالمحققین، إیضاح الفوائد فی شرح مشکلات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مرحوم علامه رحمه الله در کتاب الاقرار قواعد، در بیان اقسام مقر،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قاعده‌ای کلی ذکر نموده و فخر المحققین دراین باره توضیحی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 او ذکر نظرات خویش است در مواضعی که برخلاف نظر والد خویش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فخرالمحققین، إیضاح الفوائد فی شرح مشکلات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القواعد و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قاعدۀ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مورد این عبارت مرحوم شهید نفیاً یا اثباتاً مطلبی بیان نفرموده و ظاهراً این استثناء مورد قبول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می‌رسد که این مورد، استثنایی بر قاعده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از اینکه شهید، در اینجا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مورد زن بالغ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نموده می‌توان پی برد که مراد وی از ولی اختیاری، ولیی است که زن با اختیار خویش او را ولی قرار داده یا به عنوان ولی قبول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فعل ولی اختیاری زن دو حالت می‌تواند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آنکه فعل را با اذن زن انجام داده که در این مورد اقرارش مصداق قاعده بوده و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 آنکه فعل را بدون اذن زن انجام داده که در این صورت اصلاً سلطنت و صلاحیت بر انجام فعل را نداشته تا در مورد آن حق اقرار نیز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این صورت، سالبه به انتفاء موضوع است و اصلاً در حیطۀ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مثال دختری که به سن شانزده سالگی رسیده است، هم بلوغ شرعی دارد و هم بلوغ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نظر ما ولی اختیاری اوست و وجه آن در پاورقی بعدی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می‌کند که وی را به عقد فلان شخص در آورده‌ام، اما دختر منکر است و می‌گوید چنین عقدی صورت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 این مورد را استثنا می‌داند و می‌گوید نمی‌توان قول ولی را پذیرفت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نظر می‌رسد که این مورد نمی‌تواند استثنائی بر قاعده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جایی که دختر، بالغ باشد، در صورتی ولایت پدر نافذ است که از وی اذن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پدر تا زمانی که از دختر اذن نگیرد اصلاً حق تزویج وی را ندارد چه رسد به 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مورد، از موضوع قاعده خارج است و نقض محسوب نمی‌شود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پدر بر فرزندان صغار، بلا خلاف؛ اجباری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که آیا ولایت پدر بر فرزند بعد از بلوغ وی، اجباری است یا اختیاری، فقهاء عظام اختلاف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مشهور این است که صغیر چون کبیر شود، موضوع ولایت از میان می‌رود و اگر بعد از آن سفیه یا مجنون گردد، برای او قیم معین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ایران نیز به پیروی از مشهور فقهای امامیه همین نظر را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می‌رسد که اگر فرزند بالغ بعد از بلوغ به اختیار خویش پدر را ولی خود قرار دهد، ولایت پدر بر او ثابت و از قسم اختیاری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مراد از ولایت در اینجا تنها مربوط به ازدواج نیست، بلکه امور مالی و غیر مالی دیگر را نیز در بر می‌گیرد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شهید رحمه الله این مورد را با لفظ قیل ذکر نموده است و با توجه به سیاق ایشان، بکار بردن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برعدم قبول این نظر از سوی شهید می‌باشد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دیگر معاصرین که بر این مطلب تصریح نموده‌اند، آیة‌اللّه محمد سعید طباطبایی حکیم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المعروف عند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من ملک شیئا ملک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رفع الید عنه بحجة منافیة، کالبینة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حکیم، محمد سعید طباطبایی، 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رد یا قبول این مورد نیز نظری ابراز ننموده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معاصرین از جمله محقق سبحانی بر نادرست بودن استثنای سه مورد مذکور از شمول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نموده اظهار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المورد الأول فالظاهر أن الولی الختیاری غیر قادر علی الانشاء مالم یکن هناک إذن من البالغة الرشیدة، و أما الموارد الباقیة، فقد عرفت أن المحقق ذکر القولین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الأشبه 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یزدی، سید محمد کاظم، تکملة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 حضرت استاد نیز عدم نیاز به یمین در مصادیق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1392/11/26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اهل سنت پیرامون 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بحث‌های حضرت استاد نبوده و توسط نگارنده اضافه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ماضی از باب انفعال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قدامه مقدسی، المغنی،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سبحانی در این 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ویظهر منه أن القاعدة أمر مسلّم غیر أنّ الاشکال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یظهر من ذیل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تطبیقها علی المورد المذکور، و ذلک لأن القاعدة محدّدة بما إذا لم تسبب ضرراً علی آخر، فإن الاخذ بإقراره هنا سبب لورود الضرر علی الغرماء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عثمان بن علی زیعلی حنفی از فقهای حنفی اهل سنت؛ متوفای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زیعلی، عثمان بن علی، تبیین الحقائق فی شرح کنز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بهوتی، منصور بن یونس، کشاف القناع عن متن الاقناع،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سبحانی در مورد مجله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الأحکام العدلیة، و هو کتاب ألف بجهود سبعة علماء و برئاسة‌أحمد جودت باشا یتضمن القوانین المدنیة فی الدولة العثمانیة، و قد حررها الشیخ محمد حسین کاشف الغطاء بتحریر جدید علی ضوء فقه الإمامیة، و هو من أفضل کتبه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سایت مدرسه فقاهت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http://www.eshia.ir/Feqh/Archive/Sobhani/Feqh/92</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محمدحسین، تحریر المجلة،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قدر علی إنشاء شیء قدر علی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عین این عبارت از کتاب القواعد و الفوائدشهید اول نیز در صفحات پیشین نقل 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خوئی، سید ابوالقاسم، 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ذکر است که مرحوم محقق خویی رحمه الله در موضع دیگری از کتاب مصباح الفقاهه قاعده را قبول کرده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وهذه القاعدة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من ملک شیئاً ملک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ترد من الروایات و لکن قد تسالموا علیها فان ذلک أمر وجدانی و عقلائی و ضروری، فإن المالک لشیء مالک لجمیع شؤونه کما هو واضح، و نظیر ذلک ما إذا أقرّ الزوج بطلاق زوجته فإنه یسمع إقراره بذلک و ان نکرته الزوجة فان الزوج مالک للطلاق فیکون مالکاً للإقرار به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سید ابوالقاسم، 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ایشان فی الجمله تسالم اصحاب فقها و در نتیجه اجماع بر قاعده را پذیرفته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روح‌اللّه، الرسائل العشرة،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بین متأخرین نیز، فقهایی مثل مرحوم صاحب جواهر بر این مسأله ادعای اجماع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أقر المسلم أنه أذم لمشرک فإن کان فی وقت یصح منه إن شاء الأمان قبل إجماعا کما فی المنتهی، لقاعدة من ملک شیئا ملک الإقرار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محمدحسن، جواهر الکلام فی شرح شرائع الإسلام،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روح‌اللّه، الرسائل العشرة،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استاد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یکون المستند فیها هو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برگرداندند؛ در این صورت مفهوم عبارت امام همان است که در متن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نظر می‌رسد که مراد مرحوم امام، مستند فرع مذکور باشد؛ نه مستند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ایشان در مقام رد نظر شیخ مبنی بر منحصر بودن مستند فرع مذکور در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مفهوم عبارت امام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امکان دارد مستند فرع مذکور،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از روایات وارده در باب تصدیق قول زن پیرامون حامله بودن، یا اتمام عده و یا حائض بودن خود استفاده می‌شود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 برداشت ما از عبارت مرحوم امام رحمه الله، اشکال دوم ایشان بصورت زیر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که 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اقرار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فروعات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قول من لا یعلم إلاّ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نه فرعی از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قاعده مزبور، اجماعی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جواب از این اشکال امام رحمه الله نیز این است که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 الا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مواضعی است که امکان علم پیدا کردن به آنها از طریق دیگری متصور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زنی ادعا کند که حائضم یا طاهرم، یا دارای حمل هستم، حرف وی در همه این موارد مقبول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طریق دیگری مثل بینه و غیره امکان علم به این موارد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ما نحن فیه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یعلم إلا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 می‌توان از طُرُق دیگر نیز علم به آن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مکتوب کردن امان نامه یا اقامۀ بینه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أوضح شیء ذکره الشیخ لکون مستند الفقهاء هذه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العلّامة رحمه الله الإجماعَ علی قبول دعوی المسلم‌أمانَ الحربیّ فی حال ملکه لأمانه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محقق بجنوردی رحمه الله این استدلال را چنین تقریر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شکّ فی أنّ هذا الإجماع الذی ادّعاه العلّامه رحمه الله إجماع علی مورد من موارد هذه القاعدة، ولا یثبت به الکلّیّة المذکورة، ولکنّه یدلّ علی أنّ هذه القضیّة فی الجملة إجماعی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مفصل پیرامون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قول من لایعلم الا من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شباهت ها، تفاوت‌ها و نسبت آن با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بعد خواهد آمد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عراقی، آقا ضیاءالدین، کتاب القضاء،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اینکه قواعد فقهیه دو دسته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دستۀ اول قواعدی هستند که به طور کامل از 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شده‌اند، مانند قاعده لا ضرر، قاعدۀ ید، و قاعدۀ تسلیط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دستۀ دوم قواعدی هستند که هر چند در متون شرعی منصوص نیستند، اما مستند به نصوص شرعی و یا دیگر ادلۀ فقهی می‌باشند، مانند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یضمن بصحیحه، یضمن بفاسده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فقیهان با ملاحظۀ موارد متعدد و اتخاذ وحدت ملاک آنها را استخراج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از قواعد را قاعدۀ اصطیادی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فقهاء پس از بررسی احکام و مصادیق بیع و سایر معاملات ملاحظه نموده‌اند؛ همانگونه که در بیع صحیح ضمان وجود دارد، بیع فاسد نیز ضمان‌آور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اجاره و بقیۀ موارد نیز همین حکم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از مجموع این موارد،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یضمن بصحیحه یضمن بفاسده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کشف کرده‌اند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تحریر الأحکام الشرعیة علی مذهب الإمامیة،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إیضاح الفوائد فی شرح مشکلات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القواعد والفوائد،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قاعدۀ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عاملی، علی بن حسین کرکی، جامع المقاصد فی شرح القواعد،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کرکی با اظهار تردید در پذیرش اقرار عبد مأذون و قبول قول ولیّ راجع به تزویج دختر در صورت انکار دختر یا حتی عدم انکار او به علت جهل به واقع، اساسا منکر این قاعده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جامع المقاصد پس از شرح قول علامه که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ولیّ گفته شود، دخترت را به ازدواج فلان درآورده‌ای؟ و او پاسخ دهد، بلی، و زوج بگوید قبول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ولی تصریح کند که مرادش اقرار است، در صورتی که اقرار مطابق با واقع نباشد، هیچ رابطه زوجیّتی فی الواقع حاصل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آیا می‌توان در مورد دختر بنا به ظاهر حکم به زوجیت نمود؟ احتمال آن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شایسته است اگر دختر ادعای کذب ولی، در اقرار را بنماید، قول او همراه با سوگند پذیرفته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دختر علم به واقع نداشته باشد آیا می‌تواند منکر زوجیت شود؟ ممکن است پاسخ مثبت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اولا؛ به هنگام تردید در وقوع امری، اصل عدم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 اقرار در حق غیر نافذ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چنین بود ادعای قرض گرفتن و انشاء بیع اموال او نیز نافذ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می‌رود پاسخ منفی باشد، یعنی دختر نمی‌تواند منکر زوجیت شود؛ زیرا انشای نکاح در زمان ثبوت ولایت، فعل ولی است و او مسلّط بر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اقرار او نسبت بدان نافذ خواهد بود و ینبغی التأمل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ثانی همچنین در شرح قول علامه 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و محجور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مقرّ مطلق در آنچه که تصرف وی در آن نافذ است،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 دارد که حاصل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علامه با حکم به عدم پذیرش ادعای وکیل نسبت به انجام موضوع وکالت نقض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ادعای وکیل، شهادت است نه 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اقرار عبارت از خبر دادن از حقی است که به عهده مخبر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سخن آن است که قضیه مذکور در کلام علامه که مرادف با قاعده من ملک است، اختصاص به موردی دارد که اقرار شخص مربوط به چیزی است که متعلق به خود او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اینجا پیرامون مبنای خویش در اجماع خاطر نشان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اجماع به این معناست که قول جمعی فقهای قریب به عصر معصوم، از این حیث که قرب به زمان معصوم داشته‌اند، کشف از قول معصوم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از بزرگان معاصر عقیده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باید متّصل به زمان معصوم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طبق مبنای ایشان، اجماع رُوات و فقهای زمان خود معصوم علیه السلام ملاک حصول اجماع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مبنای ما در اجماع، کفایت اجماع فقهای قریب العصر به زمان حضور معصوم علیه السلام همچون مرحوم صدوق، کلینی، مفید، سید مرتضی، شیخ طوسی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این بزرگان در هر مسأله، کاشف از قول معصوم علیه السلام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اینجا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در رساله‌ای که در خصوص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اثبات نمودیم که این‌قاعده در محرّمات نیز جریان می‌یابد، در حالی که نظر قاطبۀ فقها اینست که لاحرج فقط در واجبات جاریست و مجرایی در محرمات ندارد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حلی رحمه الله اگرچه در بعضی موارد اظهار مخالفت نموده و حتی در مسأله اقرار صبی و اقرار عبد در کتاب‌تذکره الفقهاء نظر مخالف دارد، اما در بسیاری موارد، صراحتا به این قاعده استناد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مسأله اقرار ولی قهری نسبت به عقد مولی علیه به همین قاعده استناد کرده و با این تعلیل که اگر او به نفع وی اقرار کرده بود اقرارش نافذ بود، ادعای وی را بطور جزم مسموع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او در مسأله ادعای امان، در زمانی که امکان امان وجود دارد، ادعای اجماع نموده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علی بن حسین کرکی، جامع المقاصد فی شرح القواعد،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محقّق بجنوردی رحمه الله در این رابطه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لا یخفی أنّ خلاف بعضهم فی بعض المصادیق لا یضرّ بتحقّق الإجماع علی اعتبار هذه القاعدة، لأنّ معنی الإجماع علی اعتبار دلیل و قاعدة هو أن یستند الجمیع إلی ذلک الدلیل و تلک القاعدة و لو فی مورد واحد، لا أنّهم لا یختلفون و لو کان فی واحد من صغریاته و موارده؛ و لذلک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تحقّق الإجماع علی عنوان مطلق، یتمسّک بإطلاق ذلک العنوان لمورد الشکّ، و لو کان ذلک المورد محلّ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من جهة أنّ اعتبار القضیّة الکلّیّة إذا ثبت بدلیل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ذلک الدلیل هو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یطبق علی جمیع الموارد و إن کان بعضها محلّ 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می‌توان گفت این مخالفتها خللی به تحقق اجماع نمی‌رساند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منظور از حصول اجماع بر اعتبار یک دلیل یا قاعده این است که همه فقها به آن دلیل یا قاعده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در یک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کرده باشند، نه اینکه در فروع آن هیچ اختلافی باهم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است 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نسبت به یک عنوان مطلق، اجماع محقّق شود، می‌توان به اطلاق آن عنوان در مورد شک تمسک نمود و لو این که آن مورد، محل خلاف باشد زیرا وقتی اعتبار یک قضیه کلی با دلیلی ثابت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آن دلیل اجماع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مزبور بر کلیه موارد قابل تطبیق است حتی اگر بعضی از موارد محل اختلاف 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بسیاری از متأخرین و معاصرین نیز وجود اجماع بر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پذیرفته‌اند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مرحوم سید جواد عاملی رحمه الله در مفتاح الکرامه، ذیل کلام علامه رحمه الله در قواعد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 وهو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و محجور، فالمطلق ینفذ إقراره بکلّ ما یقدر علی إنشائه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 بر دو قسم است؛ مطلق و محجور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مقرّ مطلق نسبت به هرآنچه که قدرت انشای آن را دارد نافذ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معنی قولهم کلّ من ملک شیئاً ملک الإقرار به، و هی قاعدة مسلّمة لا کلام فیها و قد طفحت بها عباراتهم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معنای قول فقها است که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ملک شیئا ملک الاقرار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قضیّه یک قاعده مسلم است که حرفی در آن نیست و تعبیرات فقها مبتنی بر این قاعده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عاملی، سید جواد، مفتاح الکرامة فی شرح قواعد العلامة،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صاحب ریاض رحمه الله نیز در خصوص قبول اقرار طفل ده‌ساله بر وصیت، وقف و صدقه بر قاعده استدلال کرده و آن را بدون مخالف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یقبل إقرار الصبی بمال و لا عقوبة و إن بلغ عشراً إن لم نجز وصیته ووقفه وصدقته، وإلّا قبل إقراره بها، لأنّ من ملک تصرّفاً فی شیء ملکه ملک الإقرار به أیضاً، بلا خلاف فیه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سید علی، ریاض المسائل،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دیگر معاصرینی که اجماع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به عنوان مؤید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قبول نموده، آیة‌اللّه ناصر مکارم شیرازی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رغم اینکه بر وجود اجماع در مسأله، دو اشکال مطرح نموده، اما در پایان، فی الجمله آن را به عنوان مؤید در کنار سایر ادله قبول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الذی صرح به غیر واحد منهم فیما مر علیک من کلماتهم و یؤیده إرسال غیرهم للقاعدة إرسال المسلمات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یرد علیه أولا انه لا یمکن الاستدلال بمثله فی مثل هذه المسألة التی فیها مدارک أخر یمکن استناد المجمعین إلیها، مضافا الی ما قد عرفت من الاشکال فیه فی بعض الموارد من التذکرة و صاحب الجواهر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قد یستدل بالقدر المتیقن منها مما لا خلاف فیه بینهم، و لکنه و ان سلم من الإشکال الأخیر لکنه لا یسلم من الإشکال الأول و علی کل حال الإنصاف ان دعوی الإجماع و ظهور التسالم مؤید قوی للأدلة الاتیة و ان لم یکن بنفسه دلیلا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القواعد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1392/11/27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سیره، استمرار عادت مردم بر امری و شیوع عمل یا ترک عملی میان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رفتار خاص میان همه عقلا و عرف عام از همه ادیان و مذاهب جاری باشد سیره عقلایی و بناء عقلا خوانده می‌شود و اگر اختصاص به مسلمانان یا امامیه داشته باشد و آنان نیز به جهت شرع چنین عملی را داشته باشند، به آن سیره متشرعه، سیره شرعیه یا سیره اسلامی گفته می‌شود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 مبنای حضرت استاد، سیرۀ متشرعه به شرطی معتبر است که متصل به زمان معصوم علیه السلام بوده و مورد تأیید ایشان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 مبنای مرحوم آیة‌اللّه فاضل لنکرانی رحمه الله، همان‌گونه که اجماع مدرکی معتبر نیست، در باب سیره نیز، ایشان سیرۀ مدرکی را حجت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فقهایی که قائل به عدم اعتبار اجماع مدرکی هستند، سیرۀ مدرکی را نیز قبول ندارند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دربارۀ ارتکاز شرعی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ارتکاز شرعی می‌توان به سیرۀ متشرعه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شیخ انصاری در مکاسب می‌فرماید، گاهی ممکن است سیرۀ متشرعه بر اثر لاابالی‌گری اهل شرع شکل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بایستی جواز و عدم جوازهای شرعی و فروعات مختلف یک مسأله را نیز در کنار هم مورد بررسی قرار داد تا ارتکاز شرعی و از طریق آن، علم به سیرۀ متشرعه حاصل 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سیرۀ متشرعه اقرار صبی نافذ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قلم عن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 علی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دارد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اینجا یادآور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توجه داشت که سیره، اجماع، عقل و بناء العقلاء ادله‌ی لبّی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تفاوتهای ادلۀ لفظی با ادلۀ لبّی همین است که ادله لبّی فی الجمله امری را ثابت می‌کنند ولی اطلاق ادلۀ لفظی بالجمله تمام موارد زیر مجموعۀ خود را اثبات می‌کنند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که دلیل عدم استقرار سیرۀ متشرعه بر اجرای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تمامی مصادیق آن، تعارض با سایر ادله است؛ مانند مسألۀ عدم نفوذ اقرار صبی که به دلیل حکومت حدیث رفع بر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متشرعین، قاعده را در هرجایی که معارضی نداشته باشد، جاری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می‌رسد که اشکال سوم نیز اشکال واردی نیست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فقهای معاصر دلیل عمده بر قاعده را بنای عقلا دانسته اذعان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بناء العقلاء علیه، والظاهر انه من باب الدلالة الالتزامیة الحاصلة من التسلط علی 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القواعد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از مستلزم مقدمات خاص بودن این است که عبد باید اثبات کند مجاز در اصل استدانة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اقرار زوج بر رجوع که مستلزم هیچ مقدمه‌ای نیست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رحمه الله در حقیقت می‌خواهد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اصالة الصحة را قبول دارد به طریق اولی بایستی ظهورِ اقرار مالک تصرف در صحت را نیز بپذیرد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الاقرار،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محمد بن علی بن بابویه،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ظبیان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عمر بامرأة مجنونة قد فجرت فأمر برجمها فمرّوا بها علی علیّ بن أبی طالب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مجنونة فجرت، فأمر بها ان ترجم،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تعجلوا، فأتی عمر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انّ القلم رفع عن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الصبیّ حتّی یحتلم، وعن المجنون حتّی یفیق، وعن النائم حتّی یستیقظ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نقل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رحمه الله می‌خواهد بگوید که رسم شارع این نیست که بر سببیت بلوغ و عقل در احکام تصریح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قاعدۀ اقرار بر آن تصریح نموده تا به نوعی ظهوری را که منشأ قاعدۀ اقرار است، متذکر سازد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قدیم افراد برای اینکه محلی را به ملکیت خود درآورند، قباله‌ای ظاهری تنظیم نموده و اقرار می‌کردند که‌این ملک از آن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اقرار که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القباله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می‌شد همانند اقرار به رؤیت مبیع از طرف مشتری یا قبض و اقباض، جنبه صوری داشته و تنها برای اینکه بیع در قباله بصورت صحیح منعکس شود از سوی مقر واقع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بعدا اگر اختلافی رخ می‌داد، ذی نفع مدّعی می‌شد که اقرار واقعیت نداشته و علی رسم القباله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چنین اقراری ظهور در صدق نداشته و از این رو شیخ معتقد بوده که بر چنین اقراری، نمی‌توان اثر بار کرد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ابوجعفر، المبسوط فی فقه الإمامیة،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وقتی صبی اقرار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مالم را وقف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اصل بر عدم الوقف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چون اقرار وی ظهور در صحت دارد، این ظهور سبب تقدیم ظاهر بر اصل شده و حکم به تنفیذ اقرار وی می‌شود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استدلال مرحوم عراقی رحمه الله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عرفت المراد من القاعدة فیظهر تمکّن إثبات هذا المعنی بدعوی‌الملازمة العرفیّة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أنّه یری العرف الملازمة بین کون الشخص سلطانا علی إیجاد أمر بسببه، و بین کونه مسلّطا علیه بإثباته عند الشکّ و عدم القطع بحصول السبب، بمعنی أنّه یرون ذلک من شئون السلطنة الأولیّة المستکشف بذلک إنّا حجیّة خبره، لا أنّه لحجیّة خبره مستندا إلی ظهور الحال و نحوه یستدلّ لحجیّة إقراره و ترتیب آثار السبب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عراقی، آقا ضیاءالدین، کتاب القضاء،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از سلطنت بر ثبوت، سلطنت بر فروش، هبه، وقف و سایر تصرفات بوده، و منظور از سلطنت بر اثبات، سلطنت بر اقرار و اخبار از تصرفات یاد شده می‌باشد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سبحانی دلیل ملازمه را چنین تبیین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فرضنا أنّ شخصاً مالک للبیع و الشراء و دفع الثمن و أخذه إلی غیر ذلک من التّصرفات، فمعنی ذلک وجوب قبول قوله فی مقام الاثبات و الاقرار، و إلا یلزم لغویة جعل تلک الحقوق علیه إلا نادراً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فالسطنة علی التصرفات لا یراد بها السلطنة فی مقام الثبوت فقط بأن یزوّج الولی الصغیر و الصغیرةَ أو یبیع الوکیل شیئاً دون أن یکون له صلة بالاثبات، فثبوت الحق له و نفوذ عمله ثبوتاً یلازم ثبوته إثباتاً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الدلیل أفضل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سایت مدرسه فقاهت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http://www.eshia.ir/Feqh/Archive/Sobhani/Feqh/92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فرضاً اگر بنّا اظهار نماید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دیوار را ساختم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خیاط ادعا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را دوختم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صاحب کار منکر شده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قبول ندارم که دیوار را ساخته یا لباس را دوخته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 گفته می‌شود که چون بنا یا نجار سلطنت بر ثبوت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بر ساخت دیوار یا دوخت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پس به مجرّد اخبار، ادعای آن دو پذیرفته شده و حکم به وقوع احداث دیوار یا دوخته شدن لباس داده می‌شود؟ مسلماً چنین نیست؛ بلکه در مقابل انکار صاحب کار، آن دو بایستی اقامۀ دلیل و بینه نمایند و بدون اقامه بینه، قولشان مقبول نمی‌گردد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می‌توان از بیان مرحوم محقق خویی رحمه الله برای جواب به این اشکال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آیة‌اللّه خویی رحمه الله استناد اجیر برای انجام حج به قاعده من ملک را رد کرده، می‌گوید که این ملازمه تنها در تصرفات اعتباری جاری است نه تصرفات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المستفادة من السیرة فإنما تجری فی الأمور الاعتباریة لا فی الأمور التکوینیة الخارجیة، نظیر اخبار الزوج بطلاق زوجته أو بعتق عبده أو ببیع داره و نحو ذلک من الأمور الاعتباریة فلا یطالب بالبینة کما لا یعتبر الوثوق بکلامه، و لا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الأمور التکوینیة الخارجیة فلا تثبت بمجرد اخبار من بیده الأمور کاخبار النائب بإتیان العمل بل لا بد من الإثبات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این بیان قسمت اول اشکال مرحوم بجنوردی که مربوط به امور تکوینی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دیوار یا دوخت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پاسخ داده می‌شود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سید محمد بجنوردی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مرحوم آیة‌اللّه سید حسن بجنوردی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همچون والدش دلیل ملازمه را مردود دانسته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قدرت و سلطنت بر وجود یک شیء دارد، اما این امر با قدرت انسان بر اثبات معنی مذکور، ملازمه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قدرت دارد که تمامی افعال و حرکات و سکناتش را موجود کند، اما در مقام اثبات چنین نیست که هر چه گفت بپذیرند و بگویند از باب ملازمۀ چنین اموری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مقام اثبات دارای ضابطه است، در بعضی موارد بینۀ می‌خواهد و در بعضی امور قسم و در بعضی جاها بینۀ و یمین و در بعضی مسائل خواستار اطمینان است؛ اینطور نیست که وقتی انسان قدرت داشت شیئی را در مقام ثبوت موجود کند، قدرت مذکور ملازمۀ با قدرت در مقام اثبات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سید محمد، قواعد فقهیه،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سبحانی در پاسخ اشکال محقق بجنوردی رحمه الله، ادعای ایشان مبنی بر عدم لغویت جعل سلطنت بدون جعل حجیت اقرار را مردود دانسته و معتقد است که چنین لغویتی در اکثر موارد لازم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عنوان نمونه کسی که عامل تجارت است و به او اختیار و سلطه تجارت داده شده، ممکن است که هر روز دهها معامله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می‌تواند برای هر معامله‌ای دو شاهد بگیرد؟ این مشکل است و بلکه اصلاً عملی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بجنوردی تصور کرده است که مضارب، وکیل یا وصی فقط یک فعل یا دو فعل دارد و برای یک فعل و دو فعل شاهد گرفتن چندان کار مشکلی نیست، اما کسی که افعال و کارهای بیشتری دارد خصوصاً در تجارت، نمی‌تواند برای هر موضوعی دو نفر را به عنوان شاهد اقامه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فلذا در موارد کثیری اگر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 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قبول نکنیم لغویت لازم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ماند که از یک طرف چاقو به دست او بدهیم و از طرف دیگر تیغه را ازاو بگیریم، چاقوی بدون تیغه چه فایده‌ای دارد؟ بنابراین اشکال ایشان وارد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عراقی، آقا ضیاءالدین، کتاب القضاء،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قاعده‌ای می‌باشد که توسط مرحوم فخر المحققین حلی رحمه الله مطرح شده و متن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من‌یلزم فعله أو إنشائه غیره یمضی إقراره بذلک علیه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حضرت استاد در مورد دو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ادعای بلا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حجیت قول ذو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رابطۀ آن دو با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ننموده و به همین علت مباحث این دو قاعده به عنوان گفتار اول و دوم، توسط نگارنده اضافه 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قبول ادعای مدعی بلا معارض در صورتی است که متعلق حق، شخص دیگری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عراقی رحمه الله در این باره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أنّ الحقوق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لیس أمرا ربطیّا کتملّک شیء لشخص، فإنّ الملکیّة و إن کانت أمرا إضافیا إلّا أنّ الإضافة أمر انتزاعی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حقیقته الربط، مثل الزوجیّة و</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بجنوردی رحمه الله در تبیین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 بلا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المدّعی بلا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أنّهم یقولون بسماع قول المدّعی الذی بلا معارض، وقبوله بغیر بیّنة فی المالیّات و إن لم یکن له ید علیه، فإذا ادّعی أنّ المال الفلانی الذی لا ید لأحد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ینفی صاحب الید کونه لنفسه و لا یدّعی کونه لشخص معیّن، بل یعترف بعدم علمه بمالکه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 و لیس هناک معارض یعارضه، یقبل قوله ویعطی له مع یمینه، بناء علی ما ذکرنا من تمامیّة هذه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فی غیر المالیّات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لو ادّعی طهارة شیء أو نجاسته و هو لیس بمالک و لا بذی الید علیه، أو أنّ هذا الیوم یوم العید و أمثال ذلک من غیر المالیّات و لا معارض له، فلا یسمع دعواه، بل یحتاج إثباته إلی البیّنة، أو إحدی الأمارات الشرعیّة الأخر، و ذلک من جهة أنّ عمدة مدرک سماع هذه الدعوی هی سیرة العقلاء و بناؤهم علی قبول قول المدّعی الذی لا یعارضه أحد بغیر البیّنة، و لکن هذه السیرة القدر المتیقّن منها هو فیما إذا کان ما یدّعیه من المالیّات و إن لم یکن لذلک المدّعی ید علیه، أو کان من الحقوق، کادّعائه تولیة وقف، أو یدّعی حقّ التحجیر، أو حقّ السبق فی مکان، أو حقّا آخر و لا یعارضه أحد فی هذه الدعوی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نجم‌آبادی به نقل از محقق عراقی، در تفاوت بین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 بلا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قواعد هم عرض آن مثل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بعون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یقع فی کلمات الفقهاء فی موارد الاختلافات من أنّه یقبل قوله، قد یراد منه أنّه یقبل من جهة کون نفس قوله حجّة شرعیّة بحیث یکون الادّعاء مثبتا للحقّ کما فی الدعوی بلا معارض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یراد منه أنّه یقبل قوله من جهة کونه موافقا للأصل و القاعدة، فیکون منکرا، فوظیفته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جلّ باب الأمانات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کالمستودع الّذی یدّعی ردّ الودیعة أو تلفها بلا تفریط، فیکون المودع مدّعیا؛ لکون قوله مخالفا للقاعدة المستفادة من الحدیث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تارة؛ یراد منه أنّه یسمع دعواه و لو قبل البیّنة حتّی یقیم بعده البیّنة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مطلق الدعاوی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فی مقابل دعواه الحدّ الّتی لا تسمع رأسا بلا بیّنة لانحصار إثبات المدّعی به فیه؛ بها و لا تصل النوبة بالیمین أبدا، و من قبیل الثانی دعوی ذی الید، سواء کانت له السلطنة المطلقة أو لا حتّی یدخل فی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من موضوعاتها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اتّضح من ذلک الفرق بین تلک القواعد من حیث إنّ المراد من سماع دعوی بلا معارض کون دعواه حجّة شرعیّة، و یصدّق بها کلّ ما یدّعی، بلا طلب میزان من البیّنة أو الیمین منه، و بالأخیرین هو أنّه یقدّم قول الأمین و کذلک مالک الشیء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علیه فعلا علی قول معارضهما و طرفهما فی الخصومة، و یجعلان هما منکرا، فیطلب منهما الیمین و من الطرف البیّنة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هو المراد من سماع قول الأمین و ذی الید، لا أن یکون قولهما حجّة شرعیّة، کما فی الدعوی بلا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إنّ بحث الدعوی بلا معارض خارج من باب القضاء رأسا، إذ هو قد عقد لبیان أحکام المخاصمات و کیفیّة الفصل،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عراقی، آقا ضیاءالدین، کتاب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نجم‌آبادی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معاصرینی که قاعدۀ حجیت قول ذو الید را به عنوان دلیل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آیة‌اللّه حسین‌مظاهری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عقیدۀ وی، قاعدۀ عقلایی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استولی علی شیء فهو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قاعدۀ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گرفته و قاعده ید، اماره‌ای عقلایی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حسین، دروس 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قواعد فقهیه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عراقی در تبیین مطلب مذکور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شبهة فی أنّه لیس المراد بالید هی الجارحة المخصوصة، بل المراد بها الاستیلاء و السلطنة علی الشیء، و هما یختلفان بحسب الموارد، إذ قد یکون الشخص سلطانا علی أصل رقبة الشیء، و قد یکون سلطانا علی منافعه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المستأجر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سلطانا علی حفظه، و قد یکون سلطانا بحیث ملک إن یملک، کصاحب الشبکة الموضوعة للصید، ففی کلّ هذه الموارد یکون الشخص ذا ید علی العین و مستول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عراقی، آقا ضیاءالدین، کتاب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نجم‌آبادی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صاحب نظران نیز در تعریف ید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 عبارت است از سلطه و اقتدار شخص بر شیء به گونه‌ای که عرفاً آن شیء در اختیار و استیلای او باشد و بتواند هرگونه تصرف و تغییری در آن به عمل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محقق داماد، سید مصطفی، قواعد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توجه داشت که ید دارای اقسامی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موجب مالکیت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اهی ید موج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سبب 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می‌باشد مثل 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ازت مباحات که به واسطه ید رابط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 میان مال و متصرف پدید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رابطه تا زمانی که شخص از آن مال اعراض نکرده است،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گاهی ید سبب حصول مالکیت در عالم ثبوت است و فقط اماره مالکیت و سبب اثباتی بر حسب ظاهر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ناشی از مالکیت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ید ممکن است سبب مالکیت شود، ممکن است مسبب از ملکیت نیز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ید ناشی از یکی از نواقل شرعی است، خواه اختیاری باشد یا قهری، مانند 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موجب 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در این معنا از موجبات ضمان است بدین معنی که هر کس بر مال دیگری مستولی گردد، ضامن تلف و نقص آن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معنا از ید از حدیث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 ما اخذت حتی تودیه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که به ضمان ید معروف و نامیده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اماره مالکیت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اموالی که بر آنها ید و استیلا دارند به چند دسته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ما متعلق به غیر بوده و ذوالید بر آنها سلطه و استیلا دارد و استیلای مزبور نامشروع می‌باشد که در بند قبل توضیح داده‌ایم که از آن به ضمان ید یاد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در اختیار و ید و سلطه داشتن بر مال حسب ظاهر حاکی از سلطنت او دارد اما نمی‌دانیم که آیا وی مالک است یا خیر؟ که این خود دارای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مال در دست او مسبوق به</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تعبیر، التقاطی از دو قاعده ید و ذو الید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بین قاعدۀ 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استولی علی شیء فهو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قاعدۀ حجیت قول ذو الید تفاوتهایی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عراقی در این خصوص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وبالجملة؛ ففی مثل هذه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دعوی ذی الید تملکه أو استیجاره أو استعارته ما فی یده 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یمکن أن یکون المدّعی به بنفسه تحت الید و السلطنة کدعوی الملکیّة و نحوها، فلا مجال للقول بأنّ قول ذی الید فیها حجّة، بل الحجّة نفس الید، و من آثارها ثبوت مدّعاه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فی غیر هذه الموارد ممّا لا یمکن أن یکون المدّعی به تحت الید و الاستیلاء بنفسه بل هی من عوارض ما فی الید کالطهارة و النجاسة و القبلة و أمثالها، ففی أمثالها لا مجال لدعوی أنّ نفس هذه الأفعال من آثار الید، بل هی یرجع إلی اعتبار قول ذی الید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البحث فی أنّ أدلّة الید هل یثبت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ای اعتبار قول ذی الید فی هذه الامور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عراقی، آقا ضیاءالدین، کتاب القضاء،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این همه به نظر می‌رسد که قاعدۀ حجیت قول ذو الید از لوازم قاعدۀ ید می‌باشد و شاید بتوان گفت که این قاعده از لوازم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علی اموالهم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کاربرد آن دو به جای هم مسامحتاً بلا اشکال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پیرامون این قاعده،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عراقی، آقا ضیاءالدین، کتاب القضاء،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قائلین این نظریه در میان معاصرین، آیة‌اللّه جعفر سبحانی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درس‌خارج قواعد فقهیه، به تاریخ </w:t>
      </w:r>
      <w:r>
        <w:rPr>
          <w:rFonts w:eastAsia="IRNazanin" w:cs="IRNazanin"/>
          <w:b w:val="false"/>
          <w:bCs w:val="false"/>
          <w:i w:val="false"/>
          <w:iCs w:val="false"/>
          <w:color w:val="333333"/>
          <w:sz w:val="20"/>
          <w:szCs w:val="20"/>
        </w:rPr>
        <w:t>92/6/30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که در فرض دوم، قول به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رابطۀ دو قاعده مفهوماً و مصداقاً تساوی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ارجح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وفق مبنای دوم تعریف ید شامل هر نوع مالکیت اعم از سلطنت اعتباری، مالکیت اصیل و غیر اصیل و مالکیت بر انشاء بوده و این مطلب، همان مفاد مالکیت در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بخش تبیین مفردات آن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وفق مبنای دوم استبعادی ندارد که قاعدۀ حجیت قول ذو الید و ادلۀ آن، به عنوان دلیل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گردد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الودیعه،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حمیری، عبداللّه بن جعفر، قرب الإسناد،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الکرامة فی شرح قواعد العلامة،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روایاتی که محقق عراقی رحمه الله بدانها استناد می‌کند، دو روایت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منقول از امام 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عَنْ عَلِیِّ بْنِ إِبْرَاهِیمَ عَنْ أَبِیهِ عَنِ ابْنِ أَبِی عُمَیْرٍ عَنْ جَمِیلٍ عَنْ زُرَارَةَ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وَالْحَیْضُ لِلنِّسَاءِ إِذَا ادَّعَتْ صُدِّقَتْ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حکی فی قضاء الکنی أیضا ان فی بعض هذه الاخبار التعلیل بأنه یتعذر علیها الاشهاد و لعله محط نظر القوم فی تعلیلهم سماع الدعوی فی أمثال المورد، بتعذر إقامة الشهادة بل و تعدیهم من مورد النص الی غیره مما کان کذلک فی التعذر المزبور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عراقی، آقا ضیاءالدین، کتاب القضاء،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امروزه اشهاد برای حمل مشکل نیست لیکن برای طهر و حیض تعذر اشهاد کماکان وجود دارد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اینجا راجع به کتاب العناوین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العناوین الفقهیه سید میر فتاح، کتاب بسیاردقیق و پر فرعی می‌باشد که یقیناً هیچ فقیهی از آن بی‌نیاز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توصیه می‌کنم یک دوره این کتاب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قواعد فقهیه را بسیار مفصل و دقیق بحث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مباحثه کنید تا قوت فقهیتان بالا 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1392/11/29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مراغی، میر عبدالفتاح، العناوین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مراغی، میر عبدالفتاح، العناوین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کاشانی، محسن، مفاتیح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معاصرین مثالهای دیگری نیز برای قاعده ذکر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محقق سبحانی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وأفضل الأمثلة لهذه القاعدة الموارد التالیة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قول النساء فی الطهر و الحیض و العدّة ووجود البعل و عدمه، و دعوی المحلّلة الإصابة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شیخ در کتاب خیارات مکاسب عمومیت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مورد تردید قرار داده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معنی تقدیم الظاهر جعل مدّعیه مقبول القول بیمینه، لا جعل مخالفه مدّعیاً یجری علیه جمیع أحکام المدّعی حتّی فی قبول قوله إذا تعسّر علیه إقامة البیّنة، ألا تری أنّهم لم یحکموا بقبول قول مدّعی فساد العقد إذا تعسّر علیه إقامة البیّنة علی سبب الفساد؟ مع أنّ عموم تلک القاعدة ثمّ اندراج المسألة فیها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کتاب المکاسب،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محمدحسن، جواهر الکلام فی شرح شرائع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میرزا محمدحسین، کتاب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روایت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 بْنِ عُبَیْدٍ الْأَشْعَرِیِّ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1392/11/29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در این خصوص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فتحصّل ممّا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مفاد القضیة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فرضنا أنّها صادرة من المعصوم علیه السلام أنّ مالک الشیء مالک إقراره، فتکون مساویة 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روح‌اللّه، الرسائل العشرة،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میان معاصرین، آیات حسین مظاهری و جعفر سبحانی موافق این نظریه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قواعد فقهیه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سبحانی، جعفر، درس خارج قواعد فقهیه، به تاریخ </w:t>
      </w:r>
      <w:r>
        <w:rPr>
          <w:rFonts w:eastAsia="IRNazanin" w:cs="IRNazanin"/>
          <w:b w:val="false"/>
          <w:bCs w:val="false"/>
          <w:i w:val="false"/>
          <w:iCs w:val="false"/>
          <w:color w:val="333333"/>
          <w:sz w:val="20"/>
          <w:szCs w:val="20"/>
        </w:rPr>
        <w:t>92/6/30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شیخ انصاری همان ابتدای رسالۀ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دلالت حدیث اقرار بر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ردکرده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والمقصود الأصلی الانتفاع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قاعدة 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مقام إقرار البالغ الکامل علی نفسه، إذ یکفی فی ذلک المقام ما أجمع علیه نصّا و فتوی من نفوذ إقرار العقلاء علی أنفسهم، لکن لا ینفع ذلک فی إقرار الصبیّ فیما له أن یفعله، و إقرار الوکیل و الولیّ علی الأصیل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لما تخیّله بعض من استناد هذه القاعدة إلی قاعدة إقرار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در اواسط رساله، ضمن بحث از ادلۀ قاعده، به گونۀ نسبتاً مفصّل تری پیرامون عدم دلالت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نموده و چنین استدلال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 أنّ حدیث الإقرار لا یمکن أن یکون منشأ لهذه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حدیث الإقرار لا یدلّ إلّاعلی ترتیب الآثار التی یلزم علی المقرّ دون غیرها مما یلزم غیره، فإذا قال للکبیر البالغ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ابنی، فلا یترتّب علیه إلّاما یلزم علی المقرّ من أحکام الأبوّة، و لا یلزم علی الولد شیء من أحکام البنوّة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دلیل الإقرار لا ینفع فی إقرار الوکیل و العبد و الولیّ علی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حدیث اقرار نمی‌تواند منشأ این قاعده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حدیث مزبور تنها دلالت بر ترتب آثاری دارد که بر ضرر خود مقرّ است و اقرار وی موجب الزام اشخاص دیگر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هرگاه شخصی ادعا کند که فلان فرد بالغ عاقل فرزند من است، بر این اقرار تنها احکام ابوّت بار می‌شود مثل وجوب نفقه، ارث بردن فرزند از او و سایر آثاری که به ضرر مقر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آثاری که مربوط به پسر و به ضرر او می‌باشد، مثل</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علاوه بر این، خود مرحوم امام رحمه الله نیز در سطور دیگری از رسالۀ خود، تصریح نموده بر این که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عصاره سه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 علی أنفسهم 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قاعده ائتمان و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یعلم إلا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فیمکن أن یکون التعبیر بهذه القاعدة من قبیل الجمع فی التعبیر عن عدّة قواعد، مثل قاعدة الإقرار و الائتمان و أمثالهما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روح‌اللّه، الرسائل العشرة،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احتمال در بطلان نظریۀ این همانی دو قاعده کافیست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حسین مظاهری ضمن تصریح به وجود تباین بین دو قاعده، عقیده دارد که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مواردی است که اقرار مقر، به نفع خویش باشد؛ نه بر ضرر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دیگر سخن در نظر وی، مفاد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اقرار بر علیه خویش است اما اقرار در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له مقر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دلیلی بر این نظر خویش ذکر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قواعد فقهیه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آیة‌اللّه جعفر سبحانی ضمن رد نظر مرحوم امام رحمه الله مبنی بر وحدت دو قاعده، بر نظر خویش که قول به تباین قاعدتین هم از حیث مفاد و هم از حیث مصادیق است، چنین استدلال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امام در اوائل علم اصول در بحث تمایز علوم می‌فرمود که بعضی از علوم جوهراً با هم فرق دارند؛ موضوعاً و محمولاً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آخوند رحمه الله می‌گوید تمایز علوم به اغراض است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بسیاری از علوم تفاوت جوهری با یکدیگر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موضوع علم هیئت، آسمان و زمین است؛ اما علم شیمی در خواص باطنی اشیاء بحث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مسائل دو علم با هم تفاوت جوهری داشته و موضوع و محمول شان متفاوت باشد، نباید گفت تمایز العلوم بالأغراض، بلکه در آنجا تمایز شان بالذات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از همین بیان استفاده می‌کنیم و می‌گوییم هم موضوع و هم محمول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غیر از موضوع و محمول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اما در دومی،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و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محمول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قاعده موضوعاً و محمولاً مغایرند و این تغایر نشان از وجود تفاوت جوهری بین آن دو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نظریۀ مرحوم امام مبنی بر اتحاد قاعدتین، صحیح به 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می‌توان گفت دو قاعده‌ای که موضوع و محمول شان مختلف‌اند، قاعدۀ واحده هستند؟علاوه بر آن در مقر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عنوان زائد لازم نیست، همین قدر که اقرار کننده عاقل باشد کفایت می‌کند، ولی در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عناوین دیگری نیز بر مقر منطبق شود تا به سبب آنها قولش پذیرفته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صرف تجرد از عناوین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مقر باید دارای عنوان وصی، ولی، وکیل یا تولیت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دیگر سخن ملاک مقر در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معنون بعنوان الولایة و وکالة و التولی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خلاف مقر در اقرار العقلاء که ذات عاقل برای ما کافی است که قولش را بپذیریم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نسبت بین قاعدتین تباین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دو قاعده مفهوماً جدا هستند، مصداقاً نیز هم با هم جمع نمی‌شوند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استدلال مذکور نادرست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مفاد حقیقی دو قاعده، وجوه اشتراک نزدیکی باهم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صورت که مفاد حقیقی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 علی انفسهم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 بضرر انفسهم 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مضمون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 شیئاً ملک الاقرار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المالک فی ما ملک 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سبحانی عقیده دارد که ماده اجتماع داخل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تنها از مصادیق قاعدۀ اقرار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آدم مالک اقرار به وقف یا هبه نماید، طبق قاعدۀ اقرار همگان از او 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مفاد جدیدی داشته باشد که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قاصر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سخن صحیح به 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لازمۀ آن این است که هیچ کدام از قواعد فقهیه مصادیق مشترکی با سایر قواعد نداشته باشد، در حالی که یقیناً برخی مصادیق، داخل در دو یا چند قاعده می‌باشند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زیرا وفق مفهوم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مواردی که شخص نسبت به انجام عملی مجاز نباشد اقرار وی نافذ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طبق قاعده اقرار وجود این شرط ضروری نیست؛ از این رو اقرار به ارتکاب جرم مانند اقرار به قتل و سرقت، طبق حدیث اقرار نافذ است و حال آن که هیچ کس از نظر شرعی و قانونی مجاز به ارتکاب جرم نیست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معاصرین نسبت مفاد دو قاعده را تباین و نسبت بین مصادیق آن دو را عموم و خصوص من وجه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آیة‌اللّه ناصر مکارم شیرازی در این خصوص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الحقیقة نسبة بین مفاد القاعدتین هی التباین، و النسبة بین مواردهما هی العموم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القواعد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شیخ باقر ایروانی نیز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والمناسب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القاعدتین متغایرتان مفهوما بید انّهما قد یلتقیان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فالنسبة بین القاعدتین من حیث المورد هی العموم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ایروانی، باقر، دروس تمهیدیة فی القواعد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پاورقی صفحات پیشین اثبات نمودیم که نسبت مفاد قاعدتین نیز عموم و خصوص من وجه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سبحانی نیز ضمن ایراد خدشه بر وجه افتراق اول اذعان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خود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ضرر اخذ شده و نه منفعت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ممکن است موردش ضرر باشد و ممکن است موردش نفع باشد، اما این غیر از این است که ضرر و نفع در خودِ قاعده اخذ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نفس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خوابیده است، زیرا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در ضرر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دومی نه نفع خوابیده و نه ضرر، یعنی چنین نیست که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ملک شیئاً ملک الإقرار به، سواء کان لنفعه أو ضرره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تعریف مطلق از دیدگاه ما بر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المطلق ما دل علی فرد شائع فی جنسه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أحل اللّه البیع شائع فی جنسه، سواء کان عقدیاً أو معاطاة، سواء کان نقداً أو نیساً، سواء کان عربیاً أو عجمیاً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نظر ما اطلاق عبارت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 القیود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لا الجمع بین القیود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رقبة است، نه اینکه رقبه سواء کان مؤمناً أو کافراً عربیاً أو عجمیاً، رجلاً أو مرأة، الإطلاق رفض القیود،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است، لا الجمع بین القیود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قانون مدنی ایران نیز پیرامون اقرار و شرایط مقر سخن به میان آمده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سبحانی تفاوت دوم را به گونۀ دیگری مورد مناقشه قرار داده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قاعده اختصاص به بالغین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برخی قواعد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محدّد الأحکام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کنترل‌کننده 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احکام را کنترل و محدود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قاعده لا ضرر و لا حرج، اضطرار و حدیث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حکم اگر ضرری یا حرجی یا موجب اضطرار شد، قابل اجرا نیست و باید کنار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 بودن نیز همین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القلم عن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حاکم بر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 حاکم بر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قاعدۀ محددۀ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قاعده را کنترل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چیزی که در این باب می‌توان گفت این است که دلیل خاص مخصِّص بر قبول قول صبی در دو جا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در وصیت و دیگری هم در وقف، البته به شرط أن یکون له عشر سنین؛ آن هم عشر سنین جزیرة العرب که عقلش پخته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باید گفت که آنچه مورد تخصیص واقع شده، تصرفات صبی است، نه قبول اقرار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قبول اقرار صبی در تصرفات جایز وی، وفق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بجنوردی، سید حسن،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حقیقت این کلام مرحوم آقا ضیاء عراقی رحمه الله وفق مبنای خودش نیز تمام نیست؛ زیرا در مباحث اصولی، خود وی عقیده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اعتبار بالمسامحات العرفیة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حاشیه مکاسب، پیرامون بحث غرر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لا اعتبار بالمسامحات العرفیّة کتسامحهم فی الجهل بزمان الحصاد أو الدّیاس، أو لساعة أو لساعتین من الیوم، فإنّ ذلک لیس من جهة أنّهم لا یرونه غررا حتّی یقال بأنّ الغرر فی الشرع أوسع دائرة من الغرر عند العرف، بل مع أنّهم لو کان الأمر فی مقام المداقّة یعترفون بکونها غررا، و لکن مع ذلک یتسامحون و یقدمون فی المعاملات علی مثل ذلک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ضیاءالدین 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می‌رسد که دفاع حضرت استاد از محقق عراقی خالی از وجه بوده و ایراد ایشان بر مرحوم بجنوردی رحمه الله وارد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زیرااولاً با این که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اقرار منصوص نیست، اما ادلۀ مسلوب العباره بودن صبی، سبب انصراف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بالغین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انصراف یاد شده، مورد تسالم اصحاب بوده و اجماع بر آن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ثانیاً عموم ادلۀ مسلوب العباره، فقط و فقط در سه مورد وصیت، وقف و صدقه با دلیل خاص تخصیص خورده است، ولی در ماعدای این سه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شامل اقرار به آنها نیز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عام پابرجاست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اقرار صبی در این سه مورد، تنها به دلیل اعطای سلطنت بر آنها از سوی شارع نافذ است و این همان مفاد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شارع صبی را در این سه مورد، عاقل محسوب کرده باشد تا اقرار العقلاء را در خصوص وی جاری دانسته، بگوییم از این سه مورد که صبی ممنوع از تصرف نیست نتیجه می‌گیریم که فرقی بین بالغ و غیر بالغ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اصلاً نوبت به ایراد محقق عراقی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بر اینکه اجماع دلیل لبی است و به قدر متیقن أخذ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ثالثاً هیچ یک از فقها برای اثبات صحت اقرار 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سه مورد 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اقرار تمسک نکرده است؛ بلکه همه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کرده و تصریح نموده‌اند که چون صبی مالک وصیت، وقف و صدقه می‌باشد و در آنها جواز تصرف دارد، اقرار وی نیز به وقوع وصیت یا وقف و یا صدقه نافذ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حق با مرحوم بجنوردی رحمه الله بوده و ایراد متوجه مرحوم عراقی رحمه الله و حضرت استاد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علاوه بر این، خود محقق عراقی رحمه الله نیز در کتاب القضاء، تفاوت دوم بین دو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شمول قاعدۀ اقرار در خصوص صبی بخلاف قاعدۀ 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خصوص اذعان 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 شیئا ملک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الجزم بان مدرکها لیس قاعدة إقرار العقلاء غیر الجاریة فی الصغیر حتی بالنسبة الی ما کان تحت سلطنته و غیر النافذ فی أزید من ضرره علی نفسه بلا إثبات شیء علی الغیر و لا له و لا لنفسه مع أن مدلول تلک الکبری أعم منها من هذه الجهات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عراقی، آقا ضیاءالدین، کتاب القضاء،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کسانی که این نظریه را اختیار نموده، محقق سبحانی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عبّر فخر المحققین‌عن هذه القاعدة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بتعبیر آخر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مسألة اختلاف الولی و المولی علیه بعد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الأقوی أنّ کلّ من یلزم فعَلُه غیره یمضی إقراره بذلک الفعل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فرجّح قول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ادّعا صحیح باشد، می‌توان به تسالم اصحاب و اجماع بر قاعدۀ فخریه به عنوان مستندی برای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جست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روح‌اللّه، الرسائل العشرة،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شیخ نسبت قاعدۀ فخریه و دو قاعدۀ إئتمان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توأمان مطرح نموده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استاد در خصوص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شیخ انصاری چنین توضیح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ابتداءً به معنای‌اولاً و بالذّات بودن نفوذ فعل، در مقابل ثانیاً و بالعرض بودن نفوذ در احتمال اول است، البته کلمۀ ثانیاً در عبارت شیخ نبود و ما برای بیان مراد شیخ ذکر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 اقرار شخصی که قاصر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سفیه یا دیگر محجورین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غیر الزام‌آور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اولاً و بالذات نفوذ فعل و اقرار در مسائل مربوط به قاصر، متعلق به ولی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احتمال اول نفوذ فعل و اقرارِ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یلزم فعله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به دلیل نصب وی از سوی مالک یا شارع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ثانیاً و بالعرض بوده و نفوذ مزبور، اولاً و بالذات کماکان متعلق به مالک یا شارع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فرض، آنکه اولاً و بالذات سلطنت دارد، ولی قاصر است و فعل و اقرار کسی غیر از وی، نافذ نیست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پس از توضیح دو احتمال مذکور در کلام شیخ انصاری رحمه الله، عبارت وی را دارای ابهام و اجمال</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تعلیل صحیح به 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حقیقت علت عدم جریان قاعدۀ فخریه در اینجا این است که قاعدۀ فخریه را وفق احتمال دوم معنا نموده ایم و چون مالکیت صبی بر تصرفات ثلاثه، ثانیاً و بالعرض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صبی سلطنت بر اموال خود ندارد و تصرفات مزبور به اذن شارع صورت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مشمول قاعدۀ فخریه به معنای دوم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وفق احتمال اول، قاعدۀ فخریه نیز جاری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اولاً اینکه اقرار صبی طبق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مسموع است، به این معناست که مفاد اقرار وی تصدیق شده در نتیجه عمل بر طبق آن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اقرار صبی در این موارد برای غیر الزام‌آور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همین که شارع به صبی اذن در تصرفات ثلاثه داده، تصرفات صبی در امور مزبور را بر غیر الزام‌آور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معنای قاعدۀ فخریه بنابر احتمال اول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غیر در اینجا وجود داشته و متصوّر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ولی صغیر یا حاکم یا شخص دیگر باشد که به هر دلیل فعل و اقرار صغیر را برنتابد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مفصل این مطلب در فصل دوم خواهد آمد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روح‌اللّه، الرسائل العشرة،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روح‌اللّه، الرسائل العشرة،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نگارنده در آثار محقّق خوئی رحمه الله تفحص نمود تا نظر ایشان را نیز پیرامون نسبت میان سه قاعدۀ مورد بحث</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به این نکته توجه کرد که مرحوم فخر المحققین رحمه الله به عنوان اولین مطرح کننده قاعدۀ فخریه، آن را مستند قبول قول زوج بعد از انقضای زمان عده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مسألة اختلاف الولی و المولی علیه بعد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الأقوی أنّ کلّ من یلزم فعَلُه غیره یمضی إقراره بذلک الفعل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فرجّح قول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القوائد،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خود حضرت استاد به اطلاق قاعده تمسک می‌کند و اطلاق قاعده مزبور ظاهر در قبول قول ولی بعد از زمان ولایت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می‌رسد که این کلام حضرت استاد تمام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حق با مرحوم شیخ رحمه الله است و قاعدۀ فخریه بعد از زمان لزوم نیز جاری می‌باشد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کلام حضرت استاد نیز ادعای بلا دلیل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اطلاق قاعده، هر دو را شامل می‌شود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بهره‌گیری از استدلال فقها در مصادیق قاعدۀ فخریه می‌توان گفت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فعل در حق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همان‌نفوذ فعل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اصیل در حیطۀ سلطنت و مالکیت خویش فعل یا انشائی صورت دهد، همچنین اگر کسی به سبب نمایندگی از سوی اصیل، سلطنت بر فعل یا انشاء داشته باشد، این فعل و انشاء در حق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خود اصیل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نافذ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فعل یا انشاء نافذ باشد، اقرار بر آن نیز پذیرفته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حقیقت بیانی دیگر از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این که مرحوم شیخ و دیگران من جمله حضرت استاد، اعمال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مشروط به فعلی بودن سلطنت نموده‌اند، اما سلطنت در قاعدۀ فخریه را اعم از سلطنت فعلی و منقضی دانسته اند؛ وجهی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عمده دلیل قاعدۀ فخریه نیز اجماع است و اگر در دلیل لبی اجماع باید به قدر متیقن اخذ کرد، تفضیل بین دو قاعده از جهت مزبور چه توجیهی می‌تواند داشته باشد؟</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اینجا متذکر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 اجتهادی مکتب شیخ انصاری رحمه الله تراکم ظنون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منهج، مجموعه‌ای از ظنون در کنار هم متراکم شده و برای مجتهد اطمینان را به ارمغان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این مطلب را در خصوص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پنج دلیل بر قاعده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سیره، بنای عقلاء، ظهور حال معتبر و ملازمۀ عرفیه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را که کنار هم قرار دهیم؛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با وجود ظنّی بودن برخی از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 استفاده می‌کنیم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قاعدةٌ فقهیةٌ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برای ما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به نظر ما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قاعده‌ای تام و مستند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می‌رسد که این کلام، سهوی از حضرت استاد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شیخ انصاری؟ در کتاب مکاسب 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نموده و در خلال بحث، متعرض مفردات آن نیز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الکلام فی معنی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فالمهمّ بیان معنی القاعدة أصلًا و عکساً، ثمّ بیان المدرک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 و من اللّه الاستعانة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الجائز و اللازم، بل ممّا کان فیه شائبة الإیقاع أو کان أقرب إلیه، فیشمل الجعالة و الخلع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بالضمان فی الجملتین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کون دَرَک المضمون، علیه، بمعنی کون خسارته و دَرَکه فی ماله الأصلی، فإذا تلف وقع نقصان فیه؛ لوجوب تدارکه منه، و أمّا مجرّد کون تلفه فی ملکه بحیث یتلف مملوکاً له کما یتوهّم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هذا معنی للضمان أصلًا، فلا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ضامنٌ لأمواله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سلطنت فعلی در اینجا در مقابل سلطنت شأنیه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روح‌اللّه، الرسائل العشرة،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مشاکله این است که انسان مراد خود را با عبارت پیشین بیان کند تا کلامش با کلام قبلی یکسان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وَیَمْکُرُونَ وَیَمْکُرُ اللّهُ وَاللّهُ خَیْرُ الْمَاکِرِینَ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متعال محال است که مکر کند،</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مثال اشاره به قول أبی الرقمع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أبی الرقمع و قد أرسل له أصحابه یدعونه إلی الصبوح فی یوم بارد، 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ترید أن نصنع لک طعاماً؟ وکان فقیراً لیس له کسوة تقیه البرد، فکتب إلیهم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 قصدوا الصبوح بسحرةوأتی رسولهم إلیّ خصیصاًقالوا اقترح شیئاً نجد لک طبخهقلت اطبخوا لی جبّة وقمیصاًأی خیطوا لی جبّة و قمیصاً، فذکر الخیاطة بلفظ الطبخ لوقوعه فی صحبة طبخ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شروح التلخیص،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روز سرد دوستانش از وی دعوت کرده به او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غذائی میل داری تا برایت بپزیم؟ ابی الرقمع فقیر بود و لباسی که بدنش را از سرما بپوشاند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اطبخوا لی جبةً و قمیصا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برای من یک جبه و قمیص بپزید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اینکه بگوید لباسی برایم بدوزید از باب مشاکلت گفت بپزید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می‌رسد که ایراد حضرت استاد بر کلام مرحوم والدشان وارد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مراد مرحوم آیة‌اللّه فاضل لنکرانی رحمه الله از ذکر مثال نفوذ اقرار صبی در موارد سه گانه، تعرض به قسمتی از کلام امام رحمه الله است که نفوذ اقرار صبی را استثنایی بر قاعدۀ مزبور می‌داند و در پی مناقشه بر این قسمت از کلام امام رحمه الله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صدر رحمه الله در توجیه اقرار ذوالید بر مالکیت زید نسبت به آنچه در ید اوست،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اخبار صاحب الید علی المال بمالکیة زید له، علی تقدیر حجیته بما هو اخبار، لا یتعین ان یکون حجة بوصفه إخبار صاحب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یکون باعتباره مصداقا لقاعدة، أن من ملک شیئا ملک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 الید</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معاصرین نیز به همین صورت در رد کلام مرحوم امام رحمه الله و اثبات کلام مرحوم شیخ رحمه الله استدلال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جعفر سبحانی در این خصوص اذعان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می‌گوییم کلام مرحوم امام رحمه الله حق است و ما آن را انکار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است که به معنای سلطه باشد، بلکه مالک به همان معنای ملکیت اعتباری است، شیئاً هم غالباً در اعیان خارجی به کار می‌رود نه در افعال، حال بر فرض سومی را هم بپذیریم که ذکر ملک الاقرار، از قبیل مشاکله است؛ اما چه کنیم که حضرات فقها از زمان شیخ طوسی رحمه الله تا کنون همگی قاعده را مانند شیخ انصاری رحمه الله معنا کرده می‌گویند مورد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وکیل و افرادی نظایر اینهاست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اصحاب با این قاعده در مورد وکالت، وصایت، ولایت و عبد مأذون استدلال کرده‌اند که در هیچ کدام ا ز اینها مالکیت مطرح نیست، بلکه تنها مسألۀ سلطه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کلی مورد این قاعده کسی است که تصدی فعلی را به او سپرده‌اند؛ لذا هر چه او اقرار کرد، بایستی پذیرفته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92/6/27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نجم‌الدین، شرائع الإسلام فی مسائل الحلال و الحرام،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کسی که سلطنت بر طلاق دادن زن دارد، می‌تواند اقرار کند که من زنم را طلاق دادم ولی در مورد مریض، چون شبهۀ کذب اقرار به جهت ممنوع کردن زن از ارث وجود دارد، سلطنت بر طلاقِ موجب منع ارث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اگر در حال مرض اقرار کرد که من زنم را در حال سلامتی طلاق دادم این اقرار در خصوص ارث نافذ نیست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تحریر الأحکام الشرعیة علی مذهب الإمامیة،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الأحکام فی معرفة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عناوین شش‌گانۀ ولایت، وصایت، وکالت، مأذونیت، قیمومیت وامانت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روح‌اللّه، الرسائل العشرة،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میان معاصرین، آیة‌اللّه جعفر سبحانی و آیة‌اللّه حسین مظاهری نیز طرفدار این نظریه می‌باشند که دیدگاه و دلائل ایشان در پاورقی صفحات آتی مذکور خواهد 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ابوجعفر، المبسوط فی فقه الإمامیة،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مشهور فقها معتقدند که زوج بیمار، فاقد اختیار انجام طلاقی است که زن را از ارث محروم سازد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صاحب نظران در خصوص نظر شیخ طوسی اظهار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کلام شیخ طوسی را چنین توجیه کنیم که پذیرش اقرار نسبت به اصل طلاق، مستلزم قبول اقرار نسبت به قیود و لوازم چنین طلاقی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دیگر بنا به اقرار مقرّ، طلاق، در حال صحت واقع شده است و طلاق واقع در حال صحت؛ زن را از ارث محروم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نظر شیخ منافاتی با شرط مذکور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 توجیه به نظر بعضی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مطابق شرط مذکور اقرار نسبت به اموری نافذ است که مریض حق انشای آن را دارد؛ یعنی اصل افتراق و جدایی، اما نسبت به سایر امور یعنی محرومیت زن از ارث که او اختیار انجام آن را ندارد فاقد تأثیر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محرومیت از آثار شرعیه است نه عمل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ظاهرا مبنای شیخ بر خلاف غالب فقیهان، این است که اقرار مقرّ حتی نسبت به آنچه که در حین اقرار تحت سلطه او نیست نافذ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سید مصطفی، قواعد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همانگونه که در فصل اول گذشت، شیخ طوسی در مسأله امان کافر حربی، فعلیت سلطه بر امان را لازم دانسته که ممکن است به دلیل خاصی مثل روایت امان چنین شرطی را پذیرفته باشد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فخرالمحققین، إیضاح الفوائد فی شرح مشکلات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می‌رسد چنانچه مدرک قاعده، بناء عقلا باشد، وجود شرط مزبور ضرورتی ندارد و عقلا اقرار بعد از زوال عناوین را نیز با شرایطی نافذ می‌دانند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همان‌گونه که گذشت، حضرات آیات جعفر سبحانی و حسین مظاهری از معاصرین قائل به عدم لزوم مقارنۀ زمانی بین سلطه و اقرار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سبحانی در این خصوص چنین استدلال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اینکه شرع مقدس اقرار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 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نافذ دانسته، تسهیل الامر و جلوگیری از عسر و حرج بندگان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صاحب سلطه اگر بخواهد برای هر تصرفی که انجام می‌دهد شاهد بگیرد، کار بسیار مشکل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واقعاً ملاک حکم همین است، فرقی نمی‌کند که تسهیل مزبور، هنگام سلطه باشد یا بعد از زوال سلطه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ما قول مقر چه حین سلطنت و چه بعد از زوال، با دو شرط قبول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دیگری بر خلافش شهادت ندهد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متضمن ضرر شخص دیگری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دو شرط، اقرار مقر، مطلقا حجت است؛ خواه در حین اقرار دارای سلطنت باشد یا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آیة‌اللّه حسین مظاهری نیز بدون ذکر دلیل قابل ملاحظه‌ای همین قول را پذیرفته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مباحث قواعد فقهیه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یعنی سلطۀ مقر، به گونه‌ای باشد که بدون آن که کسی بتواند مزاحم او شودوی بتواند به صورت مستقل اقدام به تصرف نماید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موضوع قضیه که عبارتست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 شیئاً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اعظم در موضع دیگری از رسالۀ خویش نیز بر این مطلب تاکید نموده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هی السلطنة المطلقة بأن یکون مستقلّاً فیه، لا یزاحمه فیه أحد، فیختصّ بالمالک الأصیل و الولیّ الإجباری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ویحتمل أن یراد به مجرّد القدرة علی التصرّف، فیشمل الوکیل و العبد المأذون، و هذا هو الظاهر من موارد ذکر هذه القضیة فی کلماتهم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شیخ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 ملک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أصیلا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کلام شیخ در واقع پاسخ به اشکال مقدری است مبنی بر اینکه اگر اقرار غیر اصیل تمام آثار اقرار را نداشته و تنها در حد بینه‌ای بر علیه اصیل دارای ارزش است، پس چرا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می‌شود نه بینه؟ شیخ پاسخ می‌دهد که علت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است که تصرف وکیل نازل منزلۀ تصرف موکل است و شهادت او بر علیه اصیل کأنه شهادت خود اصیل بر علیه خویش بوده که این همان معنای اقرار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تفاوت این احتمال با احتمال دوم در این است که در احتمال دوم طرف دعوا وکیل نیست، بلکه اقرار وکیل به منزلۀ بینه ایست به نفع کسی که طرف دعوا با موکل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احتمال سوم قاعده به تداعی و نزاع بین اصیل و غیر اصیل محدود می‌شود وشامل اقرار غیر اصیل برای شخص ثالث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مورد ادعای موکل نسبت به شخص ثالث یا دعوای شخص ثالث بر موکل، قول وکیل اعتباری ندارد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نجم‌الدین،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علامه حلی،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همچنین‌مرحوم علامه حلی در تذکره نیز این قول را اقرب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نجم‌الدین،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علامه حلی،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در صورت اثبات حق بر علیه موکل، کسی که غارم می‌گردد موکل است نه وکیل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واقع مرحوم محقق و علامه، در مورد اول که نزاع بین وکیل و اصیل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طبق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وکیل را مقدم داشته‌اند، اما در مورد دوم که نزاع در حقیقت بین موکل و شخص ثالث است قاعده را اعمال نکرده و مطابق ضوابط معمول در موارد اختلاف، قول موکل را در مقابل شخص ثالث مقدم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دیگر سخن در نظر ایشان،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أن یقرّ فی ما یتعلّق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مجرای قاعده جایی است که موکل با شخص وکیل دعوا دارد و به وکیل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این کار را نکردی، اما وکیل می‌گوید انجام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جایی که وکیل به نفع غیر و به ضرر موکل اقرار می‌کند، اقرارش نافذ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با این بیان جمع بین دو فتوا می‌کند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انصاری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شیخ را 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وکّل‌رجلا علی قبض دین له من غریمه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مبسوط،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غریمه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ابوجعفر، المبسوط فی فقه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ابوجعفر، المبسوط فی فقه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در اینجا قول وکیل را همراه قسم مقدم دانسته، اما نظر حضرت استاد این است که در مصادیق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حتی نیازی به قسم وکیل نیست و صرف اقرار وی مقبول می‌شود؛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 شیئاً ملک الاقرار به مطلقا دون الحاجة الی یمین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همانگونه که در سطور بعدی مذکور است، محقق دو فرع مذکور شیخ طوسی را با احکام متفاوت شیخ در آن دو نقل کرده و در پایان، نسبت به وجود تفاوت بین دو فرع، ابراز تردید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دراینجا نیز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می‌خواهد بگوید که بایستی در فرع اول نیز مانند فرع دوم، قول وکیل مقدم باشد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نجم‌الدین، شرائع الإسلام فی مسائل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نجم‌الدین، شرائع الإسلام فی مسائل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الأحکام فی معرفة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از اختلاف در ثمن این است که وکیل برای موکل متاعی خریده و قیمتی برای آن ذکر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صد تومان خریده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موکل حرف وکیلش را قبول نداشته و ادعا می‌کند که آن را کمتر خریده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برخی مثل مرحوم شیخ طوسی قول وکیل را مقبول می‌دانند و برخی مانند محقق حلی، قول موکل را مقدم می‌شمارند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پیرامون همین موضوع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بمائة، فقال الموکل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بخمسین احتمل تقدیم قول الوکیل لأنه أمین، و الموکل لأنه غارم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الأحکام فی معرفة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ثانی پس از ذکر کلام علامه و شرح عبارت 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فحینئذ الاحتمال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تقدیم قول 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أقوی، و هو مختار الشیخ فی المبسوط، و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تقدیم قول الموکل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نجم الدین بن سعید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عاملی، علی بن حسین کرکی، جامع المقاصد فی شرح القواعد،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رسائل فقهیة،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مامقانی رحمه الله در حاشیه خود بر این عبارت شیخ رحمه الله، پس از نقل کلام محقق رحمه الله پیرامون دو فرع مذکور</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ابوجعفر، المبسوط فی فقه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بنابراین، رأی محقق در دو فرع مانند شیخ طوسی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اختلاف در ثمن شیخ جانب قول وکیل را دارد، در حالی که محقق قول موکل را مقدم می‌داند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می‌رسد که بر خلاف نظر حضرت استاد، احتمال مزبور با احتمال اول از احتمالات سه‌گانۀ شیخ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ایجا بر خلاف احتمالات سه گانه، بحث تأثیر یا عدم تأثیر ادلۀ مزاحم اقرار مطرح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کلام شیخ در حقیقت به نوعی کبرای کلی بوده 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یزاحمه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منزلۀ تعلیل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کبری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کسی که می‌تواند مزاحمت در تصرف کند، مزاحمت در اقرار نیز می‌تواند بکند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اینکه آیا پدر می‌تواند مستقلاً و بدون نظر دختر بالغۀ رشیده، وی را به ازدواج مردی در آورد یا خیر؟ دوقول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اول بر اثبات چنین ولایتی برای پدر مبتنی بوده و طرفداران آن معتقدند که پدر بدون اینکه نظر دختر را جویا شود می‌تواند او را به ازدواج دیگری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قول دوم وجود چنین ولایتی را برای پدر نفی نموده و نظر دختر را همراه با نظر پدر لازم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می‌خواهد بیان کند که مثال اول را بنابر پذیرش قول اول مطرح می‌نماید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می‌دانیم که موکل پس از اینکه شخصی را وکیل در فروش منزلش نمود، خود نیز رأساً می‌تواند آن را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اصل تصرف، اگر فعل موکل زودتر از وکیل شد، تصرف موکل نافذ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در اصل تصرف موکل می‌تواند مزاحمت با وکیل کند، در اقرارش نیز همینطور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معاصرین دو شرط مزبور را چنین ذکر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مقر متضمن ضرر دیگری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دیگر بر خلاف اقرار وی شهادت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اقرار مقر وفق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درس خارج قواعد فقهیه، به تاریخ </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القواعد الفقهیة،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که مراد مرحوم آیة‌اللّه فاضل لنکرانی رحمه الله از اقرار موکل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قابلیت ایجاد مزاحمت در مقابل اقرار وکیل را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اقرار است؛ خواه اقرار مزبور، مصداق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خواه وفق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مثال مذکور نیز اقرار موکل وفق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توانایی مزاحمت با اقرار وکیل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وفق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نافذ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کلام حضرت استاد در عین اینکه از حیث عدم شمول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اقرار موکل در مثال فوق متین است، اما مع الوصف ایرادی در این خصوص متوجه مرحوم والد ایشان رحمه الله نیست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محمدجواد، درس خارج فقه به تاریخ </w:t>
      </w:r>
      <w:r>
        <w:rPr>
          <w:rFonts w:eastAsia="IRNazanin" w:cs="IRNazanin"/>
          <w:b w:val="false"/>
          <w:bCs w:val="false"/>
          <w:i w:val="false"/>
          <w:iCs w:val="false"/>
          <w:color w:val="333333"/>
          <w:sz w:val="20"/>
          <w:szCs w:val="20"/>
        </w:rPr>
        <w:t>1392/12/18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42403</Words>
  <Characters>169812</Characters>
  <CharactersWithSpaces>210544</CharactersWithSpaces>
  <Paragraphs>1672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2026-08-19T02:36:57Z</dcterms:created>
  <dc:creator>ghaemiyeh.com</dc:creator>
  <dc:description/>
  <dc:language>en-US</dc:language>
  <cp:lastModifiedBy/>
  <dcterms:modified xsi:type="dcterms:W3CDTF">2026-08-19T06:07:03Z</dcterms:modified>
  <cp:revision>1</cp:revision>
  <dc:subject/>
  <dc:title>قاعده من ملک</dc:title>
</cp:coreProperties>
</file>

<file path=docProps/custom.xml><?xml version="1.0" encoding="utf-8"?>
<Properties xmlns="http://schemas.openxmlformats.org/officeDocument/2006/custom-properties" xmlns:vt="http://schemas.openxmlformats.org/officeDocument/2006/docPropsVTypes"/>
</file>