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9.xml" ContentType="application/vnd.openxmlformats-officedocument.wordprocessingml.footer+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99</w:t>
      </w:r>
      <w:r>
        <w:rPr>
          <w:rtl w:val="true"/>
        </w:rPr>
        <w:t xml:space="preserve"> </w:t>
      </w:r>
      <w:r>
        <w:rPr>
          <w:rtl w:val="true"/>
        </w:rPr>
        <w:t>آب و سراب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8481_774463916">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68483_77446391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68485_774463916">
            <w:r>
              <w:rPr>
                <w:webHidden/>
                <w:rStyle w:val="IndexLink"/>
                <w:rtl w:val="true"/>
              </w:rPr>
              <w:t>آب و سراب</w:t>
            </w:r>
            <w:r>
              <w:rPr>
                <w:rStyle w:val="IndexLink"/>
                <w:rtl w:val="true"/>
              </w:rPr>
              <w:tab/>
            </w:r>
            <w:r>
              <w:rPr>
                <w:rStyle w:val="IndexLink"/>
              </w:rPr>
              <w:t>8</w:t>
            </w:r>
          </w:hyperlink>
        </w:p>
        <w:p>
          <w:pPr>
            <w:pStyle w:val="Contents2"/>
            <w:tabs>
              <w:tab w:val="clear" w:pos="8743"/>
              <w:tab w:val="right" w:pos="9026" w:leader="dot"/>
            </w:tabs>
            <w:rPr/>
          </w:pPr>
          <w:hyperlink w:anchor="__RefHeading___Toc668487_774463916">
            <w:r>
              <w:rPr>
                <w:webHidden/>
                <w:rStyle w:val="IndexLink"/>
                <w:rtl w:val="true"/>
              </w:rPr>
              <w:t>درنگ و درایتی بر عرفان اسلامی و عرفان‌های کاذب نوظهور</w:t>
            </w:r>
            <w:r>
              <w:rPr>
                <w:rStyle w:val="IndexLink"/>
                <w:rtl w:val="true"/>
              </w:rPr>
              <w:tab/>
            </w:r>
            <w:r>
              <w:rPr>
                <w:rStyle w:val="IndexLink"/>
              </w:rPr>
              <w:t>8</w:t>
            </w:r>
          </w:hyperlink>
        </w:p>
        <w:p>
          <w:pPr>
            <w:pStyle w:val="Contents2"/>
            <w:tabs>
              <w:tab w:val="clear" w:pos="8743"/>
              <w:tab w:val="right" w:pos="9026" w:leader="dot"/>
            </w:tabs>
            <w:rPr/>
          </w:pPr>
          <w:hyperlink w:anchor="__RefHeading___Toc668489_774463916">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668491_774463916">
            <w:r>
              <w:rPr>
                <w:webHidden/>
                <w:rStyle w:val="IndexLink"/>
                <w:rtl w:val="true"/>
              </w:rPr>
              <w:t>عرفان دینی و غیردینی</w:t>
            </w:r>
            <w:r>
              <w:rPr>
                <w:rStyle w:val="IndexLink"/>
                <w:rtl w:val="true"/>
              </w:rPr>
              <w:tab/>
            </w:r>
            <w:r>
              <w:rPr>
                <w:rStyle w:val="IndexLink"/>
              </w:rPr>
              <w:t>11</w:t>
            </w:r>
          </w:hyperlink>
        </w:p>
        <w:p>
          <w:pPr>
            <w:pStyle w:val="Contents3"/>
            <w:tabs>
              <w:tab w:val="clear" w:pos="8459"/>
              <w:tab w:val="right" w:pos="9026" w:leader="dot"/>
            </w:tabs>
            <w:rPr/>
          </w:pPr>
          <w:hyperlink w:anchor="__RefHeading___Toc668493_774463916">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668495_774463916">
            <w:r>
              <w:rPr>
                <w:webHidden/>
                <w:rStyle w:val="IndexLink"/>
                <w:rtl w:val="true"/>
              </w:rPr>
              <w:t>کلیات</w:t>
            </w:r>
            <w:r>
              <w:rPr>
                <w:rStyle w:val="IndexLink"/>
                <w:rtl w:val="true"/>
              </w:rPr>
              <w:tab/>
            </w:r>
            <w:r>
              <w:rPr>
                <w:rStyle w:val="IndexLink"/>
              </w:rPr>
              <w:t>14</w:t>
            </w:r>
          </w:hyperlink>
        </w:p>
        <w:p>
          <w:pPr>
            <w:pStyle w:val="Contents4"/>
            <w:tabs>
              <w:tab w:val="clear" w:pos="8176"/>
              <w:tab w:val="right" w:pos="9026" w:leader="dot"/>
            </w:tabs>
            <w:rPr/>
          </w:pPr>
          <w:hyperlink w:anchor="__RefHeading___Toc668497_774463916">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668499_774463916">
            <w:r>
              <w:rPr>
                <w:webHidden/>
                <w:rStyle w:val="IndexLink"/>
                <w:rtl w:val="true"/>
              </w:rPr>
              <w:t>عرفان چیست؟</w:t>
            </w:r>
            <w:r>
              <w:rPr>
                <w:rStyle w:val="IndexLink"/>
                <w:rtl w:val="true"/>
              </w:rPr>
              <w:tab/>
            </w:r>
            <w:r>
              <w:rPr>
                <w:rStyle w:val="IndexLink"/>
              </w:rPr>
              <w:t>15</w:t>
            </w:r>
          </w:hyperlink>
        </w:p>
        <w:p>
          <w:pPr>
            <w:pStyle w:val="Contents4"/>
            <w:tabs>
              <w:tab w:val="clear" w:pos="8176"/>
              <w:tab w:val="right" w:pos="9026" w:leader="dot"/>
            </w:tabs>
            <w:rPr/>
          </w:pPr>
          <w:hyperlink w:anchor="__RefHeading___Toc668501_774463916">
            <w:r>
              <w:rPr>
                <w:webHidden/>
                <w:rStyle w:val="IndexLink"/>
                <w:rtl w:val="true"/>
              </w:rPr>
              <w:t>عارف کیست؟</w:t>
            </w:r>
            <w:r>
              <w:rPr>
                <w:rStyle w:val="IndexLink"/>
                <w:rtl w:val="true"/>
              </w:rPr>
              <w:tab/>
            </w:r>
            <w:r>
              <w:rPr>
                <w:rStyle w:val="IndexLink"/>
              </w:rPr>
              <w:t>16</w:t>
            </w:r>
          </w:hyperlink>
        </w:p>
        <w:p>
          <w:pPr>
            <w:pStyle w:val="Contents4"/>
            <w:tabs>
              <w:tab w:val="clear" w:pos="8176"/>
              <w:tab w:val="right" w:pos="9026" w:leader="dot"/>
            </w:tabs>
            <w:rPr/>
          </w:pPr>
          <w:hyperlink w:anchor="__RefHeading___Toc668503_774463916">
            <w:r>
              <w:rPr>
                <w:webHidden/>
                <w:rStyle w:val="IndexLink"/>
                <w:rtl w:val="true"/>
              </w:rPr>
              <w:t>عرفان در آموزه‌های شیعی</w:t>
            </w:r>
            <w:r>
              <w:rPr>
                <w:rStyle w:val="IndexLink"/>
                <w:rtl w:val="true"/>
              </w:rPr>
              <w:tab/>
            </w:r>
            <w:r>
              <w:rPr>
                <w:rStyle w:val="IndexLink"/>
              </w:rPr>
              <w:t>20</w:t>
            </w:r>
          </w:hyperlink>
        </w:p>
        <w:p>
          <w:pPr>
            <w:pStyle w:val="Contents4"/>
            <w:tabs>
              <w:tab w:val="clear" w:pos="8176"/>
              <w:tab w:val="right" w:pos="9026" w:leader="dot"/>
            </w:tabs>
            <w:rPr/>
          </w:pPr>
          <w:hyperlink w:anchor="__RefHeading___Toc668505_774463916">
            <w:r>
              <w:rPr>
                <w:webHidden/>
                <w:rStyle w:val="IndexLink"/>
                <w:rtl w:val="true"/>
              </w:rPr>
              <w:t>رو به سوی او</w:t>
            </w:r>
            <w:r>
              <w:rPr>
                <w:rStyle w:val="IndexLink"/>
                <w:rtl w:val="true"/>
              </w:rPr>
              <w:tab/>
            </w:r>
            <w:r>
              <w:rPr>
                <w:rStyle w:val="IndexLink"/>
              </w:rPr>
              <w:t>22</w:t>
            </w:r>
          </w:hyperlink>
        </w:p>
        <w:p>
          <w:pPr>
            <w:pStyle w:val="Contents4"/>
            <w:tabs>
              <w:tab w:val="clear" w:pos="8176"/>
              <w:tab w:val="right" w:pos="9026" w:leader="dot"/>
            </w:tabs>
            <w:rPr/>
          </w:pPr>
          <w:hyperlink w:anchor="__RefHeading___Toc668507_774463916">
            <w:r>
              <w:rPr>
                <w:webHidden/>
                <w:rStyle w:val="IndexLink"/>
                <w:rtl w:val="true"/>
              </w:rPr>
              <w:t>عرفان‌واره‌ها</w:t>
            </w:r>
            <w:r>
              <w:rPr>
                <w:rStyle w:val="IndexLink"/>
                <w:rtl w:val="true"/>
              </w:rPr>
              <w:tab/>
            </w:r>
            <w:r>
              <w:rPr>
                <w:rStyle w:val="IndexLink"/>
              </w:rPr>
              <w:t>27</w:t>
            </w:r>
          </w:hyperlink>
        </w:p>
        <w:p>
          <w:pPr>
            <w:pStyle w:val="Contents3"/>
            <w:tabs>
              <w:tab w:val="clear" w:pos="8459"/>
              <w:tab w:val="right" w:pos="9026" w:leader="dot"/>
            </w:tabs>
            <w:rPr/>
          </w:pPr>
          <w:hyperlink w:anchor="__RefHeading___Toc668509_774463916">
            <w:r>
              <w:rPr>
                <w:webHidden/>
                <w:rStyle w:val="IndexLink"/>
                <w:rtl w:val="true"/>
              </w:rPr>
              <w:t>معیار‌های بازشناسی عرفان و شبه‌عرفان</w:t>
            </w:r>
            <w:r>
              <w:rPr>
                <w:rStyle w:val="IndexLink"/>
                <w:rtl w:val="true"/>
              </w:rPr>
              <w:tab/>
            </w:r>
            <w:r>
              <w:rPr>
                <w:rStyle w:val="IndexLink"/>
              </w:rPr>
              <w:t>29</w:t>
            </w:r>
          </w:hyperlink>
        </w:p>
        <w:p>
          <w:pPr>
            <w:pStyle w:val="Contents4"/>
            <w:tabs>
              <w:tab w:val="clear" w:pos="8176"/>
              <w:tab w:val="right" w:pos="9026" w:leader="dot"/>
            </w:tabs>
            <w:rPr/>
          </w:pPr>
          <w:hyperlink w:anchor="__RefHeading___Toc668511_774463916">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668513_774463916">
            <w:r>
              <w:rPr>
                <w:webHidden/>
                <w:rStyle w:val="IndexLink"/>
                <w:rtl w:val="true"/>
              </w:rPr>
              <w:t>معنویت و معنای آن</w:t>
            </w:r>
            <w:r>
              <w:rPr>
                <w:rStyle w:val="IndexLink"/>
                <w:rtl w:val="true"/>
              </w:rPr>
              <w:tab/>
            </w:r>
            <w:r>
              <w:rPr>
                <w:rStyle w:val="IndexLink"/>
              </w:rPr>
              <w:t>33</w:t>
            </w:r>
          </w:hyperlink>
        </w:p>
        <w:p>
          <w:pPr>
            <w:pStyle w:val="Contents2"/>
            <w:tabs>
              <w:tab w:val="clear" w:pos="8743"/>
              <w:tab w:val="right" w:pos="9026" w:leader="dot"/>
            </w:tabs>
            <w:rPr/>
          </w:pPr>
          <w:hyperlink w:anchor="__RefHeading___Toc668515_774463916">
            <w:r>
              <w:rPr>
                <w:webHidden/>
                <w:rStyle w:val="IndexLink"/>
                <w:rtl w:val="true"/>
              </w:rPr>
              <w:t>فصل اول</w:t>
            </w:r>
            <w:r>
              <w:rPr>
                <w:rStyle w:val="IndexLink"/>
                <w:rtl w:val="true"/>
              </w:rPr>
              <w:t xml:space="preserve">: </w:t>
            </w:r>
            <w:r>
              <w:rPr>
                <w:rStyle w:val="IndexLink"/>
                <w:rtl w:val="true"/>
              </w:rPr>
              <w:t>معنویت حقیقی و مجازی</w:t>
            </w:r>
            <w:r>
              <w:rPr>
                <w:rStyle w:val="IndexLink"/>
                <w:rtl w:val="true"/>
              </w:rPr>
              <w:tab/>
            </w:r>
            <w:r>
              <w:rPr>
                <w:rStyle w:val="IndexLink"/>
              </w:rPr>
              <w:t>38</w:t>
            </w:r>
          </w:hyperlink>
        </w:p>
        <w:p>
          <w:pPr>
            <w:pStyle w:val="Contents3"/>
            <w:tabs>
              <w:tab w:val="clear" w:pos="8459"/>
              <w:tab w:val="right" w:pos="9026" w:leader="dot"/>
            </w:tabs>
            <w:rPr/>
          </w:pPr>
          <w:hyperlink w:anchor="__RefHeading___Toc668517_774463916">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668519_774463916">
            <w:r>
              <w:rPr>
                <w:webHidden/>
                <w:rStyle w:val="IndexLink"/>
              </w:rPr>
              <w:t>1/1</w:t>
            </w:r>
            <w:r>
              <w:rPr>
                <w:rStyle w:val="IndexLink"/>
                <w:rtl w:val="true"/>
              </w:rPr>
              <w:t xml:space="preserve">. </w:t>
            </w:r>
            <w:r>
              <w:rPr>
                <w:rStyle w:val="IndexLink"/>
                <w:rtl w:val="true"/>
              </w:rPr>
              <w:t>معنویت در گذر زمان</w:t>
            </w:r>
            <w:r>
              <w:rPr>
                <w:rStyle w:val="IndexLink"/>
                <w:rtl w:val="true"/>
              </w:rPr>
              <w:tab/>
            </w:r>
            <w:r>
              <w:rPr>
                <w:rStyle w:val="IndexLink"/>
              </w:rPr>
              <w:t>40</w:t>
            </w:r>
          </w:hyperlink>
        </w:p>
        <w:p>
          <w:pPr>
            <w:pStyle w:val="Contents3"/>
            <w:tabs>
              <w:tab w:val="clear" w:pos="8459"/>
              <w:tab w:val="right" w:pos="9026" w:leader="dot"/>
            </w:tabs>
            <w:rPr/>
          </w:pPr>
          <w:hyperlink w:anchor="__RefHeading___Toc668521_774463916">
            <w:r>
              <w:rPr>
                <w:webHidden/>
                <w:rStyle w:val="IndexLink"/>
              </w:rPr>
              <w:t>۱</w:t>
            </w:r>
            <w:r>
              <w:rPr>
                <w:rStyle w:val="IndexLink"/>
              </w:rPr>
              <w:t>.</w:t>
            </w:r>
            <w:r>
              <w:rPr>
                <w:rStyle w:val="IndexLink"/>
              </w:rPr>
              <w:t>۲</w:t>
            </w:r>
            <w:r>
              <w:rPr>
                <w:rStyle w:val="IndexLink"/>
                <w:rtl w:val="true"/>
              </w:rPr>
              <w:t xml:space="preserve">. </w:t>
            </w:r>
            <w:r>
              <w:rPr>
                <w:rStyle w:val="IndexLink"/>
                <w:rtl w:val="true"/>
              </w:rPr>
              <w:t>معنویت در اندیشۀ اسلامی</w:t>
            </w:r>
            <w:r>
              <w:rPr>
                <w:rStyle w:val="IndexLink"/>
                <w:rtl w:val="true"/>
              </w:rPr>
              <w:tab/>
            </w:r>
            <w:r>
              <w:rPr>
                <w:rStyle w:val="IndexLink"/>
              </w:rPr>
              <w:t>42</w:t>
            </w:r>
          </w:hyperlink>
        </w:p>
        <w:p>
          <w:pPr>
            <w:pStyle w:val="Contents4"/>
            <w:tabs>
              <w:tab w:val="clear" w:pos="8176"/>
              <w:tab w:val="right" w:pos="9026" w:leader="dot"/>
            </w:tabs>
            <w:rPr/>
          </w:pPr>
          <w:hyperlink w:anchor="__RefHeading___Toc668523_774463916">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668525_774463916">
            <w:r>
              <w:rPr>
                <w:webHidden/>
                <w:rStyle w:val="IndexLink"/>
              </w:rPr>
              <w:t>۱</w:t>
            </w:r>
            <w:r>
              <w:rPr>
                <w:rStyle w:val="IndexLink"/>
              </w:rPr>
              <w:t>.</w:t>
            </w:r>
            <w:r>
              <w:rPr>
                <w:rStyle w:val="IndexLink"/>
              </w:rPr>
              <w:t>۲</w:t>
            </w:r>
            <w:r>
              <w:rPr>
                <w:rStyle w:val="IndexLink"/>
              </w:rPr>
              <w:t>.</w:t>
            </w:r>
            <w:r>
              <w:rPr>
                <w:rStyle w:val="IndexLink"/>
              </w:rPr>
              <w:t>۱</w:t>
            </w:r>
            <w:r>
              <w:rPr>
                <w:rStyle w:val="IndexLink"/>
                <w:rtl w:val="true"/>
              </w:rPr>
              <w:t xml:space="preserve">. </w:t>
            </w:r>
            <w:r>
              <w:rPr>
                <w:rStyle w:val="IndexLink"/>
                <w:rtl w:val="true"/>
              </w:rPr>
              <w:t>معنویت منفی و راه ایجاد آن</w:t>
            </w:r>
            <w:r>
              <w:rPr>
                <w:rStyle w:val="IndexLink"/>
                <w:rtl w:val="true"/>
              </w:rPr>
              <w:tab/>
            </w:r>
            <w:r>
              <w:rPr>
                <w:rStyle w:val="IndexLink"/>
              </w:rPr>
              <w:t>51</w:t>
            </w:r>
          </w:hyperlink>
        </w:p>
        <w:p>
          <w:pPr>
            <w:pStyle w:val="Contents4"/>
            <w:tabs>
              <w:tab w:val="clear" w:pos="8176"/>
              <w:tab w:val="right" w:pos="9026" w:leader="dot"/>
            </w:tabs>
            <w:rPr/>
          </w:pPr>
          <w:hyperlink w:anchor="__RefHeading___Toc668527_774463916">
            <w:r>
              <w:rPr>
                <w:webHidden/>
                <w:rStyle w:val="IndexLink"/>
              </w:rPr>
              <w:t>2.</w:t>
            </w:r>
            <w:r>
              <w:rPr>
                <w:rStyle w:val="IndexLink"/>
              </w:rPr>
              <w:t>۲</w:t>
            </w:r>
            <w:r>
              <w:rPr>
                <w:rStyle w:val="IndexLink"/>
              </w:rPr>
              <w:t>.1</w:t>
            </w:r>
            <w:r>
              <w:rPr>
                <w:rStyle w:val="IndexLink"/>
                <w:rtl w:val="true"/>
              </w:rPr>
              <w:t xml:space="preserve">. </w:t>
            </w:r>
            <w:r>
              <w:rPr>
                <w:rStyle w:val="IndexLink"/>
                <w:rtl w:val="true"/>
              </w:rPr>
              <w:t>بندگی خدا؛ راه اصلاح درون</w:t>
            </w:r>
            <w:r>
              <w:rPr>
                <w:rStyle w:val="IndexLink"/>
                <w:rtl w:val="true"/>
              </w:rPr>
              <w:tab/>
            </w:r>
            <w:r>
              <w:rPr>
                <w:rStyle w:val="IndexLink"/>
              </w:rPr>
              <w:t>56</w:t>
            </w:r>
          </w:hyperlink>
        </w:p>
        <w:p>
          <w:pPr>
            <w:pStyle w:val="Contents3"/>
            <w:tabs>
              <w:tab w:val="clear" w:pos="8459"/>
              <w:tab w:val="right" w:pos="9026" w:leader="dot"/>
            </w:tabs>
            <w:rPr/>
          </w:pPr>
          <w:hyperlink w:anchor="__RefHeading___Toc668529_774463916">
            <w:r>
              <w:rPr>
                <w:webHidden/>
                <w:rStyle w:val="IndexLink"/>
              </w:rPr>
              <w:t>1.3</w:t>
            </w:r>
            <w:r>
              <w:rPr>
                <w:rStyle w:val="IndexLink"/>
                <w:rtl w:val="true"/>
              </w:rPr>
              <w:t xml:space="preserve"> </w:t>
            </w:r>
            <w:r>
              <w:rPr>
                <w:rStyle w:val="IndexLink"/>
                <w:rtl w:val="true"/>
              </w:rPr>
              <w:t>مؤلفه‌شناسی عرفان و معنویت ناب اسلامیتصویر</w:t>
            </w:r>
            <w:r>
              <w:rPr>
                <w:rStyle w:val="IndexLink"/>
                <w:rtl w:val="true"/>
              </w:rPr>
              <w:tab/>
            </w:r>
            <w:r>
              <w:rPr>
                <w:rStyle w:val="IndexLink"/>
              </w:rPr>
              <w:t>58</w:t>
            </w:r>
          </w:hyperlink>
        </w:p>
        <w:p>
          <w:pPr>
            <w:pStyle w:val="Contents2"/>
            <w:tabs>
              <w:tab w:val="clear" w:pos="8743"/>
              <w:tab w:val="right" w:pos="9026" w:leader="dot"/>
            </w:tabs>
            <w:rPr/>
          </w:pPr>
          <w:hyperlink w:anchor="__RefHeading___Toc668531_774463916">
            <w:r>
              <w:rPr>
                <w:webHidden/>
                <w:rStyle w:val="IndexLink"/>
                <w:rtl w:val="true"/>
              </w:rPr>
              <w:t>فصل دوم</w:t>
            </w:r>
            <w:r>
              <w:rPr>
                <w:rStyle w:val="IndexLink"/>
                <w:rtl w:val="true"/>
              </w:rPr>
              <w:t xml:space="preserve">: </w:t>
            </w:r>
            <w:r>
              <w:rPr>
                <w:rStyle w:val="IndexLink"/>
                <w:rtl w:val="true"/>
              </w:rPr>
              <w:t>علل پیدایش و گسترش جنبش‌های نوپدید دینی</w:t>
            </w:r>
            <w:r>
              <w:rPr>
                <w:rStyle w:val="IndexLink"/>
                <w:rtl w:val="true"/>
              </w:rPr>
              <w:tab/>
            </w:r>
            <w:r>
              <w:rPr>
                <w:rStyle w:val="IndexLink"/>
              </w:rPr>
              <w:t>60</w:t>
            </w:r>
          </w:hyperlink>
        </w:p>
        <w:p>
          <w:pPr>
            <w:pStyle w:val="Contents3"/>
            <w:tabs>
              <w:tab w:val="clear" w:pos="8459"/>
              <w:tab w:val="right" w:pos="9026" w:leader="dot"/>
            </w:tabs>
            <w:rPr/>
          </w:pPr>
          <w:hyperlink w:anchor="__RefHeading___Toc668533_774463916">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668535_774463916">
            <w:r>
              <w:rPr>
                <w:webHidden/>
                <w:rStyle w:val="IndexLink"/>
              </w:rPr>
              <w:t>2.1</w:t>
            </w:r>
            <w:r>
              <w:rPr>
                <w:rStyle w:val="IndexLink"/>
                <w:rtl w:val="true"/>
              </w:rPr>
              <w:t xml:space="preserve">. </w:t>
            </w:r>
            <w:r>
              <w:rPr>
                <w:rStyle w:val="IndexLink"/>
                <w:rtl w:val="true"/>
              </w:rPr>
              <w:t>علل پیدایش و رواج جنبش‌های نوپدید دینی در غرب</w:t>
            </w:r>
            <w:r>
              <w:rPr>
                <w:rStyle w:val="IndexLink"/>
                <w:rtl w:val="true"/>
              </w:rPr>
              <w:tab/>
            </w:r>
            <w:r>
              <w:rPr>
                <w:rStyle w:val="IndexLink"/>
              </w:rPr>
              <w:t>61</w:t>
            </w:r>
          </w:hyperlink>
        </w:p>
        <w:p>
          <w:pPr>
            <w:pStyle w:val="Contents3"/>
            <w:tabs>
              <w:tab w:val="clear" w:pos="8459"/>
              <w:tab w:val="right" w:pos="9026" w:leader="dot"/>
            </w:tabs>
            <w:rPr/>
          </w:pPr>
          <w:hyperlink w:anchor="__RefHeading___Toc668537_774463916">
            <w:r>
              <w:rPr>
                <w:webHidden/>
                <w:rStyle w:val="IndexLink"/>
              </w:rPr>
              <w:t>۲</w:t>
            </w:r>
            <w:r>
              <w:rPr>
                <w:rStyle w:val="IndexLink"/>
              </w:rPr>
              <w:t>.</w:t>
            </w:r>
            <w:r>
              <w:rPr>
                <w:rStyle w:val="IndexLink"/>
              </w:rPr>
              <w:t>۲</w:t>
            </w:r>
            <w:r>
              <w:rPr>
                <w:rStyle w:val="IndexLink"/>
                <w:rtl w:val="true"/>
              </w:rPr>
              <w:t xml:space="preserve">. </w:t>
            </w:r>
            <w:r>
              <w:rPr>
                <w:rStyle w:val="IndexLink"/>
                <w:rtl w:val="true"/>
              </w:rPr>
              <w:t>علل گرایش و گسترش عرفان‌های کاذب و جنبش‌های معنویت‌گرا یا نوپدید دینی در شرق، به‌خصوص ایران</w:t>
            </w:r>
            <w:r>
              <w:rPr>
                <w:rStyle w:val="IndexLink"/>
                <w:rtl w:val="true"/>
              </w:rPr>
              <w:tab/>
            </w:r>
            <w:r>
              <w:rPr>
                <w:rStyle w:val="IndexLink"/>
              </w:rPr>
              <w:t>62</w:t>
            </w:r>
          </w:hyperlink>
        </w:p>
        <w:p>
          <w:pPr>
            <w:pStyle w:val="Contents3"/>
            <w:tabs>
              <w:tab w:val="clear" w:pos="8459"/>
              <w:tab w:val="right" w:pos="9026" w:leader="dot"/>
            </w:tabs>
            <w:rPr/>
          </w:pPr>
          <w:hyperlink w:anchor="__RefHeading___Toc668539_774463916">
            <w:r>
              <w:rPr>
                <w:webHidden/>
                <w:rStyle w:val="IndexLink"/>
              </w:rPr>
              <w:t>۲</w:t>
            </w:r>
            <w:r>
              <w:rPr>
                <w:rStyle w:val="IndexLink"/>
              </w:rPr>
              <w:t>.</w:t>
            </w:r>
            <w:r>
              <w:rPr>
                <w:rStyle w:val="IndexLink"/>
              </w:rPr>
              <w:t>۳</w:t>
            </w:r>
            <w:r>
              <w:rPr>
                <w:rStyle w:val="IndexLink"/>
                <w:rtl w:val="true"/>
              </w:rPr>
              <w:t xml:space="preserve">. </w:t>
            </w:r>
            <w:r>
              <w:rPr>
                <w:rStyle w:val="IndexLink"/>
                <w:rtl w:val="true"/>
              </w:rPr>
              <w:t>سلوک صادق و کاذب</w:t>
            </w:r>
            <w:r>
              <w:rPr>
                <w:rStyle w:val="IndexLink"/>
                <w:rtl w:val="true"/>
              </w:rPr>
              <w:tab/>
            </w:r>
            <w:r>
              <w:rPr>
                <w:rStyle w:val="IndexLink"/>
              </w:rPr>
              <w:t>66</w:t>
            </w:r>
          </w:hyperlink>
        </w:p>
        <w:p>
          <w:pPr>
            <w:pStyle w:val="Contents2"/>
            <w:tabs>
              <w:tab w:val="clear" w:pos="8743"/>
              <w:tab w:val="right" w:pos="9026" w:leader="dot"/>
            </w:tabs>
            <w:rPr/>
          </w:pPr>
          <w:hyperlink w:anchor="__RefHeading___Toc668541_774463916">
            <w:r>
              <w:rPr>
                <w:webHidden/>
                <w:rStyle w:val="IndexLink"/>
                <w:rtl w:val="true"/>
              </w:rPr>
              <w:t>نتیجه‌گیری</w:t>
            </w:r>
            <w:r>
              <w:rPr>
                <w:rStyle w:val="IndexLink"/>
                <w:rtl w:val="true"/>
              </w:rPr>
              <w:tab/>
            </w:r>
            <w:r>
              <w:rPr>
                <w:rStyle w:val="IndexLink"/>
              </w:rPr>
              <w:t>70</w:t>
            </w:r>
          </w:hyperlink>
        </w:p>
        <w:p>
          <w:pPr>
            <w:pStyle w:val="Contents2"/>
            <w:tabs>
              <w:tab w:val="clear" w:pos="8743"/>
              <w:tab w:val="right" w:pos="9026" w:leader="dot"/>
            </w:tabs>
            <w:rPr/>
          </w:pPr>
          <w:hyperlink w:anchor="__RefHeading___Toc668543_774463916">
            <w:r>
              <w:rPr>
                <w:webHidden/>
                <w:rStyle w:val="IndexLink"/>
                <w:rtl w:val="true"/>
              </w:rPr>
              <w:t>برای مطالعه بیشتر</w:t>
            </w:r>
            <w:r>
              <w:rPr>
                <w:rStyle w:val="IndexLink"/>
                <w:rtl w:val="true"/>
              </w:rPr>
              <w:tab/>
            </w:r>
            <w:r>
              <w:rPr>
                <w:rStyle w:val="IndexLink"/>
              </w:rPr>
              <w:t>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33_57016"/>
      <w:bookmarkStart w:id="1" w:name="pg5033_57016"/>
      <w:bookmarkEnd w:id="1"/>
    </w:p>
    <w:p>
      <w:pPr>
        <w:pStyle w:val="Heading2"/>
        <w:numPr>
          <w:ilvl w:val="1"/>
          <w:numId w:val="1"/>
        </w:numPr>
        <w:rPr/>
      </w:pPr>
      <w:bookmarkStart w:id="2" w:name="pg5033_57016"/>
      <w:bookmarkStart w:id="3" w:name="__RefHeading___Toc668481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سراب</w:t>
      </w:r>
    </w:p>
    <w:p>
      <w:pPr>
        <w:pStyle w:val="BookText"/>
        <w:rPr/>
      </w:pPr>
      <w:r>
        <w:rPr>
          <w:rFonts w:ascii="IRNazanin" w:hAnsi="IRNazanin" w:eastAsia="IRNazanin"/>
          <w:color w:val="111111"/>
          <w:sz w:val="28"/>
          <w:sz w:val="28"/>
          <w:szCs w:val="28"/>
          <w:rtl w:val="true"/>
          <w:lang w:bidi="fa-IR"/>
        </w:rPr>
        <w:t>گردآورنده آستان قدس رضوی، معاونت تبلیغات و ارتباطات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نشر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رهنما؛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082</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فییا</w:t>
      </w:r>
    </w:p>
    <w:p>
      <w:pPr>
        <w:pStyle w:val="BookText"/>
        <w:rPr/>
      </w:pPr>
      <w:r>
        <w:rPr>
          <w:rFonts w:ascii="IRNazanin" w:hAnsi="IRNazanin" w:eastAsia="IRNazanin"/>
          <w:color w:val="111111"/>
          <w:sz w:val="28"/>
          <w:sz w:val="28"/>
          <w:szCs w:val="28"/>
          <w:rtl w:val="true"/>
          <w:lang w:bidi="fa-IR"/>
        </w:rPr>
        <w:t xml:space="preserve">موضوع دینی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استجابت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معاونت تبلیغات و ارتباطات اسلامی بسیاسه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4881354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رودگر به کوشش محمد حسین پورامینی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باقری</w:t>
      </w:r>
      <w:bookmarkStart w:id="5" w:name="pg5033_57017"/>
    </w:p>
    <w:p>
      <w:pPr>
        <w:pStyle w:val="Heading2"/>
        <w:numPr>
          <w:ilvl w:val="1"/>
          <w:numId w:val="1"/>
        </w:numPr>
        <w:rPr/>
      </w:pPr>
      <w:bookmarkStart w:id="6" w:name="__RefHeading___Toc668483_774463916"/>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4" o:detectmouseclick="t"/>
                <v:stroke color="#3465a4" joinstyle="round" endcap="flat"/>
                <w10:wrap type="none"/>
              </v:shape>
            </w:pict>
          </mc:Fallback>
        </mc:AlternateContent>
      </w:r>
      <w:bookmarkStart w:id="8" w:name="pg5033_57020"/>
    </w:p>
    <w:p>
      <w:pPr>
        <w:pStyle w:val="Heading2"/>
        <w:numPr>
          <w:ilvl w:val="1"/>
          <w:numId w:val="1"/>
        </w:numPr>
        <w:rPr/>
      </w:pPr>
      <w:bookmarkStart w:id="9" w:name="__RefHeading___Toc668485_774463916"/>
      <w:bookmarkStart w:id="10" w:name="_Toc3"/>
      <w:bookmarkEnd w:id="8"/>
      <w:bookmarkEnd w:id="9"/>
      <w:r>
        <w:rPr>
          <w:rtl w:val="true"/>
        </w:rPr>
        <w:t>آب و سراب</w:t>
      </w:r>
      <w:bookmarkEnd w:id="10"/>
    </w:p>
    <w:p>
      <w:pPr>
        <w:pStyle w:val="Heading2"/>
        <w:numPr>
          <w:ilvl w:val="1"/>
          <w:numId w:val="1"/>
        </w:numPr>
        <w:rPr/>
      </w:pPr>
      <w:bookmarkStart w:id="11" w:name="__RefHeading___Toc668487_774463916"/>
      <w:bookmarkStart w:id="12" w:name="_Toc4"/>
      <w:bookmarkEnd w:id="11"/>
      <w:r>
        <w:rPr>
          <w:rtl w:val="true"/>
        </w:rPr>
        <w:t>درنگ و درایتی بر عرفان اسلامی و عرفان‌های کاذب نوظهور</w:t>
      </w:r>
      <w:bookmarkEnd w:id="12"/>
    </w:p>
    <w:p>
      <w:pPr>
        <w:pStyle w:val="BookText"/>
        <w:rPr/>
      </w:pPr>
      <w:r>
        <w:rPr>
          <w:rFonts w:ascii="IRNazanin" w:hAnsi="IRNazanin" w:eastAsia="IRNazanin"/>
          <w:color w:val="111111"/>
          <w:sz w:val="28"/>
          <w:sz w:val="28"/>
          <w:szCs w:val="28"/>
          <w:rtl w:val="true"/>
          <w:lang w:bidi="fa-IR"/>
        </w:rPr>
        <w:t>پاسخ به پرسش‌های زیر دغدغۀ نویسنده در نوشتن این متن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عرفان کدام است و فرق عرفان دینی با غیردینی در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ازنظر واژگانی و اصطلاحی، عرفان چه معنایی می‌دهد و چه معنایی نمی‌دهد؟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معنویت چیست و کجا با عرفان مرز مشترک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پیدایش جنبش‌های نوپدید دینی ریشه در کدام سرزمین و اندیشه‌گاه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آموزه‌های دینی، چه معیارها و شاخص‌هایی برای ارزیابی سلوک درست از نادرست آمده است؟</w: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8" o:detectmouseclick="t"/>
                <v:stroke color="#3465a4" joinstyle="round" endcap="flat"/>
                <w10:wrap type="none"/>
              </v:shape>
            </w:pict>
          </mc:Fallback>
        </mc:AlternateContent>
      </w:r>
      <w:bookmarkStart w:id="13" w:name="pg5033_57022"/>
    </w:p>
    <w:p>
      <w:pPr>
        <w:pStyle w:val="Heading2"/>
        <w:numPr>
          <w:ilvl w:val="1"/>
          <w:numId w:val="1"/>
        </w:numPr>
        <w:rPr/>
      </w:pPr>
      <w:bookmarkStart w:id="14" w:name="__RefHeading___Toc668489_774463916"/>
      <w:bookmarkStart w:id="15" w:name="_Toc5"/>
      <w:bookmarkEnd w:id="13"/>
      <w:bookmarkEnd w:id="14"/>
      <w:r>
        <w:rPr>
          <w:rtl w:val="true"/>
        </w:rPr>
        <w:t>اشاره</w:t>
      </w:r>
      <w:bookmarkEnd w:id="15"/>
    </w:p>
    <w:p>
      <w:pPr>
        <w:pStyle w:val="BookText"/>
        <w:rPr/>
      </w:pPr>
      <w:r>
        <w:rPr>
          <w:rFonts w:ascii="IRNazanin" w:hAnsi="IRNazanin" w:eastAsia="IRNazanin"/>
          <w:color w:val="111111"/>
          <w:sz w:val="28"/>
          <w:sz w:val="28"/>
          <w:szCs w:val="28"/>
          <w:rtl w:val="true"/>
          <w:lang w:bidi="fa-IR"/>
        </w:rPr>
        <w:t>شناخت عرفان اصیل اسلامی و معنویت حقیقی و صادق ضرورتی گریز‌ناپذیر برای سلوک درست و قرب حقیقی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نقد عرفان‌های کاذب و معنویت‌های دروغین و تخدیری،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به تبیین عرفان و معنویت راستین و دروغین و گونه‌شناسی هرکدام می‌پردازیم و معیارهایی برای تشخیص عرفان صادق از کاذب ارائه می‌دهیم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عرفان در نوعی تقسیم‌بندی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غیردینی یا سکولار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سکولار نیز ممکن است دو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ضددینی؛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سکولاریسم در قرون اخیر بیشتر به‌معنای غیردینی به‌کار می‌رود، نه ضددینی؛ یعنی محدودسازی دین به حوزه‌های فردی و اُخروی یا معنوی محض، نه‌اینکه دین در همۀ حوزه‌های فردی و اجتماعی یا مادی</w:t>
      </w:r>
      <w:bookmarkStart w:id="16" w:name="pg5033_57023"/>
    </w:p>
    <w:p>
      <w:pPr>
        <w:pStyle w:val="BookText"/>
        <w:rPr/>
      </w:pPr>
      <w:bookmarkEnd w:id="16"/>
      <w:r>
        <w:rPr>
          <w:rFonts w:ascii="IRNazanin" w:hAnsi="IRNazanin" w:eastAsia="IRNazanin"/>
          <w:color w:val="111111"/>
          <w:sz w:val="28"/>
          <w:sz w:val="28"/>
          <w:szCs w:val="28"/>
          <w:rtl w:val="true"/>
          <w:lang w:bidi="fa-IR"/>
        </w:rPr>
        <w:t>و معنوی حضور فعال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به‌همین‌دلیل عرفانی هم که از آن دم می‌زنند، لزوماً عرفان ضددینی نیست، بلکه ممکن است عرفانی دینی باشد؛ اما ریشۀ غیروحیانی داشته و فقط در خلوت و خلسه کاربرد داشته باشد، نه در متن جامعه و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سکولارها از عرفانی سخن به‌میان می‌آورند که آدمیان را از دنیای سیاست و مسئولیت‌های اجتماعی و عدالت‌خواهانه باز می‌دارد تا نظام سلطه به مقاصد خویش دست یابد</w:t>
      </w:r>
      <w:r>
        <w:rPr>
          <w:rFonts w:eastAsia="IRNazanin" w:cs="IRNazanin"/>
          <w:color w:val="111111"/>
          <w:sz w:val="28"/>
          <w:szCs w:val="28"/>
          <w:rtl w:val="true"/>
          <w:lang w:bidi="fa-IR"/>
        </w:rPr>
        <w:t>.</w:t>
      </w:r>
    </w:p>
    <w:p>
      <w:pPr>
        <w:pStyle w:val="Heading2"/>
        <w:numPr>
          <w:ilvl w:val="1"/>
          <w:numId w:val="1"/>
        </w:numPr>
        <w:rPr/>
      </w:pPr>
      <w:bookmarkStart w:id="17" w:name="__RefHeading___Toc668491_774463916"/>
      <w:bookmarkStart w:id="18" w:name="_Toc6"/>
      <w:bookmarkEnd w:id="17"/>
      <w:r>
        <w:rPr>
          <w:rtl w:val="true"/>
        </w:rPr>
        <w:t>عرفان دینی و غیردینی</w:t>
      </w:r>
      <w:bookmarkEnd w:id="18"/>
    </w:p>
    <w:p>
      <w:pPr>
        <w:pStyle w:val="Heading3"/>
        <w:numPr>
          <w:ilvl w:val="2"/>
          <w:numId w:val="1"/>
        </w:numPr>
        <w:rPr/>
      </w:pPr>
      <w:bookmarkStart w:id="19" w:name="__RefHeading___Toc668493_774463916"/>
      <w:bookmarkStart w:id="20" w:name="_Toc7"/>
      <w:bookmarkEnd w:id="19"/>
      <w:r>
        <w:rPr>
          <w:rtl w:val="true"/>
        </w:rPr>
        <w:t>اشاره</w:t>
      </w:r>
      <w:bookmarkEnd w:id="20"/>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عرفان دینی ریشه در ادیان الهی و آسمانی دارد و هدفش خداست و برای رسیدن به خدا و قرب حق از روش‌های الهی و آداب و احکام و آموزه‌های دینی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غیردینی ریشه در وحی و آسمان ندارد و از آموزه‌هایی خارج از دین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سلوکش را هم رسیدن به چیزهایی غیر از خدا، ازقبیل دنیا و قدرت‌های ماورایی و انرژی‌های کیهانی،</w:t>
      </w:r>
    </w:p>
    <w:p>
      <w:pPr>
        <w:pStyle w:val="BookText"/>
        <w:rPr/>
      </w:pP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مقام مقایسۀ عرفان دینی با عرفان غیردینی چند چیز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هدف و غایت؛ به‌این‌معناکه هدف و غایت عرفان غیردینی، غیر از خداست؛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روش و ابزار رسیدن به هدف و غایت؛ یعنی طریق در عرفان غیردینی راهی غیر از شریعت و بایدونبایدهای الهی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عرفان دینی، خود به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 به‌معنای سرچشمه‌گرفتن از دینی که هیچ‌گونه انحراف و تحریفی در آن صورت نگرفته و ناظر به همۀ ساحت‌های انسان و ابعاد وجودی اوست؛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غیرحقیقی؛ یعنی از ادیانی سرچشمه گرفته است که دست‌خوش تحریف و انحراف شده و از اصل و ریشۀ خود فاصله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عرفان حقیقی مسائلی وجود دارد که در عرفان غیرحقیقی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خدامحوری و توحیدگرایی؛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سلوک مبتنی بر شریعت و دستورالعمل‌های الهی؛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 خدا و قرب به حق؛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جامعیت و کمال خاص، برای پاسخ‌گویی به همۀ نیازهای انسان</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نوشتار حاضر، دربارۀ مفاهیم کلیدی و مؤلفه‌ها و گونه‌های عرفان و معنویت، علل گرایش به عرفان‌های کاذب و نوپدید و عوامل گسترش آن‌ها و سلوک صادق و کاذب، با جدول‌ها و نمودارهایی، بحث و تحلیل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عموم فرهیختگان و به‌ویژه خوانندگان جوان، مفاهیم کلان و کلیدی عرفان و معنویت را در آغاز و به‌اختصار واکاوی خواهیم کرد</w:t>
      </w:r>
      <w:r>
        <w:rPr>
          <w:rFonts w:eastAsia="IRNazanin" w:cs="IRNazanin"/>
          <w:color w:val="111111"/>
          <w:sz w:val="28"/>
          <w:szCs w:val="28"/>
          <w:rtl w:val="true"/>
          <w:lang w:bidi="fa-IR"/>
        </w:rPr>
        <w:t>:</w:t>
      </w:r>
      <w:bookmarkStart w:id="21" w:name="pg5033_57026"/>
    </w:p>
    <w:p>
      <w:pPr>
        <w:pStyle w:val="Heading3"/>
        <w:numPr>
          <w:ilvl w:val="2"/>
          <w:numId w:val="1"/>
        </w:numPr>
        <w:rPr/>
      </w:pPr>
      <w:bookmarkStart w:id="22" w:name="__RefHeading___Toc668495_774463916"/>
      <w:bookmarkStart w:id="23" w:name="_Toc8"/>
      <w:bookmarkEnd w:id="21"/>
      <w:bookmarkEnd w:id="22"/>
      <w:r>
        <w:rPr>
          <w:rtl w:val="true"/>
        </w:rPr>
        <w:t>کلیات</w:t>
      </w:r>
      <w:bookmarkEnd w:id="23"/>
    </w:p>
    <w:p>
      <w:pPr>
        <w:pStyle w:val="Heading4"/>
        <w:numPr>
          <w:ilvl w:val="3"/>
          <w:numId w:val="1"/>
        </w:numPr>
        <w:rPr/>
      </w:pPr>
      <w:bookmarkStart w:id="24" w:name="__RefHeading___Toc668497_774463916"/>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تصویر</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4"/>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5" o:detectmouseclick="t"/>
                <v:stroke color="#3465a4" joinstyle="round" endcap="flat"/>
                <w10:wrap type="none"/>
              </v:shape>
            </w:pict>
          </mc:Fallback>
        </mc:AlternateContent>
      </w:r>
      <w:bookmarkStart w:id="26" w:name="pg5033_57027"/>
    </w:p>
    <w:p>
      <w:pPr>
        <w:pStyle w:val="Heading4"/>
        <w:numPr>
          <w:ilvl w:val="3"/>
          <w:numId w:val="1"/>
        </w:numPr>
        <w:rPr/>
      </w:pPr>
      <w:bookmarkStart w:id="27" w:name="__RefHeading___Toc668499_774463916"/>
      <w:bookmarkStart w:id="28" w:name="_Toc10"/>
      <w:bookmarkEnd w:id="26"/>
      <w:bookmarkEnd w:id="27"/>
      <w:r>
        <w:rPr>
          <w:rtl w:val="true"/>
        </w:rPr>
        <w:t>عرفان چیست؟</w:t>
      </w:r>
      <w:bookmarkEnd w:id="28"/>
    </w:p>
    <w:p>
      <w:pPr>
        <w:pStyle w:val="BookText"/>
        <w:rPr/>
      </w:pPr>
      <w:r>
        <w:rPr>
          <w:rFonts w:ascii="IRNazanin" w:hAnsi="IRNazanin" w:eastAsia="IRNazanin"/>
          <w:color w:val="111111"/>
          <w:sz w:val="28"/>
          <w:sz w:val="28"/>
          <w:szCs w:val="28"/>
          <w:rtl w:val="true"/>
          <w:lang w:bidi="fa-IR"/>
        </w:rPr>
        <w:t>عرفان به‌معنای شناخت و معرفت حق سبحانه</w:t>
      </w:r>
      <w:r>
        <w:rPr>
          <w:rStyle w:val="FootnoteAnchor"/>
          <w:rtl w:val="true"/>
        </w:rPr>
        <w:footnoteReference w:id="2"/>
      </w:r>
      <w:r>
        <w:rPr>
          <w:rFonts w:ascii="IRNazanin" w:hAnsi="IRNazanin" w:eastAsia="IRNazanin"/>
          <w:color w:val="111111"/>
          <w:sz w:val="28"/>
          <w:sz w:val="28"/>
          <w:szCs w:val="28"/>
          <w:rtl w:val="true"/>
          <w:lang w:bidi="fa-IR"/>
        </w:rPr>
        <w:t xml:space="preserve">است و چنین معرفتی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حاصل‌شدنی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به‌بیان‌دیگر، شناختن و شدن، معرفت علمی و عملی و گذر از مراحل علم‌الیقین به عین‌الیقین و آنگاه به حق‌الیقین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عرفان در بخش نظری در دو محور کلّیِ توحید و موحّد بحث کرده و به نقش انسان کامل و هویت و جغرافیای وجودی‌اش در قوس نزول و صعود هستی پرداخته و او را آینه‌دار جمال و جلال الهی معرفی می‌کند که خلیفةالله و حجةالله است</w:t>
      </w:r>
      <w:r>
        <w:rPr>
          <w:rFonts w:eastAsia="IRNazanin" w:cs="IRNazanin"/>
          <w:color w:val="111111"/>
          <w:sz w:val="28"/>
          <w:szCs w:val="28"/>
          <w:rtl w:val="true"/>
          <w:lang w:bidi="fa-IR"/>
        </w:rPr>
        <w:t>.</w:t>
      </w:r>
      <w:bookmarkStart w:id="29" w:name="pg5033_57028"/>
    </w:p>
    <w:p>
      <w:pPr>
        <w:pStyle w:val="Heading4"/>
        <w:numPr>
          <w:ilvl w:val="3"/>
          <w:numId w:val="1"/>
        </w:numPr>
        <w:rPr/>
      </w:pPr>
      <w:bookmarkStart w:id="30" w:name="__RefHeading___Toc668501_774463916"/>
      <w:bookmarkStart w:id="31" w:name="_Toc11"/>
      <w:bookmarkEnd w:id="29"/>
      <w:bookmarkEnd w:id="30"/>
      <w:r>
        <w:rPr>
          <w:rtl w:val="true"/>
        </w:rPr>
        <w:t>عارف کیست؟</w:t>
      </w:r>
      <w:bookmarkEnd w:id="31"/>
    </w:p>
    <w:p>
      <w:pPr>
        <w:pStyle w:val="BookText"/>
        <w:rPr/>
      </w:pPr>
      <w:r>
        <w:rPr>
          <w:rFonts w:ascii="IRNazanin" w:hAnsi="IRNazanin" w:eastAsia="IRNazanin"/>
          <w:color w:val="111111"/>
          <w:sz w:val="28"/>
          <w:sz w:val="28"/>
          <w:szCs w:val="28"/>
          <w:rtl w:val="true"/>
          <w:lang w:bidi="fa-IR"/>
        </w:rPr>
        <w:t>همگان در جست‌وجوی معنا و مصداق عارف‌اند و مشتاقِ درک و دیدار عارفان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اسلامی، اعم از آیات و احادیث و ادعیه، اوصاف عارفان و اولیای الهی ذکر شده و در کتب عرفانی نیز از ویژگی‌هایشان سخن به‌میان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بیان ویژگی‌های عارف به دو بیان از علامه طباطبایی اشاره می‌کنیم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هستند که خود را از همه کنار کشیده و همه چیز را فراموش کرده‌اند و در اثر اخلاص و بندگی، همۀ قوای خود را متوجه عالم بالا ساخته، دیده به نور پروردگار پاک، روشن ساخته‌اند و با چشم واقع‌بین، حقایق اشیا و ملکوت آسمان و زمین را دیده‌اند؛ زیرا در اثر اخلاص و بندگی به یقین رسیده‌اند و در اثر یقین، ملکوت آسمان و زمین و زندگی</w:t>
      </w:r>
    </w:p>
    <w:p>
      <w:pPr>
        <w:pStyle w:val="BookText"/>
        <w:rPr/>
      </w:pPr>
      <w:r>
        <w:rPr>
          <w:rFonts w:ascii="IRNazanin" w:hAnsi="IRNazanin" w:eastAsia="IRNazanin"/>
          <w:color w:val="111111"/>
          <w:sz w:val="28"/>
          <w:sz w:val="28"/>
          <w:szCs w:val="28"/>
          <w:rtl w:val="true"/>
          <w:lang w:bidi="fa-IR"/>
        </w:rPr>
        <w:t>جاودانی جهان ابدیت برایشان مکشوف شده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راهرو که هیچ همتی جز یاد و فراموش‌کردنِ همه چیز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همۀ راه‌ها را پشت سر انداخته، راه نفس خود را پیش می‌گیرد و به خدای خود از دریچۀ نفس خود نگاه می‌کند تا مطلوب واقعی خود را دریابد و</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عرفان و معنویت مقوله‌های خطرخیزی هستند بنابراین به بصیرت و هوشمندی خاصی نیاز است تا انسان مشتاق وصال و کمال گرفتار کژراهه و انحراف نشود و صراط مستقیم سلوک تا شهود را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طی‌کردن مسیر سلوک، دو عنصر نقش بنیادین دارند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الهی به‌معنای عام؛ تا منطق سیروسلوک و بایدونبایدهای آن را کامل و جامع بیان کند و تبیین سازد؛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دین و صاحبان مقام ولایت؛ ایشان راهنما و راهبر سالکان کوی حق و سیرکنندگان درگاه و بارگاه حضرت دوست‌اند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نقش امام در سیروسلوک معنوی را چنین ترسیم کرده‌اند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ظاهر شریعت، حامی و مبیّنی دارد، هم‌چنان باطن شریعت که مرحلۀ حیات معنوی انسان و مقامات قرب و ولایت است، حامل و حافظ و قافله‌سالاری لازم دارد و چنان‌که در محازات سازمان ظاهری شریعت سازمان باطنی وجود دارد، در محازات مقام پیشواییِ ظاهر نیز مقام پیشوایی باطن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اسمه در هر عصری، فردی از افراد انسان را با تأییدی مخصوص، برمی‌گزیند و به این مقام که مقام کمال انسانی است، هدایت فرموده، به‌واسطۀ وی دیگران را به درجات مختلف این مقام، راهبری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که حقیقت پسِ پردۀ غیبت برای وی بلاواسطه و تنها با تأیید الهی، مکشوف است و درجات قرب و ولایت را در خود، سیر نموده و دیگران را با استعدادهای مختلفی که اکتساباً</w:t>
      </w:r>
    </w:p>
    <w:p>
      <w:pPr>
        <w:pStyle w:val="BookText"/>
        <w:rPr/>
      </w:pPr>
      <w:r>
        <w:rPr>
          <w:rFonts w:ascii="IRNazanin" w:hAnsi="IRNazanin" w:eastAsia="IRNazanin"/>
          <w:color w:val="111111"/>
          <w:sz w:val="28"/>
          <w:sz w:val="28"/>
          <w:szCs w:val="28"/>
          <w:rtl w:val="true"/>
          <w:lang w:bidi="fa-IR"/>
        </w:rPr>
        <w:t>به‌دست آورده‌اند، به مقامات مختلف کمالی خویش هدایت می‌کند</w:t>
      </w:r>
      <w:r>
        <w:rPr>
          <w:rFonts w:eastAsia="IRNazanin" w:cs="IRNazanin"/>
          <w:color w:val="111111"/>
          <w:sz w:val="28"/>
          <w:szCs w:val="28"/>
          <w:rtl w:val="true"/>
          <w:lang w:bidi="fa-IR"/>
        </w:rPr>
        <w:t>.»</w:t>
      </w:r>
      <w:r>
        <w:rPr>
          <w:rStyle w:val="FootnoteAnchor"/>
          <w:rtl w:val="true"/>
        </w:rPr>
        <w:footnoteReference w:id="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نیز با ملازمت رصدخانۀ بصیرت و مشاهدۀ نیاز وجودی خود، درک خواهد کرد که نیاز وی را یک‌سلسله فیوضات که به فیض و رحمت بی‌نهایت حقّ اتصال دارد، رفع می‌نماید که به‌واسطۀ ارتباط آن‌ها با همدیگر وجودی به‌نام وجود انسانی سر پا نگه داشته شده است، به‌واسطۀ مشاهدۀ همین اتصال، شعور انسانی توسعه پیدا کرده، مشاهدۀ فیوضات و رحمت عامّۀ حق، جایگزین مشاهدۀ جزئی نام‌برده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انسان چشم بصیرت و دیدۀ باطنی خود را به‌سوی عظمت ذاتیِ حق که از هر وصف و بیانی بزرگ‌تر است، باز نموده، در مقابل کبریای نامتناهی و احاطۀ علی‌الاطلاق وی، خود و همه چیز را گم کرده، محو و مدهوش می‌افتد و عجز خود را از احاطۀ علمی به حق سبحانه،</w:t>
      </w:r>
      <w:bookmarkStart w:id="32" w:name="pg5033_57032"/>
    </w:p>
    <w:p>
      <w:pPr>
        <w:pStyle w:val="BookText"/>
        <w:rPr/>
      </w:pPr>
      <w:bookmarkEnd w:id="32"/>
      <w:r>
        <w:rPr>
          <w:rFonts w:ascii="IRNazanin" w:hAnsi="IRNazanin" w:eastAsia="IRNazanin"/>
          <w:color w:val="111111"/>
          <w:sz w:val="28"/>
          <w:sz w:val="28"/>
          <w:szCs w:val="28"/>
          <w:rtl w:val="true"/>
          <w:lang w:bidi="fa-IR"/>
        </w:rPr>
        <w:t>بالعیان درک می‌کند</w:t>
      </w:r>
      <w:r>
        <w:rPr>
          <w:rFonts w:eastAsia="IRNazanin" w:cs="IRNazanin"/>
          <w:color w:val="111111"/>
          <w:sz w:val="28"/>
          <w:szCs w:val="28"/>
          <w:rtl w:val="true"/>
          <w:lang w:bidi="fa-IR"/>
        </w:rPr>
        <w:t>.»</w:t>
      </w:r>
      <w:r>
        <w:rPr>
          <w:rStyle w:val="FootnoteAnchor"/>
          <w:rtl w:val="true"/>
        </w:rPr>
        <w:footnoteReference w:id="7"/>
      </w:r>
    </w:p>
    <w:p>
      <w:pPr>
        <w:pStyle w:val="Heading4"/>
        <w:numPr>
          <w:ilvl w:val="3"/>
          <w:numId w:val="1"/>
        </w:numPr>
        <w:rPr/>
      </w:pPr>
      <w:bookmarkStart w:id="33" w:name="__RefHeading___Toc668503_774463916"/>
      <w:bookmarkStart w:id="34" w:name="_Toc12"/>
      <w:bookmarkEnd w:id="33"/>
      <w:r>
        <w:rPr>
          <w:rtl w:val="true"/>
        </w:rPr>
        <w:t>عرفان در آموزه‌های شیعی</w:t>
      </w:r>
      <w:bookmarkEnd w:id="3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پیش‌گفته، علامه طباطبایی در تعریف عرفان و عارف براساس احادیث علوی و آموزه‌های شیعی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عارف کسی است که نفس خویش را شناخته و آن را از اسارت هوا و بردگی شهوات رها نماید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در احادیث فراوانی، سیمای عارفان و عرفان چنین ترسیم و تصویر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العارف من عرف نفسه فاعتقها و نزّهها عن کل ما یبعدها و یوبقها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عارف و دانا کسی است که خود را بشناسد، موجبات آزادی خویش را فراهم آورَد و</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را از هر عاملی که باعث دوری از سعادت و کمالش می‌شود، منزّه دارد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العارف شخصه مع الخلق و قلبه مع الله، لو سهی قلبه عن الله طرفة عین لمات شوقاً الیه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عارف از لحاظ تشخص ظاهری و بدن، با مردم است؛ ولی قلب او همیشه با خداست و هرگاه قلب او از خداوند متعال آنی غفلت کند، هرآینه می‌میرد از جهت اشتیاق پیداکردن به سوی او</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و امام‌علی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العارف وجهه مستبشرٌ متبسّم و قلبه وَجِل محزون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خداشناس گشاده‌رو و خندان و دلش ترسان و اندوهناک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عارف عائفٌ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عارفی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ناخوش می‌دارد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الشوق خلصان العارفین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 خالص‌کنندۀ خداشناسان است</w:t>
      </w:r>
      <w:r>
        <w:rPr>
          <w:rFonts w:eastAsia="IRNazanin" w:cs="IRNazanin"/>
          <w:color w:val="111111"/>
          <w:sz w:val="28"/>
          <w:szCs w:val="28"/>
          <w:rtl w:val="true"/>
          <w:lang w:bidi="fa-IR"/>
        </w:rPr>
        <w:t>.)</w:t>
      </w:r>
      <w:r>
        <w:rPr>
          <w:rStyle w:val="FootnoteAnchor"/>
          <w:rtl w:val="true"/>
        </w:rPr>
        <w:footnoteReference w:id="13"/>
      </w:r>
      <w:bookmarkStart w:id="35" w:name="pg5033_57034"/>
    </w:p>
    <w:p>
      <w:pPr>
        <w:pStyle w:val="BookText"/>
        <w:rPr/>
      </w:pPr>
      <w:bookmarkEnd w:id="35"/>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جلباب العارفین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عارف خوفش است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چنان‌که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عارفان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شئ معدن و معدن التقوی قلوب العارفین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 را معدنی است و معدن تقوی، قلوب عارفان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لایبعد عن قلوب العارفین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از قلب کسانی که تو را می‌شناسند، دور نیستی</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36" w:name="__RefHeading___Toc668505_774463916"/>
      <w:bookmarkStart w:id="37" w:name="_Toc13"/>
      <w:bookmarkEnd w:id="36"/>
      <w:r>
        <w:rPr>
          <w:rtl w:val="true"/>
        </w:rPr>
        <w:t>رو به سوی او</w:t>
      </w:r>
      <w:bookmarkEnd w:id="3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ملاحظه شد، عرفان و عارفان براساس کارکردها و سیروسلوک عملی و نشانه‌هایی تعریف شدند که همۀ آن نشانی‌ها با توجه به میزان شناخت و نزدیکی‌شان به خدا و به‌اندازۀ</w:t>
      </w:r>
    </w:p>
    <w:p>
      <w:pPr>
        <w:pStyle w:val="BookText"/>
        <w:rPr/>
      </w:pPr>
      <w:r>
        <w:rPr>
          <w:rFonts w:ascii="IRNazanin" w:hAnsi="IRNazanin" w:eastAsia="IRNazanin"/>
          <w:color w:val="111111"/>
          <w:sz w:val="28"/>
          <w:sz w:val="28"/>
          <w:szCs w:val="28"/>
          <w:rtl w:val="true"/>
          <w:lang w:bidi="fa-IR"/>
        </w:rPr>
        <w:t>مجاهدتشان در سلوک الی‌الله و فی‌الله رتبه‌بندی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علامه معتقد است عارف کسی است که خدا را از زاویه و افق علم حضوری و شهودی شناخته باشد و انگیزه و اندیشه و اخلاق و اَعمالش را بر فطرت توحیدی تنظیم کرده است و خداوند 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بپرستد، نه از راه امید به ثواب و ترس از عقاب؛ یعنی عرفان و عشق به خدا و عبودیت عاشقانه، مبتنی‌بر فنای فی‌الله و خلوص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 اثر مانع‌زدایی، یعنی بی‌توجهی به جهان و جهانیان، همه‌چیز و حتی خود را فراموش می‌کند و روی به درگاه خدا می‌آورد و به معرفت حقیقی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نیز با استناد به دو حدیث زیر، مسئلۀ رفع حجاب و مانع را در نیل به معرفت حقیقی مطرح فرمودند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انه یعرف الله بتوهم القلوب فهو مشرک، و من زعم انه یعرف الله بالاسم دون المعنی، فقد اقرّ بالطعن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پندارد خدا را به اِنگاشتن دل‌ها می‌شناسد، مشرک است و هر</w:t>
      </w:r>
    </w:p>
    <w:p>
      <w:pPr>
        <w:pStyle w:val="BookText"/>
        <w:rPr/>
      </w:pPr>
      <w:r>
        <w:rPr>
          <w:rFonts w:ascii="IRNazanin" w:hAnsi="IRNazanin" w:eastAsia="IRNazanin"/>
          <w:color w:val="111111"/>
          <w:sz w:val="28"/>
          <w:sz w:val="28"/>
          <w:szCs w:val="28"/>
          <w:rtl w:val="true"/>
          <w:lang w:bidi="fa-IR"/>
        </w:rPr>
        <w:t>که پندارد خدا را به‌نامِ بدون‌معنی می‌پرستد، به‌راستی، شریکی با خدا قرار داده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امام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بینه و بین خلقه حجاب غیر خلقه، فقد احتجب بغیر حجاب محبوب، و استتر بغیر 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او و خلقش حجابی نیست، غیر از خلقش که آن را آفریده و در پرده رفته، بدون حجابی که محجوب باشد و پنهان شده، بی‌پرده که مستور باشد</w:t>
      </w:r>
      <w:r>
        <w:rPr>
          <w:rFonts w:eastAsia="IRNazanin" w:cs="IRNazanin"/>
          <w:color w:val="111111"/>
          <w:sz w:val="28"/>
          <w:szCs w:val="28"/>
          <w:rtl w:val="true"/>
          <w:lang w:bidi="fa-IR"/>
        </w:rPr>
        <w:t>.)</w:t>
      </w:r>
      <w:r>
        <w:rPr>
          <w:rStyle w:val="FootnoteAnchor"/>
          <w:rtl w:val="true"/>
        </w:rPr>
        <w:footnoteReference w:id="1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است معنی حدیث معروف که شیعه و سنّی از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نفسه عرف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خودش را شناخت، پروردگارش را شناخته است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که نفس را با نیستی و نیازمندی ذاتی وی، باید شناخت، نه با دارایی و خصوصیات کمالی؛ وگرنه انسان از معرفت حقیقی محروم و با معرفت غایبانۀ فکری که از</w:t>
      </w:r>
    </w:p>
    <w:p>
      <w:pPr>
        <w:pStyle w:val="BookText"/>
        <w:rPr/>
      </w:pPr>
      <w:r>
        <w:rPr>
          <w:rFonts w:ascii="IRNazanin" w:hAnsi="IRNazanin" w:eastAsia="IRNazanin"/>
          <w:color w:val="111111"/>
          <w:sz w:val="28"/>
          <w:sz w:val="28"/>
          <w:szCs w:val="28"/>
          <w:rtl w:val="true"/>
          <w:lang w:bidi="fa-IR"/>
        </w:rPr>
        <w:t>تصویر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دلایل و آثار به‌دست می‌آید، سرگرم خواهد بود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ایشان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راه محبت و مِهر است که نفس محب را به‌واسطۀ انجذابی که به‌سوی محبوب پیدا می‌کند، مجذوب وی نموده و همه‌چیز حتی خود را از لوح دل خویش محو کرده و شعور و ادراکش را تنها و تنها به محبوب اختصاص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روشن است که معرفت حقیقی حق سبحانه، جز از راه حُب، صورت نمی‌گیرد؛ زیرا چنان‌که گذشت، معرفت حقیقی، راهی جز نسیانِ ماسوی ندارد</w:t>
      </w:r>
      <w:r>
        <w:rPr>
          <w:rFonts w:eastAsia="IRNazanin" w:cs="IRNazanin"/>
          <w:color w:val="111111"/>
          <w:sz w:val="28"/>
          <w:szCs w:val="28"/>
          <w:rtl w:val="true"/>
          <w:lang w:bidi="fa-IR"/>
        </w:rPr>
        <w:t>.»</w:t>
      </w:r>
      <w:r>
        <w:rPr>
          <w:rStyle w:val="FootnoteAnchor"/>
          <w:rtl w:val="true"/>
        </w:rPr>
        <w:footnoteReference w:id="2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حیات معنوی و سیروسلوک عرفانی، مطالعات کافی داشته و مقاصد حقیقی این رشته از علوم را دریافته باشد، به‌خوبی درک می‌کند که روش این سیر باطنی و حیات معنوی، روی این اساس استوار است که کمالات باطنی و مقامات معنوی</w:t>
      </w:r>
      <w:bookmarkStart w:id="38" w:name="pg5033_57039"/>
    </w:p>
    <w:p>
      <w:pPr>
        <w:pStyle w:val="BookText"/>
        <w:rPr/>
      </w:pPr>
      <w:bookmarkEnd w:id="38"/>
      <w:r>
        <w:rPr>
          <w:rFonts w:ascii="IRNazanin" w:hAnsi="IRNazanin" w:eastAsia="IRNazanin"/>
          <w:color w:val="111111"/>
          <w:sz w:val="28"/>
          <w:sz w:val="28"/>
          <w:szCs w:val="28"/>
          <w:rtl w:val="true"/>
          <w:lang w:bidi="fa-IR"/>
        </w:rPr>
        <w:t>انسان، یک رشته واقعیت‌های حقیقی بیرون از واقعیت طبیعت است و عالم باطن که موطن معنوی است، جهانی است بسی اصیل‌تر و واقعیت‌دارتر و پهناورتر از جهان ماده و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معنوی واقعیت‌ها و موقعیت‌های حیاتی اصیل برای انسان‌اند؛ نه از نوع مفاهیم تشریفی و مقامات و مناصب و عناوین وضعی و</w:t>
      </w:r>
      <w:r>
        <w:rPr>
          <w:rFonts w:eastAsia="IRNazanin" w:cs="IRNazanin"/>
          <w:color w:val="111111"/>
          <w:sz w:val="28"/>
          <w:szCs w:val="28"/>
          <w:rtl w:val="true"/>
          <w:lang w:bidi="fa-IR"/>
        </w:rPr>
        <w:t>... .»</w:t>
      </w:r>
      <w:r>
        <w:rPr>
          <w:rStyle w:val="FootnoteAnchor"/>
          <w:rtl w:val="true"/>
        </w:rPr>
        <w:footnoteReference w:id="22"/>
      </w:r>
    </w:p>
    <w:p>
      <w:pPr>
        <w:pStyle w:val="Heading4"/>
        <w:numPr>
          <w:ilvl w:val="3"/>
          <w:numId w:val="1"/>
        </w:numPr>
        <w:rPr/>
      </w:pPr>
      <w:bookmarkStart w:id="39" w:name="__RefHeading___Toc668507_774463916"/>
      <w:bookmarkStart w:id="40" w:name="_Toc14"/>
      <w:bookmarkEnd w:id="39"/>
      <w:r>
        <w:rPr>
          <w:rtl w:val="true"/>
        </w:rPr>
        <w:t>عرفان‌واره‌ها</w:t>
      </w:r>
      <w:bookmarkEnd w:id="4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عرفان در عصر جدید ازجمله واژه‌هایی است که از نظر معنایی ترور شده و از آسمان به زمین کشیده شد؛ زیرا عرفان از حیث علمی معرفةالله و شناخت اسمای حُسنای الهی است و از جهت عملی مواجهه با عالم قدس و عالم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درحقیقت، الهی‌شدن و قرب</w:t>
      </w:r>
    </w:p>
    <w:p>
      <w:pPr>
        <w:pStyle w:val="BookText"/>
        <w:rPr/>
      </w:pPr>
      <w:r>
        <w:rPr>
          <w:rFonts w:ascii="IRNazanin" w:hAnsi="IRNazanin" w:eastAsia="IRNazanin"/>
          <w:color w:val="111111"/>
          <w:sz w:val="28"/>
          <w:sz w:val="28"/>
          <w:szCs w:val="28"/>
          <w:rtl w:val="true"/>
          <w:lang w:bidi="fa-IR"/>
        </w:rPr>
        <w:t>به حق و به رنگ خدا درآمدن و رایحۀ الهی یافتن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عرفان خداخویی است که از خداخوانی، خدادانی، خداجویی و خداگرایی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عبور مرحله‌به‌مرحله از همۀ این حقایق تا رسیدن به خداخویی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معنا و ماهیت عرفان و هندسه وجودیِ آن، دو حقیقت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شهودی خدای سبحان؛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تکاملی و ارتقای وجودی تا مقام قرب و لقای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عرفان در ادبیاتِ نوآمد، درنهایت، معنایی متافیزیکی و فراروان‌شناختی می‌دهد و در برخی جریان‌ها و جنبش‌ها، رسیدن به قدرت‌های کیهانی و انرژی‌های کیهانی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در برخی فرقه‌ها و نحله‌های مدعی آن، معنایی مادی و ناسوتی یافته و در حد ورزش‌های رزمی یا فن‌وحرفه‌ای تنزل پیدا کرده است و این یعنی پایین‌آوردن عرفان از جایگاه اصلی و منزلت واقعی‌اش و تنزل معنای آن تا حد مصرف داروهای توهم‌زا و گیاهان تخدیری و حتی مصرف مشروبات الکلی و رقص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عجایب روزگار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عرفان و عارف مظلوم</w:t>
      </w:r>
      <w:bookmarkStart w:id="41" w:name="pg5033_57041"/>
    </w:p>
    <w:p>
      <w:pPr>
        <w:pStyle w:val="BookText"/>
        <w:rPr/>
      </w:pPr>
      <w:bookmarkEnd w:id="41"/>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 دانایان عرصۀ معرفت و اهل درک و درد عرفانی، واجب است که با آگاهی‌بخشی و ارائۀ نشانی‌ها و نشان‌های واقعی عرفان و عارفان، مقولۀ مقدس عرفان را از آسیب‌های نظری و عملی نجات دهند و جوانان را از افتادن در وادی‌های بس خطرناک عرفان‌های کاذب و معنویت‌های دروغین برهانند</w:t>
      </w:r>
      <w:r>
        <w:rPr>
          <w:rFonts w:eastAsia="IRNazanin" w:cs="IRNazanin"/>
          <w:color w:val="111111"/>
          <w:sz w:val="28"/>
          <w:szCs w:val="28"/>
          <w:rtl w:val="true"/>
          <w:lang w:bidi="fa-IR"/>
        </w:rPr>
        <w:t>.</w:t>
      </w:r>
    </w:p>
    <w:p>
      <w:pPr>
        <w:pStyle w:val="Heading3"/>
        <w:numPr>
          <w:ilvl w:val="2"/>
          <w:numId w:val="1"/>
        </w:numPr>
        <w:rPr/>
      </w:pPr>
      <w:bookmarkStart w:id="42" w:name="__RefHeading___Toc668509_774463916"/>
      <w:bookmarkStart w:id="43" w:name="_Toc15"/>
      <w:bookmarkEnd w:id="42"/>
      <w:r>
        <w:rPr>
          <w:rtl w:val="true"/>
        </w:rPr>
        <w:t>معیار‌های بازشناسی عرفان و شبه‌عرفان</w:t>
      </w:r>
      <w:bookmarkEnd w:id="43"/>
    </w:p>
    <w:p>
      <w:pPr>
        <w:pStyle w:val="Heading4"/>
        <w:numPr>
          <w:ilvl w:val="3"/>
          <w:numId w:val="1"/>
        </w:numPr>
        <w:rPr/>
      </w:pPr>
      <w:bookmarkStart w:id="44" w:name="__RefHeading___Toc668511_774463916"/>
      <w:bookmarkStart w:id="45" w:name="_Toc16"/>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عرفان معرفةالله‌مدار و تقوا‌محور است، ولی شبه‌عرفان چنین نیست؛</w:t>
      </w:r>
    </w:p>
    <w:p>
      <w:pPr>
        <w:pStyle w:val="BookText"/>
        <w:rPr/>
      </w:pPr>
      <w:r>
        <w:rPr>
          <w:rFonts w:ascii="IRNazanin" w:hAnsi="IRNazanin" w:eastAsia="IRNazanin"/>
          <w:color w:val="111111"/>
          <w:sz w:val="28"/>
          <w:sz w:val="28"/>
          <w:szCs w:val="28"/>
          <w:rtl w:val="true"/>
          <w:lang w:bidi="fa-IR"/>
        </w:rPr>
        <w:t>عرفان جهادمدار و حماسه‌ساز و اجتماع‌محور و تعهدمند است، ولی شبه‌عرفان چنین نیست؛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عرفان، بر‌خلاف شبه‌عرفان، با شریعت و شرع رابطۀ مستقیم و مستمر دارد و شریعت و طریقت و حقیقت سه بُعد از یک حقیقت و لایه‌های یک معنا هستند که شریعت خط قرمز سلوک الهی است؛</w:t>
      </w:r>
    </w:p>
    <w:p>
      <w:pPr>
        <w:pStyle w:val="BookText"/>
        <w:rPr/>
      </w:pPr>
      <w:r>
        <w:rPr>
          <w:rFonts w:ascii="IRNazanin" w:hAnsi="IRNazanin" w:eastAsia="IRNazanin"/>
          <w:color w:val="111111"/>
          <w:sz w:val="28"/>
          <w:sz w:val="28"/>
          <w:szCs w:val="28"/>
          <w:rtl w:val="true"/>
          <w:lang w:bidi="fa-IR"/>
        </w:rPr>
        <w:t>عرفان هرگز مواد تخدیری مصنوعی و طبیعی و سُکرآور و موسیقی مبتذل و حرام را به‌کار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شبه‌عرفان، آری؛</w:t>
      </w:r>
    </w:p>
    <w:p>
      <w:pPr>
        <w:pStyle w:val="BookText"/>
        <w:rPr/>
      </w:pPr>
      <w:r>
        <w:rPr>
          <w:rFonts w:ascii="IRNazanin" w:hAnsi="IRNazanin" w:eastAsia="IRNazanin"/>
          <w:color w:val="111111"/>
          <w:sz w:val="28"/>
          <w:sz w:val="28"/>
          <w:szCs w:val="28"/>
          <w:rtl w:val="true"/>
          <w:lang w:bidi="fa-IR"/>
        </w:rPr>
        <w:t>عرفان، بر‌خلاف شبه‌عرفان، از قدرت‌های ماورایی، ابزار نفسانی نمی‌سازد؛</w:t>
      </w:r>
    </w:p>
    <w:p>
      <w:pPr>
        <w:pStyle w:val="BookText"/>
        <w:rPr/>
      </w:pPr>
      <w:r>
        <w:rPr>
          <w:rFonts w:ascii="IRNazanin" w:hAnsi="IRNazanin" w:eastAsia="IRNazanin"/>
          <w:color w:val="111111"/>
          <w:sz w:val="28"/>
          <w:sz w:val="28"/>
          <w:szCs w:val="28"/>
          <w:rtl w:val="true"/>
          <w:lang w:bidi="fa-IR"/>
        </w:rPr>
        <w:t>عرفان ظلم‌ستیز و استبدادستیز و استکبارستیز است، نه ابزار ظلم و استبداد و 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شبه‌عرفان‌ها چنین نیستند؛</w:t>
      </w:r>
    </w:p>
    <w:p>
      <w:pPr>
        <w:pStyle w:val="BookText"/>
        <w:rPr/>
      </w:pPr>
      <w:r>
        <w:rPr>
          <w:rFonts w:ascii="IRNazanin" w:hAnsi="IRNazanin" w:eastAsia="IRNazanin"/>
          <w:color w:val="111111"/>
          <w:sz w:val="28"/>
          <w:sz w:val="28"/>
          <w:szCs w:val="28"/>
          <w:rtl w:val="true"/>
          <w:lang w:bidi="fa-IR"/>
        </w:rPr>
        <w:t>عرفان برای عمل و سیروسلوک است، نه فقط تئوریزه‌کردن و تئوری‌پردازی؛</w:t>
      </w:r>
    </w:p>
    <w:p>
      <w:pPr>
        <w:pStyle w:val="BookText"/>
        <w:rPr/>
      </w:pPr>
      <w:r>
        <w:rPr>
          <w:rFonts w:ascii="IRNazanin" w:hAnsi="IRNazanin" w:eastAsia="IRNazanin"/>
          <w:color w:val="111111"/>
          <w:sz w:val="28"/>
          <w:sz w:val="28"/>
          <w:szCs w:val="28"/>
          <w:rtl w:val="true"/>
          <w:lang w:bidi="fa-IR"/>
        </w:rPr>
        <w:t>عرفان اصیل متعادل است، نه گرفتار افراط یا تفریط؛</w:t>
      </w:r>
    </w:p>
    <w:p>
      <w:pPr>
        <w:pStyle w:val="BookText"/>
        <w:rPr/>
      </w:pPr>
      <w:r>
        <w:rPr>
          <w:rFonts w:ascii="IRNazanin" w:hAnsi="IRNazanin" w:eastAsia="IRNazanin"/>
          <w:color w:val="111111"/>
          <w:sz w:val="28"/>
          <w:sz w:val="28"/>
          <w:szCs w:val="28"/>
          <w:rtl w:val="true"/>
          <w:lang w:bidi="fa-IR"/>
        </w:rPr>
        <w:t>عرفان، بر‌خلاف شبه‌عرفان، خرد‌گرا و عقل‌مدار است؛</w:t>
      </w:r>
    </w:p>
    <w:p>
      <w:pPr>
        <w:pStyle w:val="BookText"/>
        <w:rPr/>
      </w:pPr>
      <w:r>
        <w:rPr>
          <w:rFonts w:ascii="IRNazanin" w:hAnsi="IRNazanin" w:eastAsia="IRNazanin"/>
          <w:color w:val="111111"/>
          <w:sz w:val="28"/>
          <w:sz w:val="28"/>
          <w:szCs w:val="28"/>
          <w:rtl w:val="true"/>
          <w:lang w:bidi="fa-IR"/>
        </w:rPr>
        <w:t>عرفان آرامش پایدار و سکونت قلب راستین و مثبت می‌دهد، نه آرامش گذرا و منفی؛</w:t>
      </w:r>
    </w:p>
    <w:p>
      <w:pPr>
        <w:pStyle w:val="BookText"/>
        <w:rPr/>
      </w:pPr>
      <w:r>
        <w:rPr>
          <w:rFonts w:ascii="IRNazanin" w:hAnsi="IRNazanin" w:eastAsia="IRNazanin"/>
          <w:color w:val="111111"/>
          <w:sz w:val="28"/>
          <w:sz w:val="28"/>
          <w:szCs w:val="28"/>
          <w:rtl w:val="true"/>
          <w:lang w:bidi="fa-IR"/>
        </w:rPr>
        <w:t>عرفان اصالت را به دعوت به‌سوی خدا و توحید می‌دهد، نه به‌سوی خود و نفسانیات و شرک؛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عرفان از مرید و مریدبازی مبرّاست و رابطۀ شاگرد و استاد یا پیر و پیرو را عقلانی و</w:t>
      </w:r>
    </w:p>
    <w:p>
      <w:pPr>
        <w:pStyle w:val="BookText"/>
        <w:rPr/>
      </w:pPr>
      <w:r>
        <w:rPr>
          <w:rFonts w:ascii="IRNazanin" w:hAnsi="IRNazanin" w:eastAsia="IRNazanin"/>
          <w:color w:val="111111"/>
          <w:sz w:val="28"/>
          <w:sz w:val="28"/>
          <w:szCs w:val="28"/>
          <w:rtl w:val="true"/>
          <w:lang w:bidi="fa-IR"/>
        </w:rPr>
        <w:t>معیارمند می‌داند، نه ازهم‌گسیخته؛</w:t>
      </w:r>
    </w:p>
    <w:p>
      <w:pPr>
        <w:pStyle w:val="BookText"/>
        <w:rPr/>
      </w:pPr>
      <w:r>
        <w:rPr>
          <w:rFonts w:ascii="IRNazanin" w:hAnsi="IRNazanin" w:eastAsia="IRNazanin"/>
          <w:color w:val="111111"/>
          <w:sz w:val="28"/>
          <w:sz w:val="28"/>
          <w:szCs w:val="28"/>
          <w:rtl w:val="true"/>
          <w:lang w:bidi="fa-IR"/>
        </w:rPr>
        <w:t>عرفان اصیل تکلیف‌گرا و وظیفه‌محور است، نه باری‌به‌هرجهت و خودبخواهی؛</w:t>
      </w:r>
    </w:p>
    <w:p>
      <w:pPr>
        <w:pStyle w:val="BookText"/>
        <w:rPr/>
      </w:pPr>
      <w:r>
        <w:rPr>
          <w:rFonts w:ascii="IRNazanin" w:hAnsi="IRNazanin" w:eastAsia="IRNazanin"/>
          <w:color w:val="111111"/>
          <w:sz w:val="28"/>
          <w:sz w:val="28"/>
          <w:szCs w:val="28"/>
          <w:rtl w:val="true"/>
          <w:lang w:bidi="fa-IR"/>
        </w:rPr>
        <w:t>عرفان ولایت‌محور و امامت‌مدار است، نه ولایت‌گریز و امامت‌ستیز؛</w:t>
      </w:r>
    </w:p>
    <w:p>
      <w:pPr>
        <w:pStyle w:val="BookText"/>
        <w:rPr/>
      </w:pPr>
      <w:r>
        <w:rPr>
          <w:rFonts w:ascii="IRNazanin" w:hAnsi="IRNazanin" w:eastAsia="IRNazanin"/>
          <w:color w:val="111111"/>
          <w:sz w:val="28"/>
          <w:sz w:val="28"/>
          <w:szCs w:val="28"/>
          <w:rtl w:val="true"/>
          <w:lang w:bidi="fa-IR"/>
        </w:rPr>
        <w:t>عرفان‌های صادق، عقل‌مدار و عشق‌مدارند، آن هم عشق عقلانی و</w:t>
      </w:r>
    </w:p>
    <w:p>
      <w:pPr>
        <w:pStyle w:val="BookText"/>
        <w:rPr/>
      </w:pPr>
      <w:r>
        <w:rPr>
          <w:rFonts w:ascii="IRNazanin" w:hAnsi="IRNazanin" w:eastAsia="IRNazanin"/>
          <w:color w:val="111111"/>
          <w:sz w:val="28"/>
          <w:sz w:val="28"/>
          <w:szCs w:val="28"/>
          <w:rtl w:val="true"/>
          <w:lang w:bidi="fa-IR"/>
        </w:rPr>
        <w:t>عقل عاشقانه، نه عقل‌گریز و عشق‌گریز؛</w:t>
      </w:r>
    </w:p>
    <w:p>
      <w:pPr>
        <w:pStyle w:val="BookText"/>
        <w:rPr/>
      </w:pPr>
      <w:r>
        <w:rPr>
          <w:rFonts w:ascii="IRNazanin" w:hAnsi="IRNazanin" w:eastAsia="IRNazanin"/>
          <w:color w:val="111111"/>
          <w:sz w:val="28"/>
          <w:sz w:val="28"/>
          <w:szCs w:val="28"/>
          <w:rtl w:val="true"/>
          <w:lang w:bidi="fa-IR"/>
        </w:rPr>
        <w:t>عرفان تجلی فطرت است، نه تجسم غریزه؛</w:t>
      </w:r>
    </w:p>
    <w:p>
      <w:pPr>
        <w:pStyle w:val="BookText"/>
        <w:rPr/>
      </w:pPr>
      <w:r>
        <w:rPr>
          <w:rFonts w:ascii="IRNazanin" w:hAnsi="IRNazanin" w:eastAsia="IRNazanin"/>
          <w:color w:val="111111"/>
          <w:sz w:val="28"/>
          <w:sz w:val="28"/>
          <w:szCs w:val="28"/>
          <w:rtl w:val="true"/>
          <w:lang w:bidi="fa-IR"/>
        </w:rPr>
        <w:t>عرفان در غیب ریشه دارد، نه در شهادت محض؛</w:t>
      </w:r>
    </w:p>
    <w:p>
      <w:pPr>
        <w:pStyle w:val="BookText"/>
        <w:rPr/>
      </w:pPr>
      <w:r>
        <w:rPr>
          <w:rFonts w:ascii="IRNazanin" w:hAnsi="IRNazanin" w:eastAsia="IRNazanin"/>
          <w:color w:val="111111"/>
          <w:sz w:val="28"/>
          <w:sz w:val="28"/>
          <w:szCs w:val="28"/>
          <w:rtl w:val="true"/>
          <w:lang w:bidi="fa-IR"/>
        </w:rPr>
        <w:t>عرفان عدالت‌پیشه است، نه عدالت‌ستیز یا ضدعدالت؛</w:t>
      </w:r>
    </w:p>
    <w:p>
      <w:pPr>
        <w:pStyle w:val="BookText"/>
        <w:rPr/>
      </w:pPr>
      <w:r>
        <w:rPr>
          <w:rFonts w:ascii="IRNazanin" w:hAnsi="IRNazanin" w:eastAsia="IRNazanin"/>
          <w:color w:val="111111"/>
          <w:sz w:val="28"/>
          <w:sz w:val="28"/>
          <w:szCs w:val="28"/>
          <w:rtl w:val="true"/>
          <w:lang w:bidi="fa-IR"/>
        </w:rPr>
        <w:t>عرفان اسوه‌گرا و الگوگراست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اسوۀ حسنه و الگوی تمام‌عیار از انسان کامل؛</w:t>
      </w:r>
    </w:p>
    <w:p>
      <w:pPr>
        <w:pStyle w:val="BookText"/>
        <w:rPr/>
      </w:pPr>
      <w:r>
        <w:rPr>
          <w:rFonts w:ascii="IRNazanin" w:hAnsi="IRNazanin" w:eastAsia="IRNazanin"/>
          <w:color w:val="111111"/>
          <w:sz w:val="28"/>
          <w:sz w:val="28"/>
          <w:szCs w:val="28"/>
          <w:rtl w:val="true"/>
          <w:lang w:bidi="fa-IR"/>
        </w:rPr>
        <w:t>عرفان قدسی است، نه عرفی؛ آسمانی است، نه زمینی؛ البته قدسی‌عرفی و آسمانی‌زمینی؛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عرفان علم‌گرا و علم‌ستاست، نه علم‌گریز و علم‌ستیز؛</w:t>
      </w:r>
    </w:p>
    <w:p>
      <w:pPr>
        <w:pStyle w:val="BookText"/>
        <w:rPr/>
      </w:pPr>
      <w:r>
        <w:rPr>
          <w:rFonts w:ascii="IRNazanin" w:hAnsi="IRNazanin" w:eastAsia="IRNazanin"/>
          <w:color w:val="111111"/>
          <w:sz w:val="28"/>
          <w:sz w:val="28"/>
          <w:szCs w:val="28"/>
          <w:rtl w:val="true"/>
          <w:lang w:bidi="fa-IR"/>
        </w:rPr>
        <w:t>عرفان قرارگرفتن در جاذبۀ کمال مطلق است، نه جذب طبیعت و امور جزیی شدن؛</w:t>
      </w:r>
    </w:p>
    <w:p>
      <w:pPr>
        <w:pStyle w:val="BookText"/>
        <w:rPr/>
      </w:pPr>
      <w:r>
        <w:rPr>
          <w:rFonts w:ascii="IRNazanin" w:hAnsi="IRNazanin" w:eastAsia="IRNazanin"/>
          <w:color w:val="111111"/>
          <w:sz w:val="28"/>
          <w:sz w:val="28"/>
          <w:szCs w:val="28"/>
          <w:rtl w:val="true"/>
          <w:lang w:bidi="fa-IR"/>
        </w:rPr>
        <w:t>عرفان عبودیت‌گراست، نه عبودیت‌گریز؛</w:t>
      </w:r>
    </w:p>
    <w:p>
      <w:pPr>
        <w:pStyle w:val="BookText"/>
        <w:rPr/>
      </w:pPr>
      <w:r>
        <w:rPr>
          <w:rFonts w:ascii="IRNazanin" w:hAnsi="IRNazanin" w:eastAsia="IRNazanin"/>
          <w:color w:val="111111"/>
          <w:sz w:val="28"/>
          <w:sz w:val="28"/>
          <w:szCs w:val="28"/>
          <w:rtl w:val="true"/>
          <w:lang w:bidi="fa-IR"/>
        </w:rPr>
        <w:t>عرفان در پی آزادی و آزادگی است و درعین‌حال، آزادی‌خواهی اجتماعی؛ بدون تفکیک آزادی معنوی و اجتماعی؛</w:t>
      </w:r>
    </w:p>
    <w:p>
      <w:pPr>
        <w:pStyle w:val="BookText"/>
        <w:rPr/>
      </w:pPr>
      <w:r>
        <w:rPr>
          <w:rFonts w:ascii="IRNazanin" w:hAnsi="IRNazanin" w:eastAsia="IRNazanin"/>
          <w:color w:val="111111"/>
          <w:sz w:val="28"/>
          <w:sz w:val="28"/>
          <w:szCs w:val="28"/>
          <w:rtl w:val="true"/>
          <w:lang w:bidi="fa-IR"/>
        </w:rPr>
        <w:t>عرفان آرمان‌خواهی واقع‌گرایانه و واقع‌گرایی آرمان‌خواهانه است؛</w:t>
      </w:r>
    </w:p>
    <w:p>
      <w:pPr>
        <w:pStyle w:val="BookText"/>
        <w:rPr/>
      </w:pPr>
      <w:r>
        <w:rPr>
          <w:rFonts w:ascii="IRNazanin" w:hAnsi="IRNazanin" w:eastAsia="IRNazanin"/>
          <w:color w:val="111111"/>
          <w:sz w:val="28"/>
          <w:sz w:val="28"/>
          <w:szCs w:val="28"/>
          <w:rtl w:val="true"/>
          <w:lang w:bidi="fa-IR"/>
        </w:rPr>
        <w:t>عرفان خداخواهی و خداجویی برای خداخوشدن است، نه غیر آن؛</w:t>
      </w:r>
    </w:p>
    <w:p>
      <w:pPr>
        <w:pStyle w:val="BookText"/>
        <w:rPr/>
      </w:pPr>
      <w:r>
        <w:rPr>
          <w:rFonts w:ascii="IRNazanin" w:hAnsi="IRNazanin" w:eastAsia="IRNazanin"/>
          <w:color w:val="111111"/>
          <w:sz w:val="28"/>
          <w:sz w:val="28"/>
          <w:szCs w:val="28"/>
          <w:rtl w:val="true"/>
          <w:lang w:bidi="fa-IR"/>
        </w:rPr>
        <w:t>عرفان وحیانی‌عقلانی است، نه خودبنیاد و خردستیز؛</w:t>
      </w:r>
    </w:p>
    <w:p>
      <w:pPr>
        <w:pStyle w:val="BookText"/>
        <w:rPr/>
      </w:pPr>
      <w:r>
        <w:rPr>
          <w:rFonts w:ascii="IRNazanin" w:hAnsi="IRNazanin" w:eastAsia="IRNazanin"/>
          <w:color w:val="111111"/>
          <w:sz w:val="28"/>
          <w:sz w:val="28"/>
          <w:szCs w:val="28"/>
          <w:rtl w:val="true"/>
          <w:lang w:bidi="fa-IR"/>
        </w:rPr>
        <w:t>عرفان الهی‌انسانی است، نه اومانیستی‌لیبرالیستی؛</w:t>
      </w:r>
    </w:p>
    <w:p>
      <w:pPr>
        <w:pStyle w:val="BookText"/>
        <w:rPr/>
      </w:pPr>
      <w:r>
        <w:rPr>
          <w:rFonts w:ascii="IRNazanin" w:hAnsi="IRNazanin" w:eastAsia="IRNazanin"/>
          <w:color w:val="111111"/>
          <w:sz w:val="28"/>
          <w:sz w:val="28"/>
          <w:szCs w:val="28"/>
          <w:rtl w:val="true"/>
          <w:lang w:bidi="fa-IR"/>
        </w:rPr>
        <w:t>عرفان معناگراست نه معناگریز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یعنی اصالت را به غیب دادن و خداگرا بودن؛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عرفان ملکوتی است، نه ملکی؛ عرشی است، نه فرشی؛ لاهوتی است، نه ناسوتی</w:t>
      </w:r>
      <w:r>
        <w:rPr>
          <w:rFonts w:eastAsia="IRNazanin" w:cs="IRNazanin"/>
          <w:color w:val="111111"/>
          <w:sz w:val="28"/>
          <w:szCs w:val="28"/>
          <w:rtl w:val="true"/>
          <w:lang w:bidi="fa-IR"/>
        </w:rPr>
        <w:t>.</w:t>
      </w:r>
      <w:bookmarkStart w:id="46" w:name="pg5033_57045"/>
    </w:p>
    <w:p>
      <w:pPr>
        <w:pStyle w:val="Heading4"/>
        <w:numPr>
          <w:ilvl w:val="3"/>
          <w:numId w:val="1"/>
        </w:numPr>
        <w:rPr/>
      </w:pPr>
      <w:bookmarkStart w:id="47" w:name="__RefHeading___Toc668513_774463916"/>
      <w:bookmarkStart w:id="48" w:name="_Toc17"/>
      <w:bookmarkEnd w:id="46"/>
      <w:bookmarkEnd w:id="47"/>
      <w:r>
        <w:rPr>
          <w:rtl w:val="true"/>
        </w:rPr>
        <w:t>معنویت و معنای آن</w:t>
      </w:r>
      <w:bookmarkEnd w:id="48"/>
    </w:p>
    <w:p>
      <w:pPr>
        <w:pStyle w:val="BookText"/>
        <w:rPr/>
      </w:pPr>
      <w:r>
        <w:rPr>
          <w:rFonts w:ascii="IRNazanin" w:hAnsi="IRNazanin" w:eastAsia="IRNazanin"/>
          <w:color w:val="111111"/>
          <w:sz w:val="28"/>
          <w:sz w:val="28"/>
          <w:szCs w:val="28"/>
          <w:rtl w:val="true"/>
          <w:lang w:bidi="fa-IR"/>
        </w:rPr>
        <w:t>معنویت که مصدر جعلی معنوی است، در زبان فارسی استعمال‌های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راست، اصلی، ذاتی،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در مقابل جسمانی و مادی و صوری؛ باطنی در مقابل ظاهری و همین‌طور معناهایی که فقط با قلب شناخته می‌شود و زبان را از آن بهره‌ای نیست</w:t>
      </w:r>
      <w:r>
        <w:rPr>
          <w:rFonts w:eastAsia="IRNazanin" w:cs="IRNazanin"/>
          <w:color w:val="111111"/>
          <w:sz w:val="28"/>
          <w:szCs w:val="28"/>
          <w:rtl w:val="true"/>
          <w:lang w:bidi="fa-IR"/>
        </w:rPr>
        <w:t>.</w:t>
      </w:r>
      <w:r>
        <w:rPr>
          <w:rStyle w:val="FootnoteAnchor"/>
          <w:rtl w:val="true"/>
        </w:rPr>
        <w:footnoteReference w:id="2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مهم این است که معنویت با کاربرد امروزی آن، در کتاب‌های لغت و فرهنگ‌ها و متون دینی قرون اولیۀ اسلام، یافت نشده و واژه‌ای جدید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انگلیسی نیز برای این مفهوم از واژۀ </w:t>
      </w:r>
      <w:r>
        <w:rPr>
          <w:rFonts w:eastAsia="Times New Roman" w:cs="Times New Roman" w:ascii="Times New Roman" w:hAnsi="Times New Roman"/>
          <w:color w:val="111111"/>
          <w:sz w:val="28"/>
          <w:szCs w:val="28"/>
          <w:lang w:val="en-US" w:bidi="en-US"/>
        </w:rPr>
        <w:t>spirituality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استفاده شده که از واژۀ </w:t>
      </w:r>
      <w:r>
        <w:rPr>
          <w:rFonts w:eastAsia="Times New Roman" w:cs="Times New Roman" w:ascii="Times New Roman" w:hAnsi="Times New Roman"/>
          <w:color w:val="111111"/>
          <w:sz w:val="28"/>
          <w:szCs w:val="28"/>
          <w:lang w:val="en-US" w:bidi="en-US"/>
        </w:rPr>
        <w:t>spirit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و دلالت بر حقایق غیرجسمانی و غیرمادی دارد که در تضاد با منافع و علایق دنیوی قرار</w:t>
      </w:r>
    </w:p>
    <w:p>
      <w:pPr>
        <w:pStyle w:val="BookText"/>
        <w:rPr/>
      </w:pP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طی چند دهۀ گذشته به‌نحو بسیار مبهمی به‌کار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و کاربرد این کلمه در زبان‌های اروپایی کاملاً جدید است؛ یعنی در یک یا دو قرن گذشته بود که این کلمه در حلقه‌های کاتولیک برای اولین‌بار به‌کار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تنها اخیراً به‌صورت گسترده‌ای، غالباً به‌عنوان جایگزین دین و ازنظر بعضی در مقابل دین، به‌کار می‌رود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کلماتی که در زبان‌های شرقی برای دلالت بر معنویت به‌کار می‌روند، معمولاً نشان‌دهندۀ ریشه‌شناسی این واژه‌اند که مشتق از </w:t>
      </w:r>
      <w:r>
        <w:rPr>
          <w:rFonts w:eastAsia="Times New Roman" w:cs="Times New Roman" w:ascii="Times New Roman" w:hAnsi="Times New Roman"/>
          <w:color w:val="111111"/>
          <w:sz w:val="28"/>
          <w:szCs w:val="28"/>
          <w:lang w:val="en-US" w:bidi="en-US"/>
        </w:rPr>
        <w:t>spiritus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the spirit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زبان عربی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متداول برای معنویت است و این کلمه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p>
    <w:p>
      <w:pPr>
        <w:pStyle w:val="BookText"/>
        <w:rPr/>
      </w:pPr>
      <w:r>
        <w:rPr>
          <w:rFonts w:ascii="IRNazanin" w:hAnsi="IRNazanin" w:eastAsia="IRNazanin"/>
          <w:color w:val="111111"/>
          <w:sz w:val="28"/>
          <w:sz w:val="28"/>
          <w:szCs w:val="28"/>
          <w:rtl w:val="true"/>
          <w:lang w:bidi="fa-IR"/>
        </w:rPr>
        <w:t xml:space="preserve">دقیقاً به‌معنای </w:t>
      </w:r>
      <w:r>
        <w:rPr>
          <w:rFonts w:eastAsia="Times New Roman" w:cs="Times New Roman" w:ascii="Times New Roman" w:hAnsi="Times New Roman"/>
          <w:color w:val="111111"/>
          <w:sz w:val="28"/>
          <w:szCs w:val="28"/>
          <w:lang w:val="en-US" w:bidi="en-US"/>
        </w:rPr>
        <w:t>spiritus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بی‌آنکه معنای این کلمۀ عربی به‌هیچ‌وجه مبهم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جهان متجدد که یا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واقعیتی عینی و وجودشناسانه است، معنویت چه معنایی می‌تواند داشته باشد؟ این کلمه اغلب دربردارندۀ آرزویی مبهم برای معنا و تجربۀ امور نفس‌الامری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از بررسی اجمالی کاربردهای معنویت می‌توان به‌دست آورد که آنچه تاکنون از واژه‌های معنوی و معنویت در میان مسلمانان رایج بوده، به امور باطنی، غیرمادی، نامحسوس، آن‌جهانی، آخرتی، ملکوتی، خدایی،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دارد که در مقابل امور ظاهری، عادی، محسوس، این‌جهانی، زمینی، دنیایی، ملکی، انسانی، مشهود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معنویت به عالم غیب تعبیر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کریم آیات</w:t>
      </w:r>
    </w:p>
    <w:p>
      <w:pPr>
        <w:pStyle w:val="BookText"/>
        <w:rPr/>
      </w:pPr>
      <w:r>
        <w:rPr>
          <w:rFonts w:ascii="IRNazanin" w:hAnsi="IRNazanin" w:eastAsia="IRNazanin"/>
          <w:color w:val="111111"/>
          <w:sz w:val="28"/>
          <w:sz w:val="28"/>
          <w:szCs w:val="28"/>
          <w:rtl w:val="true"/>
          <w:lang w:bidi="fa-IR"/>
        </w:rPr>
        <w:t xml:space="preserve">زیادی راجع‌به امور معنوی، یعنی آن وجهۀ انسانی که از عالم غیب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به تعبیر برخی دین‌پژوهان معاصر، آنچه انسان معاصر بدان مبتلا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سیطرۀ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دغدغۀ حقیقت، بلکه گریز از حقیقت و قناعت به مجاز</w:t>
      </w:r>
      <w:r>
        <w:rPr>
          <w:rFonts w:eastAsia="IRNazanin" w:cs="IRNazanin"/>
          <w:color w:val="111111"/>
          <w:sz w:val="28"/>
          <w:szCs w:val="28"/>
          <w:rtl w:val="true"/>
          <w:lang w:bidi="fa-IR"/>
        </w:rPr>
        <w:t>... .</w:t>
      </w:r>
      <w:r>
        <w:rPr>
          <w:rStyle w:val="FootnoteAnchor"/>
          <w:rtl w:val="true"/>
        </w:rPr>
        <w:footnoteReference w:id="27"/>
      </w:r>
      <w:r>
        <w:rPr>
          <w:rFonts w:ascii="IRNazanin" w:hAnsi="IRNazanin" w:eastAsia="IRNazanin"/>
          <w:color w:val="111111"/>
          <w:sz w:val="28"/>
          <w:sz w:val="28"/>
          <w:szCs w:val="28"/>
          <w:rtl w:val="true"/>
          <w:lang w:bidi="fa-IR"/>
        </w:rPr>
        <w:t>بنابراین معنویت نیز در معنای حقیقی‌اش به‌کار نرفته است و آرامش، رضایت، شادی، امید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معنویت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معنای معنویت به عالم غیب و باطنِ وجود تعلق دارد و با عبور از عالم ظاهر و گذر از اعتباریات حاصل می‌شود و آرامش و امید و رضایت و شادی از آثار و نشانه‌های معنویت راستین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انسان معناگرا، به‌معنایی که گفته شد، آرامش پایدار و امید صادق و رضایت</w:t>
      </w:r>
    </w:p>
    <w:p>
      <w:pPr>
        <w:pStyle w:val="BookText"/>
        <w:rPr/>
      </w:pPr>
      <w:r>
        <w:rPr>
          <w:rFonts w:ascii="IRNazanin" w:hAnsi="IRNazanin" w:eastAsia="IRNazanin"/>
          <w:color w:val="111111"/>
          <w:sz w:val="28"/>
          <w:sz w:val="28"/>
          <w:szCs w:val="28"/>
          <w:rtl w:val="true"/>
          <w:lang w:bidi="fa-IR"/>
        </w:rPr>
        <w:t>مبتنی‌بر عقلانیت و تلاش و شادی حقیقی و استوار دارد، نه آرامش کاذب و امید واهی و شادی گذرا و خیالی و رضایت غیرعقلانی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در ارتباط با خدا که منبع و منشأ همۀ کمالات و خیرات است و عالم و آدم تحت تدبیر و ولایت اوست، معنای واقعی و مبنای راستین می‌یابد و انسان را به کمال امکانی‌اش می‌رساند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واژۀ معنویت را در دنیای معاصر کالبدشکافی کرد و با بررسی مؤلفه‌ها، ویژگی‌ها، کارکردها، ثمرات، عوامل و مصادیق آن، تعریف نسبتاً جامعی از آن به‌دست آورد</w:t>
      </w:r>
      <w:r>
        <w:rPr>
          <w:rFonts w:eastAsia="IRNazanin" w:cs="IRNazanin"/>
          <w:color w:val="111111"/>
          <w:sz w:val="28"/>
          <w:szCs w:val="28"/>
          <w:rtl w:val="true"/>
          <w:lang w:bidi="fa-IR"/>
        </w:rPr>
        <w:t>.</w:t>
      </w:r>
      <w:bookmarkStart w:id="49" w:name="pg5033_57050"/>
    </w:p>
    <w:p>
      <w:pPr>
        <w:pStyle w:val="Heading2"/>
        <w:numPr>
          <w:ilvl w:val="1"/>
          <w:numId w:val="1"/>
        </w:numPr>
        <w:rPr/>
      </w:pPr>
      <w:bookmarkStart w:id="50" w:name="__RefHeading___Toc668515_774463916"/>
      <w:bookmarkStart w:id="51" w:name="_Toc18"/>
      <w:bookmarkEnd w:id="49"/>
      <w:bookmarkEnd w:id="50"/>
      <w:r>
        <w:rPr>
          <w:rtl w:val="true"/>
        </w:rPr>
        <w:t>فصل اول</w:t>
      </w:r>
      <w:r>
        <w:rPr>
          <w:rtl w:val="true"/>
        </w:rPr>
        <w:t xml:space="preserve">: </w:t>
      </w:r>
      <w:r>
        <w:rPr>
          <w:rtl w:val="true"/>
        </w:rPr>
        <w:t>معنویت حقیقی و مجازی</w:t>
      </w:r>
      <w:bookmarkEnd w:id="51"/>
    </w:p>
    <w:p>
      <w:pPr>
        <w:pStyle w:val="Heading3"/>
        <w:numPr>
          <w:ilvl w:val="2"/>
          <w:numId w:val="1"/>
        </w:numPr>
        <w:rPr/>
      </w:pPr>
      <w:bookmarkStart w:id="52" w:name="__RefHeading___Toc668517_774463916"/>
      <w:bookmarkStart w:id="53" w:name="_Toc19"/>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تصویر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2"/>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5"/>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56" o:detectmouseclick="t"/>
                <v:stroke color="#3465a4" joinstyle="round" endcap="flat"/>
                <w10:wrap type="none"/>
              </v:shape>
            </w:pict>
          </mc:Fallback>
        </mc:AlternateContent>
      </w:r>
      <w:bookmarkStart w:id="54" w:name="pg5033_57052"/>
    </w:p>
    <w:p>
      <w:pPr>
        <w:pStyle w:val="Heading3"/>
        <w:numPr>
          <w:ilvl w:val="2"/>
          <w:numId w:val="1"/>
        </w:numPr>
        <w:rPr/>
      </w:pPr>
      <w:bookmarkStart w:id="55" w:name="__RefHeading___Toc668519_774463916"/>
      <w:bookmarkStart w:id="56" w:name="_Toc20"/>
      <w:bookmarkEnd w:id="54"/>
      <w:bookmarkEnd w:id="55"/>
      <w:r>
        <w:rPr/>
        <w:t>1/1</w:t>
      </w:r>
      <w:r>
        <w:rPr>
          <w:rtl w:val="true"/>
        </w:rPr>
        <w:t xml:space="preserve">. </w:t>
      </w:r>
      <w:r>
        <w:rPr>
          <w:rtl w:val="true"/>
        </w:rPr>
        <w:t>معنویت در گذر زمان</w:t>
      </w:r>
      <w:bookmarkEnd w:id="5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پدیده‌های نوظهور که در ادبیات غرب پدید آمد و به جنبش‌های نوپدید دینی موسوم شد، به این نام‌های مخت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دوران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Cult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New Religious Movements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به‌صورت مخففِ </w:t>
      </w:r>
      <w:r>
        <w:rPr>
          <w:rFonts w:eastAsia="Times New Roman" w:cs="Times New Roman" w:ascii="Times New Roman" w:hAnsi="Times New Roman"/>
          <w:color w:val="111111"/>
          <w:sz w:val="28"/>
          <w:szCs w:val="28"/>
          <w:lang w:val="en-US" w:bidi="en-US"/>
        </w:rPr>
        <w:t>N.R.M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جنبش‌ها اگرچه در غرب زاده شدند، در شرق ازجمله هند و چین و کره و ایران نیز ترویج شده‌اند که مورد توجه دین‌پژوهان، روان‌شناسان، جامعه‌شناسان، مردم‌شناسان، جرم‌شناسان و سیاست‌مداران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پدیدۀ دین عصر جدید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New Age Religion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معنویت مدرن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Modern Spirituality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در جهان معاصر مطرح‌اند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اشتراک‌ها و افتراق‌هایی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زمینه‌های نظری‌تئوریک و بسترهای عملی‌پراتیکِ ظهور و گسترش چنین جریان‌ها و پدیده‌هایی نیز باید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9"/>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60" o:detectmouseclick="t"/>
                <v:stroke color="#3465a4" joinstyle="round" endcap="flat"/>
                <w10:wrap type="none"/>
              </v:shape>
            </w:pict>
          </mc:Fallback>
        </mc:AlternateContent>
      </w:r>
      <w:bookmarkStart w:id="57" w:name="pg5033_57054"/>
    </w:p>
    <w:p>
      <w:pPr>
        <w:pStyle w:val="BookText"/>
        <w:rPr/>
      </w:pPr>
      <w:bookmarkEnd w:id="57"/>
      <w:r>
        <w:rPr>
          <w:rFonts w:ascii="IRNazanin" w:hAnsi="IRNazanin" w:eastAsia="IRNazanin"/>
          <w:color w:val="111111"/>
          <w:sz w:val="28"/>
          <w:sz w:val="28"/>
          <w:szCs w:val="28"/>
          <w:rtl w:val="true"/>
          <w:lang w:bidi="fa-IR"/>
        </w:rPr>
        <w:t>موقعیت غرب و جریان معنویت در مثلث قبل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معنویت در غرب، با مبانی و رویکردهای خاص، همواره گرفتار اوج‌وحضیض‌ها و نیز گرایش وگریزها بوده است و امروزه ادیان بدوی از سِحرگرایی و مانا و فتیش‌پرستی تا انیمیسم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جنبش‌های جدید معنویت‌گرا رشد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نگاهی آماری تعداد این جنبش‌ها در آغاز دهۀ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م نزدیک به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فرقه و در آغاز دهۀ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م در حدود </w:t>
      </w: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xml:space="preserve"> فرقه بود و امروز به بیش از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 جنبش و فرقه به‌صورت‌های شبه‌عرفانی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و انگلیس بیشترین سهم را در پدیدآمدن چنین جنبش‌های نوظهوری دارند</w:t>
      </w:r>
      <w:r>
        <w:rPr>
          <w:rFonts w:eastAsia="IRNazanin" w:cs="IRNazanin"/>
          <w:color w:val="111111"/>
          <w:sz w:val="28"/>
          <w:szCs w:val="28"/>
          <w:rtl w:val="true"/>
          <w:lang w:bidi="fa-IR"/>
        </w:rPr>
        <w:t>.</w:t>
      </w:r>
    </w:p>
    <w:p>
      <w:pPr>
        <w:pStyle w:val="Heading3"/>
        <w:numPr>
          <w:ilvl w:val="2"/>
          <w:numId w:val="1"/>
        </w:numPr>
        <w:rPr/>
      </w:pPr>
      <w:bookmarkStart w:id="58" w:name="__RefHeading___Toc668521_774463916"/>
      <w:bookmarkStart w:id="59" w:name="_Toc21"/>
      <w:bookmarkEnd w:id="58"/>
      <w:r>
        <w:rPr/>
        <w:t>۱</w:t>
      </w:r>
      <w:r>
        <w:rPr/>
        <w:t>.</w:t>
      </w:r>
      <w:r>
        <w:rPr/>
        <w:t>۲</w:t>
      </w:r>
      <w:r>
        <w:rPr>
          <w:rtl w:val="true"/>
        </w:rPr>
        <w:t xml:space="preserve">. </w:t>
      </w:r>
      <w:r>
        <w:rPr>
          <w:rtl w:val="true"/>
        </w:rPr>
        <w:t>معنویت در اندیشۀ اسلامی</w:t>
      </w:r>
      <w:bookmarkEnd w:id="59"/>
    </w:p>
    <w:p>
      <w:pPr>
        <w:pStyle w:val="Heading4"/>
        <w:numPr>
          <w:ilvl w:val="3"/>
          <w:numId w:val="1"/>
        </w:numPr>
        <w:rPr/>
      </w:pPr>
      <w:bookmarkStart w:id="60" w:name="__RefHeading___Toc668523_774463916"/>
      <w:bookmarkStart w:id="61" w:name="_Toc22"/>
      <w:bookmarkEnd w:id="60"/>
      <w:r>
        <w:rPr>
          <w:rtl w:val="true"/>
        </w:rPr>
        <w:t>اشاره</w:t>
      </w:r>
      <w:bookmarkEnd w:id="6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مفاهیمی که در معرفت دینی نقش محوری و زیربنایی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معنویت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عالم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عالم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عین اهمیت جهان ماده و عالم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 و شهادت؛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جهان و جهان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مفهومی است که بار معرفت‌شناختی و هستی‌شناختی و روان‌شناختی دارد و نظام احسَن خلقت و خلقت ویژۀ انسان را تفسیر می‌کند؛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غیب‌گروی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گفتمان حاکم بر معنویت دینی و اسلامی است که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تجلّی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شهیدمطهری ضمن بحث از غیب و شهادت، از حیث مفهوم‌شناختی، به رابطۀ انسان با جهان غیب و نقش ایمان به آن 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هدایت قرآن این است که به انسان، ایمان به غیب می‌دهد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سپس از حیث جهان‌بینی از آن بحث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رسالت قرآن مجید این است که انسان را از این دیدگاه تنگ بیرون آورَد و او را آگاه و مؤمن سازد که آنچه به‌صورت شهادت احساس می‌کند، قشر نازکی از هستی است و در ماورای آن، دریای عظیم و بی‌نهایت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نمونۀ غیب برای انسان،</w:t>
      </w:r>
    </w:p>
    <w:p>
      <w:pPr>
        <w:pStyle w:val="BookText"/>
        <w:rPr/>
      </w:pPr>
      <w:r>
        <w:rPr>
          <w:rFonts w:ascii="IRNazanin" w:hAnsi="IRNazanin" w:eastAsia="IRNazanin"/>
          <w:color w:val="111111"/>
          <w:sz w:val="28"/>
          <w:sz w:val="28"/>
          <w:szCs w:val="28"/>
          <w:rtl w:val="true"/>
          <w:lang w:bidi="fa-IR"/>
        </w:rPr>
        <w:t>خود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و تن ما برای خودمان محسوس است و ما بر روان خود نیز آگاه هستیم و این دو قسمت برای ما شهادت است؛ ولی نسبت به دیگران، روان آن‌ها برای ما محسوس نیست، بلکه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در روان‌شناسی امروز مطرح است که انسان غیب دیگری دارد که حتی بر خودش نیز مخفی است و نام آن را روان ناخودآگاه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مطلب را راجع‌به کلّ عالم می‌گوید و جهان‌بینی تازه‌ای به انسان می‌بخشد؛ ملائکه، لوح محفوظ، عرش، کرسی، این‌ها مربوط به غیب و باطن این عالم‌اند</w:t>
      </w:r>
      <w:r>
        <w:rPr>
          <w:rFonts w:eastAsia="IRNazanin" w:cs="IRNazanin"/>
          <w:color w:val="111111"/>
          <w:sz w:val="28"/>
          <w:szCs w:val="28"/>
          <w:rtl w:val="true"/>
          <w:lang w:bidi="fa-IR"/>
        </w:rPr>
        <w:t>... .»</w:t>
      </w:r>
      <w:r>
        <w:rPr>
          <w:rStyle w:val="FootnoteAnchor"/>
          <w:rtl w:val="true"/>
        </w:rPr>
        <w:footnoteReference w:id="3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ازسوی‌دیگر استاد شهید بحث بسیار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آزادی معنوی یعنی اینکه انسان در درون خودش موجود آزادی باشد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به‌تعبیر استاد شهیدمطهری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برنامۀ انبیا، آزادی معنوی است، اصلاً تزکیۀ نفس یعنی آزادی معنوی</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معنویت درونی و بیرونی رابطۀ متقابل و مکمل هم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مجاهدۀ درونی از مجاهدۀ بیرونی حساب جدایی ندارد؛ نه اینکه یک‌سری کارها، کارهای بیرونی باشد و یک‌سری، کارهای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دنیای بیرون تعلق داشته باشد و آن به دنیای درون و به‌این‌ترتیب انسان باید یا برون‌گرا باشد یا درون‌گرا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ارزش قرآن به این است که این دو را از یکدیگر جدا نمی‌کند</w:t>
      </w:r>
      <w:r>
        <w:rPr>
          <w:rFonts w:eastAsia="IRNazanin" w:cs="IRNazanin"/>
          <w:color w:val="111111"/>
          <w:sz w:val="28"/>
          <w:szCs w:val="28"/>
          <w:rtl w:val="true"/>
          <w:lang w:bidi="fa-IR"/>
        </w:rPr>
        <w:t>.»</w:t>
      </w:r>
      <w:r>
        <w:rPr>
          <w:rStyle w:val="FootnoteAnchor"/>
          <w:rtl w:val="true"/>
        </w:rPr>
        <w:footnoteReference w:id="3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معنویت براساس اعتقاد به ماورای عالم و جهان غیب و باورهای باطنی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به‌این‌معناکه انسان به ماورای حس و جهان فیزیک اعتقاد داشته باشد، جهان ماده را از معنا، صورت را از سیرت و ظاهر را از باطن، جدا نداند؛ بلکه براساس تفکر اصیل اسلامی، میان</w:t>
      </w:r>
    </w:p>
    <w:p>
      <w:pPr>
        <w:pStyle w:val="BookText"/>
        <w:rPr/>
      </w:pPr>
      <w:r>
        <w:rPr>
          <w:rFonts w:ascii="IRNazanin" w:hAnsi="IRNazanin" w:eastAsia="IRNazanin"/>
          <w:color w:val="111111"/>
          <w:sz w:val="28"/>
          <w:sz w:val="28"/>
          <w:szCs w:val="28"/>
          <w:rtl w:val="true"/>
          <w:lang w:bidi="fa-IR"/>
        </w:rPr>
        <w:t>ملک و ملکوت و شهود و غیب پیوند برقرار سازد و به تعدیل نسبت ماده و معنا معتقد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معنویت، پاسخ مثبت به نیازهای درونی و گرایش‌های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پیوند انسان با خدا و عالم باطن است و نیز معنویت، اصالت‌دادن به معنا و متافیزیک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یعنی اینکه انسان براساس جهان‌بینی توحیدی، به مبدأ و معاد باور داشته باشد و خودش را در برابر خود، خدا، جامعه و جهان، مسئول و پاسخ‌گو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ارتباط روحی با معبود است از طریق نماز و رازونیاز و در همه‌چیز و با همه‌چیز خدا را منظورداشتن و انگیزه و اندیشه را الهی‌کردن و انگیخته‌ها را رنگ و رایحۀ خدایی‌دادن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پیامبران آمده‌اند که به بشر آن‌گونه بینش و جهان‌بینی بدهند که بشر تاآنجاکه برایش مقدور است، تصوری، هرچند مُجمل، از مجموع نظام آفرینش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و آفرینش محدود به امور حس‌کردنی و لمس‌کردنی که در حوزۀ علوم حسی و تجربی است،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می‌خواهند بینش انسان را از محسوس تا معقول و از آشکار تا نهان</w:t>
      </w:r>
    </w:p>
    <w:p>
      <w:pPr>
        <w:pStyle w:val="BookText"/>
        <w:rPr/>
      </w:pPr>
      <w:r>
        <w:rPr>
          <w:rFonts w:ascii="IRNazanin" w:hAnsi="IRNazanin" w:eastAsia="IRNazanin"/>
          <w:color w:val="111111"/>
          <w:sz w:val="28"/>
          <w:sz w:val="28"/>
          <w:szCs w:val="28"/>
          <w:rtl w:val="true"/>
          <w:lang w:bidi="fa-IR"/>
        </w:rPr>
        <w:t>و از محدود تا نامحدود بالا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موج اندیشه‌های محدود مادی و حسی که از مغرب‌زمین برخاسته، به آنجا کشیده که گروهی اصرار دارند همۀ مفاهیم عالی و وسیع و گستردۀ جهان‌بینی اسلامی را تا سطح محسوسات و مادیات تنزل دهند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همواره دروازۀ معنویت و غیب و ملکوت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انسانیت را از سقوط نجات دهند و درعین‌حال معنویت دینی را به‌حال خود 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تناقضی که در اومانیسم وجود دارد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همچنین، بجاست به دو تعبیر از استاد شهیدمطهری که هرکدام اصول و فرمول‌هایی برای معنویت‌شناسی اسلامی و حقیقی‌اند، توجه کنیم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قرآن، معنویت پایۀ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عبادات که در اسلام بر روی آن</w:t>
      </w:r>
    </w:p>
    <w:p>
      <w:pPr>
        <w:pStyle w:val="BookText"/>
        <w:rPr/>
      </w:pPr>
      <w:r>
        <w:rPr>
          <w:rFonts w:ascii="IRNazanin" w:hAnsi="IRNazanin" w:eastAsia="IRNazanin"/>
          <w:color w:val="111111"/>
          <w:sz w:val="28"/>
          <w:sz w:val="28"/>
          <w:szCs w:val="28"/>
          <w:rtl w:val="true"/>
          <w:lang w:bidi="fa-IR"/>
        </w:rPr>
        <w:t>تکیه شده است، برای تقویت جنبۀ معنوی روح انسان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نظر اسلام، انسان یک حقیقتی است که نفخۀ الهی در او دمیده شده و از دنیای دیگری آمده است و با اشیایی که در طبیعت وجود دارد، تجانس کامل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دنیا، یک نوع احساس غربت و احساس بیگانگی و عدم تجانس با همۀ موجودات عالم می‌کند؛ چون همه فانی و متغیر و غیرقابل‌دلبستگی هستند؛ ولی در انسان دغدغۀ جاودانگی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 همان است که انسان را به عبادت و پرستش خدا و رازونیاز به خدا و به اصل خود نزدیک‌شدن می‌کشاند</w:t>
      </w:r>
      <w:r>
        <w:rPr>
          <w:rFonts w:eastAsia="IRNazanin" w:cs="IRNazanin"/>
          <w:color w:val="111111"/>
          <w:sz w:val="28"/>
          <w:szCs w:val="28"/>
          <w:rtl w:val="true"/>
          <w:lang w:bidi="fa-IR"/>
        </w:rPr>
        <w:t>.»</w:t>
      </w:r>
      <w:r>
        <w:rPr>
          <w:rStyle w:val="FootnoteAnchor"/>
          <w:rtl w:val="true"/>
        </w:rPr>
        <w:footnoteReference w:id="3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انسانِ اسلام، درد خدا و درد خلق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خود و جامعۀ خویش دارد و نظام اسلامی نیز باید برنامه‌ها و استراتژی‌ها و راهبردهایش به درد فرد و درد جامعه معطوف</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یعنی با درد خدایی، درد بندگان خدا را داشته باشد و زمینه‌ها را به‌گونه‌ای هماهنگ، مدیریت کند که عامل صعود فرد و جامعه و تحقق رشد، فلاح، صلاح و سعادت آدمیان شود و برای اشاعۀ اخلاق الهی و معنویت اسلامی گام بردارد؛ به‌بیان‌دیگر، اقتصاد، سیاست، هنر، آموزش، صنعت و تکنولوژی نظام اسلامی باید روح و رایحۀ اسلام ناب و معنویت و ارزش‌ها را داشته باشد؛ چنان‌که مهم‌ترین دغدغه‌های حاکم علی‌الاطلاق اسلامی در نظام الهی و توحیدی که بنا کرده، درد هدایت، درد معنویت و معرفت و درد بینش‌هاست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ازنظر استاد شهیدمطهری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با حق سبحانه در شکل‌گیری و تداوم معنویت، اصالت و اعتبار دارد؛ آن‌هم ایمانی که قرین و رهین عمل صالح قرار گیرد تا رشد تکاملی انسان معنادار شود؛ چنان‌که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اِلَیهِ یصْعَدُ الْکلِمُ الطَّیبُ وَ الْعَمَلُ الصَّالِحُ یرْفَعُهُ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به‌سوی او سخنان پاکیزه صعود می‌کند و او عمل صالح را بالا می برد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پس ایمان، به عمل انسان ارزش می‌دهد و عمل صالح ایمان را صعود می‌دهد و هر دو در کمال هم نقش اصلی را ایفا می‌کنند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به‌همین‌دلیل، دانستن و شناختن و فهم حقیقت به‌تنهایی کفایت نمی‌کند؛ بلکه ایمان به آن و تسلیم‌شدن در برابر آن نیز لازم است</w:t>
      </w:r>
      <w:r>
        <w:rPr>
          <w:rFonts w:eastAsia="IRNazanin" w:cs="IRNazanin"/>
          <w:color w:val="111111"/>
          <w:sz w:val="28"/>
          <w:szCs w:val="28"/>
          <w:rtl w:val="true"/>
          <w:lang w:bidi="fa-IR"/>
        </w:rPr>
        <w:t>.</w:t>
      </w:r>
      <w:r>
        <w:rPr>
          <w:rStyle w:val="FootnoteAnchor"/>
          <w:rtl w:val="true"/>
        </w:rPr>
        <w:footnoteReference w:id="4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چنین رهیافتی است که شهیدمطهری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منهای خدا و شریعت را چنین به نقد می‌کشد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نوع اخلاق، نه نام خدا در میان است، نه نام غیب و ماوراءالطبیعه و نه نام پیامبر و دین و ایمان؛ معنویت اخلاقی یعنی اینکه</w:t>
      </w:r>
      <w:bookmarkStart w:id="62" w:name="pg5033_57063"/>
    </w:p>
    <w:p>
      <w:pPr>
        <w:pStyle w:val="BookText"/>
        <w:rPr/>
      </w:pPr>
      <w:bookmarkEnd w:id="62"/>
      <w:r>
        <w:rPr>
          <w:rFonts w:ascii="IRNazanin" w:hAnsi="IRNazanin" w:eastAsia="IRNazanin"/>
          <w:color w:val="111111"/>
          <w:sz w:val="28"/>
          <w:sz w:val="28"/>
          <w:szCs w:val="28"/>
          <w:rtl w:val="true"/>
          <w:lang w:bidi="fa-IR"/>
        </w:rPr>
        <w:t>انانیّت و منیّت از بین برود، جان‌ها با یکدیگر متحد شوند و اتحاد و وحدت در کار بیاید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به‌همین‌دلیل استاد شهید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انسان و تأمین سعادت حقیقی، اعم از سعادت فردی و اجتماعی و مادی و معنوی، تأکید کرده‌اند</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63" w:name="__RefHeading___Toc668525_774463916"/>
      <w:bookmarkStart w:id="64" w:name="_Toc23"/>
      <w:bookmarkEnd w:id="63"/>
      <w:r>
        <w:rPr/>
        <w:t>۱</w:t>
      </w:r>
      <w:r>
        <w:rPr/>
        <w:t>.</w:t>
      </w:r>
      <w:r>
        <w:rPr/>
        <w:t>۲</w:t>
      </w:r>
      <w:r>
        <w:rPr/>
        <w:t>.</w:t>
      </w:r>
      <w:r>
        <w:rPr/>
        <w:t>۱</w:t>
      </w:r>
      <w:r>
        <w:rPr>
          <w:rtl w:val="true"/>
        </w:rPr>
        <w:t xml:space="preserve">. </w:t>
      </w:r>
      <w:r>
        <w:rPr>
          <w:rtl w:val="true"/>
        </w:rPr>
        <w:t>معنویت منفی و راه ایجاد آن</w:t>
      </w:r>
      <w:bookmarkEnd w:id="64"/>
    </w:p>
    <w:p>
      <w:pPr>
        <w:pStyle w:val="BookText"/>
        <w:rPr/>
      </w:pPr>
      <w:r>
        <w:rPr>
          <w:rFonts w:ascii="IRNazanin" w:hAnsi="IRNazanin" w:eastAsia="IRNazanin"/>
          <w:color w:val="111111"/>
          <w:sz w:val="28"/>
          <w:sz w:val="28"/>
          <w:szCs w:val="28"/>
          <w:rtl w:val="true"/>
          <w:lang w:bidi="fa-IR"/>
        </w:rPr>
        <w:t>استاد مطهری در تحلیل ایجایی می‌فرماید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گفت معنویت در این حد که همه آن را قبول دارند، یک مفهوم منفی است؛ یعنی منظور از آن نبودنِ یک‌سلسله از امور است؛ اگر جامعۀ انسانی و افراد آن به مرحله‌ای برسند که خودپرست، خودخواه و سودجو نباشند، تعصب نژادی، منطقه‌ای و حتی مذهبی نداشته باشند، این نیستی‌ها به‌عنوان معنویت به‌حساب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تلقی از معنویت، اگر</w:t>
      </w:r>
    </w:p>
    <w:p>
      <w:pPr>
        <w:pStyle w:val="BookText"/>
        <w:rPr/>
      </w:pPr>
      <w:r>
        <w:rPr>
          <w:rFonts w:ascii="IRNazanin" w:hAnsi="IRNazanin" w:eastAsia="IRNazanin"/>
          <w:color w:val="111111"/>
          <w:sz w:val="28"/>
          <w:sz w:val="28"/>
          <w:szCs w:val="28"/>
          <w:rtl w:val="true"/>
          <w:lang w:bidi="fa-IR"/>
        </w:rPr>
        <w:t xml:space="preserve">این قیدها نباشد، درآن‌صورت افراد جامعۀ بشری همه برادروار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خواهند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به‌کلّی ازبین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نکتۀ جالبی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پیروان این طرز تفکر سؤال کنیم که چگونه می‌توان این معنویت منفی را ایجاد کرد،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ذات خودش این صفات را ندارد و یک موجود اجتماعی، یا به‌تعبیر مارکس، ژنریک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خودخواهی و سودجویی و خودپرستی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پیدا می‌شود،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ریشۀ همۀ این‌ها در مالکیت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ابتدا به‌صورت یک کل و در یک وحدت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مرزی میان خود و دیگران قائل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من و تو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وقتی که مالکیت پیدا شد، انانیت و منیّت هم پیدا شد و اگر بتوانیم مالکیت را از میان ببریم، معنویت نیز، البته با تعریفی که کردیم، حکم‌فرما خواهد 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مالکیت یعنی اینکه اشیا و ابزارهای زندگی و سازندگی به انسان تعلق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من، اتومبیل من، مغازۀ من، سرمایۀ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تعلق اشیا به انسان‌ها</w:t>
      </w:r>
    </w:p>
    <w:p>
      <w:pPr>
        <w:pStyle w:val="BookText"/>
        <w:rPr/>
      </w:pPr>
      <w:r>
        <w:rPr>
          <w:rFonts w:ascii="IRNazanin" w:hAnsi="IRNazanin" w:eastAsia="IRNazanin"/>
          <w:color w:val="111111"/>
          <w:sz w:val="28"/>
          <w:sz w:val="28"/>
          <w:szCs w:val="28"/>
          <w:rtl w:val="true"/>
          <w:lang w:bidi="fa-IR"/>
        </w:rPr>
        <w:t>، آن‌ها را به‌صورت من‌هایی جدا از یکدیگر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تعلق‌ها در کار نبود، وقتی که به‌عوض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بود، معنویت در کار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به‌این‌ترتیب در این نوع اخلاق، نه نام خدا در میان است، نه نام غیب و ماوراءالطبیعه و نه نام پیامبر و دین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اخلاقی یعنی اینکه انانیت و منیت از بین برود، جان‌ها با یکدیگر متحد شوند و اتحاد و وحدت در کار بیاید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این نظر، نظر مخالفی هم وجود دارد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منشأ منیت‌ها را تعلق اشیا به انسان بدانیم، نفی مالکیت و نفی این تعلق‌ها در همه موارد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این کار را در مورد ثروت انجام دادیم و وضع به‌صورتی درآمد که دیگر خانۀ من، اتومبیل من، درآمد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نبود، با سایر امور چه خواهیم کرد؟ یک جامعه بالطبع پُست‌ها و سلسله‌مراتب مختلف و متفاوتی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فی‌المثل حزب احتیاج به رهبر دارد؛ رهبر یا دبیرکل حزب خواه‌ناخواه یک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دیگر هم به حساب مراتب و درجات خود متفاوت‌اند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در مورد دولت، پست‌ها و مشاغل متفاوتی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به‌این‌ترتیب حتی در اشتراکی‌ترین جامعه‌ها، باز بعضی از افراد ازنظر شهرت و معروفیت و محبوبیت جلو می‌افتند و بعضی دیگر در زاویۀ گمنامی باقی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ازاین‌مهم‌تر در مورد مسائل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و شوهر نیز باید اشتراکی باشند و زن من و شوهر من در کار نباشد، یعنی اشتراک مالی باید به اشتراک جنسی منتهی شود؟ می‌دانیم که این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خلاصه اگر اضافه و تعلق اشیا به انسان، انسان را تجزیه می‌کند و به انسان انانیت می‌دهد، درهرحال تعلق‌هایی وجود دارد که به‌هیچ‌روی قطع‌شدنی نیست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ازسوی‌دیگر آنچه انسان را تجزیه می‌کند و معنویت، به تعبیر شما، را از او می‌گیرد، تعلق اشیا به انسان نیست بلکه تعلق انسان به اشیاست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انسان به اشیا یعنی آن علقه و وابستگی درونی که در زبان دین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این خانه وابسته شدم، آن‌وقت است که از انسان‌های دیگر جدا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به‌جای خانۀ من،</w:t>
      </w:r>
    </w:p>
    <w:p>
      <w:pPr>
        <w:pStyle w:val="BookText"/>
        <w:rPr/>
      </w:pPr>
      <w:r>
        <w:rPr>
          <w:rFonts w:ascii="IRNazanin" w:hAnsi="IRNazanin" w:eastAsia="IRNazanin"/>
          <w:color w:val="111111"/>
          <w:sz w:val="28"/>
          <w:sz w:val="28"/>
          <w:szCs w:val="28"/>
          <w:rtl w:val="true"/>
          <w:lang w:bidi="fa-IR"/>
        </w:rPr>
        <w:t>تصویر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75"/>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76" o:detectmouseclick="t"/>
                <v:stroke color="#3465a4" joinstyle="round" endcap="flat"/>
                <w10:wrap type="none"/>
              </v:shape>
            </w:pict>
          </mc:Fallback>
        </mc:AlternateContent>
      </w:r>
      <w:bookmarkStart w:id="65" w:name="pg5033_57068"/>
    </w:p>
    <w:p>
      <w:pPr>
        <w:pStyle w:val="BookText"/>
        <w:rPr/>
      </w:pPr>
      <w:bookmarkEnd w:id="65"/>
      <w:r>
        <w:rPr>
          <w:rFonts w:ascii="IRNazanin" w:hAnsi="IRNazanin" w:eastAsia="IRNazanin"/>
          <w:color w:val="111111"/>
          <w:sz w:val="28"/>
          <w:sz w:val="28"/>
          <w:szCs w:val="28"/>
          <w:rtl w:val="true"/>
          <w:lang w:bidi="fa-IR"/>
        </w:rPr>
        <w:t>می‌شوم منِ خانه، یعنی منِ وابسته به این خانه، منِ بنده و بردۀ این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آنجاکه مضاف و مضافٌ‌الیه است، انسان اگر مضافٌ‌الیه واقع شود، تکه‌تکه و تجزیه نمی‌شود و اگر مضاف واقع شود، به‌وسیلۀ مضافٌ‌الیه‌اش خرد می‌شود و ازبین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عوض اینکه مالکیت انسان را از اشیا سلب کنیم، باید مملوکیت انسان نسبت به اشیا را ازبین ببریم؛ یعنی باید انسان را در درجۀ اول از درون اصلاح کنیم، نه‌آنکه صرفاً تغییراتی از برون برای او ایجاد کنیم</w:t>
      </w:r>
      <w:r>
        <w:rPr>
          <w:rFonts w:eastAsia="IRNazanin" w:cs="IRNazanin"/>
          <w:color w:val="111111"/>
          <w:sz w:val="28"/>
          <w:szCs w:val="28"/>
          <w:rtl w:val="true"/>
          <w:lang w:bidi="fa-IR"/>
        </w:rPr>
        <w:t>.</w:t>
      </w:r>
    </w:p>
    <w:p>
      <w:pPr>
        <w:pStyle w:val="Heading4"/>
        <w:numPr>
          <w:ilvl w:val="3"/>
          <w:numId w:val="1"/>
        </w:numPr>
        <w:rPr/>
      </w:pPr>
      <w:bookmarkStart w:id="66" w:name="__RefHeading___Toc668527_774463916"/>
      <w:bookmarkStart w:id="67" w:name="_Toc24"/>
      <w:bookmarkEnd w:id="66"/>
      <w:r>
        <w:rPr/>
        <w:t>2.</w:t>
      </w:r>
      <w:r>
        <w:rPr/>
        <w:t>۲</w:t>
      </w:r>
      <w:r>
        <w:rPr/>
        <w:t>.1</w:t>
      </w:r>
      <w:r>
        <w:rPr>
          <w:rtl w:val="true"/>
        </w:rPr>
        <w:t xml:space="preserve">. </w:t>
      </w:r>
      <w:r>
        <w:rPr>
          <w:rtl w:val="true"/>
        </w:rPr>
        <w:t>بندگی خدا؛ راه اصلاح درون</w:t>
      </w:r>
      <w:bookmarkEnd w:id="6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سؤال مطرح می‌شود که با چه وسیله‌ای می‌توان مملوکیت انسان نسبت به اشیا را از بین برد؟ پاسخ این است که از راه بنده‌کردن انسان نسبت به حقیقتی که جزو فطرت اوست، حقیقتی که پدیدآورندۀ اوست و انسان به او عشق ذاتی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 در عین اینکه بندگی است، وابستگی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به یک امرِ محدود است که انسان را محدود و کوچک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به یک امر نامحدود و تکیه به آن، عین</w:t>
      </w:r>
    </w:p>
    <w:p>
      <w:pPr>
        <w:pStyle w:val="BookText"/>
        <w:rPr/>
      </w:pPr>
      <w:r>
        <w:rPr>
          <w:rFonts w:ascii="IRNazanin" w:hAnsi="IRNazanin" w:eastAsia="IRNazanin"/>
          <w:color w:val="111111"/>
          <w:sz w:val="28"/>
          <w:sz w:val="28"/>
          <w:szCs w:val="28"/>
          <w:rtl w:val="true"/>
          <w:lang w:bidi="fa-IR"/>
        </w:rPr>
        <w:t>وارستگی و عدم محدودیت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 حافظ از آن زلف تاب‌دار مباد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بستگان کمند تو رستگاران‌اند</w:t>
      </w:r>
    </w:p>
    <w:p>
      <w:pPr>
        <w:pStyle w:val="BookText"/>
        <w:rPr/>
      </w:pPr>
      <w:r>
        <w:rPr>
          <w:rFonts w:ascii="IRNazanin" w:hAnsi="IRNazanin" w:eastAsia="IRNazanin"/>
          <w:color w:val="111111"/>
          <w:sz w:val="28"/>
          <w:sz w:val="28"/>
          <w:szCs w:val="28"/>
          <w:rtl w:val="true"/>
          <w:lang w:bidi="fa-IR"/>
        </w:rPr>
        <w:t>آن‌ها که با ادبیات عرفانی ما آشنا هستند، می‌دانند که در ادبیات عرفانی، معنویت را در رهایی انسان از مملوکیت نسبت به اشیا می‌دانند، نه در رهایی اشیا از مملوکیت نسبت به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همت آنم که زیر چرخ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هرچه رنگ تعلق پذیرد آزاد است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تعلق خاطر به ماه‌رخساری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خاطر از همه عالم به مهر او شاد است</w:t>
      </w:r>
      <w:r>
        <w:rPr>
          <w:rFonts w:eastAsia="IRNazanin" w:cs="IRNazanin"/>
          <w:color w:val="111111"/>
          <w:sz w:val="28"/>
          <w:szCs w:val="28"/>
          <w:rtl w:val="true"/>
          <w:lang w:bidi="fa-IR"/>
        </w:rPr>
        <w:t>»</w:t>
      </w:r>
      <w:r>
        <w:rPr>
          <w:rStyle w:val="FootnoteAnchor"/>
          <w:rtl w:val="true"/>
        </w:rPr>
        <w:footnoteReference w:id="43"/>
      </w:r>
      <w:bookmarkStart w:id="68" w:name="pg5033_57070"/>
    </w:p>
    <w:p>
      <w:pPr>
        <w:pStyle w:val="Heading3"/>
        <w:numPr>
          <w:ilvl w:val="2"/>
          <w:numId w:val="1"/>
        </w:numPr>
        <w:rPr/>
      </w:pPr>
      <w:bookmarkStart w:id="69" w:name="__RefHeading___Toc668529_774463916"/>
      <w:bookmarkStart w:id="70" w:name="_Toc25"/>
      <w:bookmarkEnd w:id="68"/>
      <w:bookmarkEnd w:id="69"/>
      <w:r>
        <w:rPr/>
        <w:t>1.3</w:t>
      </w:r>
      <w:r>
        <w:rPr>
          <w:rtl w:val="true"/>
        </w:rPr>
        <w:t xml:space="preserve"> </w:t>
      </w:r>
      <w:r>
        <w:rPr>
          <w:rtl w:val="true"/>
        </w:rPr>
        <w:t>مؤلفه‌شناسی عرفان و معنویت ناب اسلامیتصویر</w:t>
      </w:r>
      <w:bookmarkEnd w:id="7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8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8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4" o:detectmouseclick="t"/>
                <v:stroke color="#3465a4" joinstyle="round" endcap="flat"/>
                <w10:wrap type="none"/>
              </v:shape>
            </w:pict>
          </mc:Fallback>
        </mc:AlternateContent>
      </w:r>
      <w:bookmarkStart w:id="71" w:name="pg5033_57072"/>
    </w:p>
    <w:p>
      <w:pPr>
        <w:pStyle w:val="Heading2"/>
        <w:numPr>
          <w:ilvl w:val="1"/>
          <w:numId w:val="1"/>
        </w:numPr>
        <w:rPr/>
      </w:pPr>
      <w:bookmarkStart w:id="72" w:name="__RefHeading___Toc668531_774463916"/>
      <w:bookmarkStart w:id="73" w:name="_Toc26"/>
      <w:bookmarkEnd w:id="71"/>
      <w:bookmarkEnd w:id="72"/>
      <w:r>
        <w:rPr>
          <w:rtl w:val="true"/>
        </w:rPr>
        <w:t>فصل دوم</w:t>
      </w:r>
      <w:r>
        <w:rPr>
          <w:rtl w:val="true"/>
        </w:rPr>
        <w:t xml:space="preserve">: </w:t>
      </w:r>
      <w:r>
        <w:rPr>
          <w:rtl w:val="true"/>
        </w:rPr>
        <w:t>علل پیدایش و گسترش جنبش‌های نوپدید دینی</w:t>
      </w:r>
      <w:bookmarkEnd w:id="73"/>
    </w:p>
    <w:p>
      <w:pPr>
        <w:pStyle w:val="Heading3"/>
        <w:numPr>
          <w:ilvl w:val="2"/>
          <w:numId w:val="1"/>
        </w:numPr>
        <w:rPr/>
      </w:pPr>
      <w:bookmarkStart w:id="74" w:name="__RefHeading___Toc668533_774463916"/>
      <w:bookmarkStart w:id="75" w:name="_Toc27"/>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تصویر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86"/>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7" o:detectmouseclick="t"/>
                <v:stroke color="#3465a4" joinstyle="round" endcap="flat"/>
                <w10:wrap type="none"/>
              </v:shape>
            </w:pict>
          </mc:Fallback>
        </mc:AlternateContent>
      </w:r>
      <w:bookmarkStart w:id="76" w:name="pg5033_57073"/>
    </w:p>
    <w:p>
      <w:pPr>
        <w:pStyle w:val="Heading3"/>
        <w:numPr>
          <w:ilvl w:val="2"/>
          <w:numId w:val="1"/>
        </w:numPr>
        <w:rPr/>
      </w:pPr>
      <w:bookmarkStart w:id="77" w:name="__RefHeading___Toc668535_774463916"/>
      <w:bookmarkStart w:id="78" w:name="_Toc28"/>
      <w:bookmarkEnd w:id="76"/>
      <w:bookmarkEnd w:id="77"/>
      <w:r>
        <w:rPr/>
        <w:t>2.1</w:t>
      </w:r>
      <w:r>
        <w:rPr>
          <w:rtl w:val="true"/>
        </w:rPr>
        <w:t xml:space="preserve">. </w:t>
      </w:r>
      <w:r>
        <w:rPr>
          <w:rtl w:val="true"/>
        </w:rPr>
        <w:t>علل پیدایش و رواج جنبش‌های نوپدید دینی در غرب</w:t>
      </w:r>
      <w:bookmarkEnd w:id="78"/>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پدیدۀ جهانی‌شدن و جهانی‌سازی؛</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پست‌مدرنیسم که به شالوده‌شکنی می‌پردازد؛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آیین‌های شرقی در قالب تجارت جهانی؛</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خلأ معنوی در غرب به‌خصوص بین نسل جوان؛</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مکتب‌های ماتریالیستی با قالب‌های لیبرالیستی در غرب؛</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انجمن‌های فراماسونری؛</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و ماهواره‌ها؛</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هویت دینی؛</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امر قدسی؛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دورسازی جریان‌های عرفانی جدید از سیاست و سیاست‌زدگی؛</w:t>
      </w:r>
      <w:bookmarkStart w:id="79" w:name="pg5033_57074"/>
    </w:p>
    <w:p>
      <w:pPr>
        <w:pStyle w:val="BookText"/>
        <w:rPr/>
      </w:pPr>
      <w:bookmarkEnd w:id="79"/>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نامفهوم‌بودن یا مبهم‌بودن گزاره‌ها و آموزه‌های دینی در غرب؛</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در الفاظ و معانی دینی در غرب و نقش دین‌گریزانۀ آن</w:t>
      </w:r>
      <w:r>
        <w:rPr>
          <w:rFonts w:eastAsia="IRNazanin" w:cs="IRNazanin"/>
          <w:color w:val="111111"/>
          <w:sz w:val="28"/>
          <w:szCs w:val="28"/>
          <w:rtl w:val="true"/>
          <w:lang w:bidi="fa-IR"/>
        </w:rPr>
        <w:t>.</w:t>
      </w:r>
    </w:p>
    <w:p>
      <w:pPr>
        <w:pStyle w:val="Heading3"/>
        <w:numPr>
          <w:ilvl w:val="2"/>
          <w:numId w:val="1"/>
        </w:numPr>
        <w:rPr/>
      </w:pPr>
      <w:bookmarkStart w:id="80" w:name="__RefHeading___Toc668537_774463916"/>
      <w:bookmarkStart w:id="81" w:name="_Toc29"/>
      <w:bookmarkEnd w:id="80"/>
      <w:r>
        <w:rPr/>
        <w:t>۲</w:t>
      </w:r>
      <w:r>
        <w:rPr/>
        <w:t>.</w:t>
      </w:r>
      <w:r>
        <w:rPr/>
        <w:t>۲</w:t>
      </w:r>
      <w:r>
        <w:rPr>
          <w:rtl w:val="true"/>
        </w:rPr>
        <w:t xml:space="preserve">. </w:t>
      </w:r>
      <w:r>
        <w:rPr>
          <w:rtl w:val="true"/>
        </w:rPr>
        <w:t>علل گرایش و گسترش عرفان‌های کاذب و جنبش‌های معنویت‌گرا یا نوپدید دینی در شرق، به‌خصوص ایران</w:t>
      </w:r>
      <w:bookmarkEnd w:id="81"/>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ناآشنایی با مبانی و مؤلفه‌های شاخص عرفان اسلامی؛</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آشنایی عمیق و همه‌جانبه با آموزه‌های عقیدتی و اخلاقی و تربیتی اسلام؛</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آسان‌گیری برخی عرفان‌های صوفیانه و جنبش‌های جدید دینی در شریعت؛</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شریعت‌گریزی عرفان‌های سکولار و معناگرایی بدون بایدها و نبایدهای شرعی؛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گروه‌گرایی و بهره‌گیری از شخصیت‌های کاریزماتیک و حتی ساختن چنین شخصیت‌های مقدس و کاریزما؛</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ناآشنایی با ادیان و آیین‌های دیگر و تجربه‌های عرفانی رقیب؛</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ارائه‌نکردن محتوا و معرفت و تجربه و نیز تعبیرهای سلوکی و عرفانی در قالب زبان نوآمد؛</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بهره‌نبردن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هنر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موسیقی، به‌صورت منطقی و معقول و گسترده؛</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تأکیدهای افراطی بر ظواهر دین و شریعت و غفلت از باطن و لایه‌های پنهانی‌تر دین و شریعت؛</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جذابیت‌های تعالیم معنوی گروه‌های جدید؛</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کارکردی نشان‌دادن تجربه‌های عرفانی و معنوی جنبش‌های جدید؛</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و دردسترس‌بودن تجربه‌های معنوی گروه‌های نو؛</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صلح‌گرایی در جنبش‌های جدید معناگرا؛</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به‌سمت جهانی‌شدن و تأثیر آن در گرایش‌های جدید؛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اشتباه یا سخت‌گیرانۀ انتقال آموزه‌های دینی در کودکان و نوجوانان و جوانان؛</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تعامل منطقی و هدف‌دار و حتی تناقض‌گویی رسانه‌های شنیداری و دیداری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فاصلۀ آرمان‌ها و واقعیت‌ها در جنبه‌های نظری و عملی دین در جامعه و تبلیغ دشمن بر روی آن؛</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تنازعات و تعارضات جناحی و جریانی و ظهور قدرت‌گرایی و منفعت‌پرستی در میان سیاستمداران جامعه؛</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زبان و ادبیات خاص، دشواری و فهم‌ناپذیری عرفان مصطلح در جامعه، یا قوّت در توزیع عرفان‌های کاذب؛</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عرفان‌های غیردینی یا ضددینی به جنبۀ جسمانی و شهوانی و مطرح‌کردن تجربه‌های جنسی، گسترش مواد تخدیری و گیاهان دارویی توهم‌زا و ضمیمه‌کردن گرایش‌های مذهبی برخی از جوانان ناآگاه به آن‌ها و مانند آن؛</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اطلاعاتی و خبری و نیز رسانه‌ای و ماهواره‌ای در گسترۀ غرب؛</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رعایت‌نکردن پلورالیسم اجتماعی دین در عرصۀ جامعه و ایجاد تنش؛</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رویارویی سنت و مدرنیته و قرارگرفتن در دوران گذار؛</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مفاهیم دینی اصیل مانند زهد، انتظار، مهدویت و عاشورا؛</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نسل‌ها از حیث بینش و گرایش و درنتیجه، آسیب‌های گفتمانی بین آن‌ها؛</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طرح انتقادی و تطبیقی مقولات معناگرایانه در جامعه، به‌صورت وسیع و به زبان نسل جوان؛</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معرفی‌نکردن الگوهای عرفانی مثبت و موفق در جامعه به‌صورت گسترده؛</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افراطی بر جنبۀ فقهی دین و توجه ناچیز یا بی‌توجهی به جنبه‌های اخلاقی‌عرفانی شریعت اسلامی؛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عمل‌نکردن عالمان دینی و مبلغان اسلامی و متصدیان امور فرهنگی به وظیفۀ خود</w:t>
      </w:r>
      <w:bookmarkStart w:id="82" w:name="pg5033_57078"/>
    </w:p>
    <w:p>
      <w:pPr>
        <w:pStyle w:val="BookText"/>
        <w:rPr/>
      </w:pPr>
      <w:bookmarkEnd w:id="82"/>
      <w:r>
        <w:rPr>
          <w:rFonts w:ascii="IRNazanin" w:hAnsi="IRNazanin" w:eastAsia="IRNazanin"/>
          <w:color w:val="111111"/>
          <w:sz w:val="28"/>
          <w:sz w:val="28"/>
          <w:szCs w:val="28"/>
          <w:rtl w:val="true"/>
          <w:lang w:bidi="fa-IR"/>
        </w:rPr>
        <w:t>به‌طور بایسته و شایسته و نداشتن استراتژی مشخص برای مدیریت معنویت در جامعه؛</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مدیریت معنوی در سطح و ساحت جامعۀ اسلامی</w:t>
      </w:r>
      <w:r>
        <w:rPr>
          <w:rFonts w:eastAsia="IRNazanin" w:cs="IRNazanin"/>
          <w:color w:val="111111"/>
          <w:sz w:val="28"/>
          <w:szCs w:val="28"/>
          <w:rtl w:val="true"/>
          <w:lang w:bidi="fa-IR"/>
        </w:rPr>
        <w:t>.</w:t>
      </w:r>
    </w:p>
    <w:p>
      <w:pPr>
        <w:pStyle w:val="Heading3"/>
        <w:numPr>
          <w:ilvl w:val="2"/>
          <w:numId w:val="1"/>
        </w:numPr>
        <w:rPr/>
      </w:pPr>
      <w:bookmarkStart w:id="83" w:name="__RefHeading___Toc668539_774463916"/>
      <w:bookmarkStart w:id="84" w:name="_Toc30"/>
      <w:bookmarkEnd w:id="83"/>
      <w:r>
        <w:rPr/>
        <w:t>۲</w:t>
      </w:r>
      <w:r>
        <w:rPr/>
        <w:t>.</w:t>
      </w:r>
      <w:r>
        <w:rPr/>
        <w:t>۳</w:t>
      </w:r>
      <w:r>
        <w:rPr>
          <w:rtl w:val="true"/>
        </w:rPr>
        <w:t xml:space="preserve">. </w:t>
      </w:r>
      <w:r>
        <w:rPr>
          <w:rtl w:val="true"/>
        </w:rPr>
        <w:t>سلوک صادق و کاذب</w:t>
      </w:r>
      <w:bookmarkEnd w:id="84"/>
    </w:p>
    <w:p>
      <w:pPr>
        <w:pStyle w:val="BookText"/>
        <w:rPr/>
      </w:pPr>
      <w:r>
        <w:rPr>
          <w:rFonts w:ascii="IRNazanin" w:hAnsi="IRNazanin" w:eastAsia="IRNazanin"/>
          <w:color w:val="111111"/>
          <w:sz w:val="28"/>
          <w:sz w:val="28"/>
          <w:szCs w:val="28"/>
          <w:rtl w:val="true"/>
          <w:lang w:bidi="fa-IR"/>
        </w:rPr>
        <w:t>انواع سلوک، ویژگی‌ها و کارکردهای آن را می‌توان چنین ترسیم کرد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2065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94"/>
                        <a:stretch/>
                      </pic:blipFill>
                      <pic:spPr>
                        <a:xfrm>
                          <a:off x="0" y="0"/>
                          <a:ext cx="5334120" cy="1206360"/>
                        </a:xfrm>
                        <a:prstGeom prst="rect">
                          <a:avLst/>
                        </a:prstGeom>
                        <a:ln w="0">
                          <a:noFill/>
                        </a:ln>
                      </pic:spPr>
                    </pic:pic>
                  </a:graphicData>
                </a:graphic>
              </wp:inline>
            </w:drawing>
          </mc:Choice>
          <mc:Fallback>
            <w:pict>
              <v:shape id="shape_0" stroked="f" o:allowincell="f" style="position:absolute;margin-left:0pt;margin-top:-95.05pt;width:419.95pt;height:94.95pt;mso-wrap-style:none;v-text-anchor:middle;mso-position-horizontal:left;mso-position-vertical:top" type="_x0000_t75">
                <v:imagedata r:id="rId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9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0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آری در سلوک صادق، انسان به معرفت شهودی نفس می‌رسد و فقر انفسی یا نیاز محض خویش را تجربه کرده و با تمام وجودش درک می‌کند و ربط صِرف خود با خدا را شهود می‌کند؛ یعنی خود را در ارتباط با حق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را به خود نسبت نمی‌دهد و به توحید حقیقی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عرفان صادق بر توحید استوار است و عارف، موحّد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صادق خداگرایی محض و دعوت به حق است نه خودگرایی و دعوت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عرفان، سالک از خود فانی شده و چون قطره‌ای در دریای اسما و اوصاف الهی غرق شده و متصف به اوصاف خدای سبحان و متخلق به اخلاق الهی می‌شود و تجلی‌گاه حق سبحانه و نشانه‌ای از او خواهد 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آنکه در عرفان صادق، عقلانیت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عرفان، عقل در همۀ ساحت‌های سلوک و منازل عرفانی و مقامات معنوی حضور فعال دارد و بین عقل و عشق تنافی و تضادی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 صادق، جنگی بین سیروسلوک با علم‌ودانش نیست و تضادی بین</w:t>
      </w:r>
      <w:bookmarkStart w:id="85" w:name="pg5033_57082"/>
    </w:p>
    <w:p>
      <w:pPr>
        <w:pStyle w:val="BookText"/>
        <w:rPr/>
      </w:pPr>
      <w:bookmarkEnd w:id="85"/>
      <w:r>
        <w:rPr>
          <w:rFonts w:ascii="IRNazanin" w:hAnsi="IRNazanin" w:eastAsia="IRNazanin"/>
          <w:color w:val="111111"/>
          <w:sz w:val="28"/>
          <w:sz w:val="28"/>
          <w:szCs w:val="28"/>
          <w:rtl w:val="true"/>
          <w:lang w:bidi="fa-IR"/>
        </w:rPr>
        <w:t>عقل و خردورزی با عشق و مستی وجود ندارد و چنین عرفانی، سالک عالم و عاقل و عاشق تربیت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عارفی تکلیف‌گرا و وظیفه‌شناس و وظیفه‌گرا می‌پرورد تا عقل به انزوا نرود و علم‌ودانش منزوی نشود و عشق از ملکوت به ملک نیاید و کوچه‌بازاری نشود و تکلیف فراموشش نشود</w:t>
      </w:r>
      <w:r>
        <w:rPr>
          <w:rFonts w:eastAsia="IRNazanin" w:cs="IRNazanin"/>
          <w:color w:val="111111"/>
          <w:sz w:val="28"/>
          <w:szCs w:val="28"/>
          <w:rtl w:val="true"/>
          <w:lang w:bidi="fa-IR"/>
        </w:rPr>
        <w:t>.</w:t>
      </w:r>
    </w:p>
    <w:p>
      <w:pPr>
        <w:pStyle w:val="Heading2"/>
        <w:numPr>
          <w:ilvl w:val="1"/>
          <w:numId w:val="1"/>
        </w:numPr>
        <w:rPr/>
      </w:pPr>
      <w:bookmarkStart w:id="86" w:name="__RefHeading___Toc668541_774463916"/>
      <w:bookmarkStart w:id="87" w:name="_Toc31"/>
      <w:bookmarkEnd w:id="86"/>
      <w:r>
        <w:rPr>
          <w:rtl w:val="true"/>
        </w:rPr>
        <w:t>نتیجه‌گیری</w:t>
      </w:r>
      <w:bookmarkEnd w:id="8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عرفان اسلامی عرفانی جامع و کامل است که کارکردهای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معرفتی و معنویتی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در متن زندگی حضور دارد و با هرگونه رهبانیت افراطی، درون‌گرایی محض، خلسه‌گرایی و خلوت‌گرایی غیرمعقول و ریاضت‌های نامشروع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عرفان، خردگرا و معتدل است؛ اما عرفان‌های سکولار و کاذب، اگر اطلاق نام عرفان به آن‌ها درست باشد که نیست، از عقلانیت و اعتدال محروم‌اند و انسان را گرفتار ریاضت‌های نامعقول و نامشروع کرده و</w:t>
      </w:r>
      <w:bookmarkStart w:id="88" w:name="pg5033_57083"/>
    </w:p>
    <w:p>
      <w:pPr>
        <w:pStyle w:val="BookText"/>
        <w:rPr/>
      </w:pPr>
      <w:bookmarkEnd w:id="88"/>
      <w:r>
        <w:rPr>
          <w:rFonts w:ascii="IRNazanin" w:hAnsi="IRNazanin" w:eastAsia="IRNazanin"/>
          <w:color w:val="111111"/>
          <w:sz w:val="28"/>
          <w:sz w:val="28"/>
          <w:szCs w:val="28"/>
          <w:rtl w:val="true"/>
          <w:lang w:bidi="fa-IR"/>
        </w:rPr>
        <w:t>از درکِ دردهای اجتماعی باز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معنویت‌های غیردینی با فطرت انسان و نیازهای همه‌جانبۀ او در تباین و تضادند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عرفان صادق و درست در عرفان وحیانی و دینی، به‌خصوص در عرفان اسلامی، متجلی است و برون‌دادهای فراوان و الگوهای تمام‌عیار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کاذب نیز از التقاط و انحراف رنج می‌برد و نمی‌تواند به اشباعِ گرایش‌های معنوی صادق و نیازهای عرفانی اصیل انسان پاسخ منطقی و شایسته دهد</w:t>
      </w:r>
      <w:r>
        <w:rPr>
          <w:rFonts w:eastAsia="IRNazanin" w:cs="IRNazanin"/>
          <w:color w:val="111111"/>
          <w:sz w:val="28"/>
          <w:szCs w:val="28"/>
          <w:rtl w:val="true"/>
          <w:lang w:bidi="fa-IR"/>
        </w:rPr>
        <w:t>.</w:t>
      </w:r>
    </w:p>
    <w:p>
      <w:pPr>
        <w:pStyle w:val="Heading2"/>
        <w:numPr>
          <w:ilvl w:val="1"/>
          <w:numId w:val="1"/>
        </w:numPr>
        <w:rPr/>
      </w:pPr>
      <w:bookmarkStart w:id="89" w:name="__RefHeading___Toc668543_774463916"/>
      <w:bookmarkStart w:id="90" w:name="_Toc32"/>
      <w:bookmarkEnd w:id="89"/>
      <w:r>
        <w:rPr>
          <w:rtl w:val="true"/>
        </w:rPr>
        <w:t>برای مطالعه بیشتر</w:t>
      </w:r>
      <w:bookmarkEnd w:id="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 مصباح یزدی، در جستجوی عرفان اسلامی، قم، موسسه آموزشی و پژوهشی امام 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تهرانی، مجتبی، درآمدی بر سیر و سلوک، تهران، پژوهشگاه فرهنگ و اندیشه اسلامی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حسین، شریفی، درآمدی بر عرفان حقیقی و عرفان های کاذب، قم، صهبای یقین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بی‌تا،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15818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منازل السائیرن،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طباطبائی، 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طباطبائی، شیعه در اسلام،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مکاتبات و محاضرات علامه طباطبایی با هانری کربن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ری‌شهری، میزان الحکمة،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التوحید،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مکاتبات و محاضرات علامه طباطبایی با هانری کربن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معنویت تشیع،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لغت‌نامۀ دهخدا،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21191</w:t>
      </w:r>
      <w:r>
        <w:rPr>
          <w:rFonts w:ascii="IRNazanin" w:hAnsi="IRNazanin" w:eastAsia="IRNazanin"/>
          <w:b w:val="false"/>
          <w:b w:val="false"/>
          <w:bCs w:val="false"/>
          <w:i w:val="false"/>
          <w:i w:val="false"/>
          <w:iCs w:val="false"/>
          <w:color w:val="333333"/>
          <w:sz w:val="20"/>
          <w:sz w:val="20"/>
          <w:szCs w:val="20"/>
          <w:rtl w:val="true"/>
        </w:rPr>
        <w:t>، ذیل واژۀ معنی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اکسفورد،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سیدحسین 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معنویت و علم؛ همگرایی یا واگرایی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فصلنامۀ نقدونظر، ش</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 صحیفۀ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رشاد، معنا منهای معنا،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مجموعۀ 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چ</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پیشین،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پیشین،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image" Target="media/image7.jpeg"/><Relationship Id="rId25" Type="http://schemas.openxmlformats.org/officeDocument/2006/relationships/image" Target="media/image7.jpeg"/><Relationship Id="rId26" Type="http://schemas.openxmlformats.org/officeDocument/2006/relationships/footer" Target="footer11.xml"/><Relationship Id="rId27" Type="http://schemas.openxmlformats.org/officeDocument/2006/relationships/footer" Target="footer12.xml"/><Relationship Id="rId28" Type="http://schemas.openxmlformats.org/officeDocument/2006/relationships/footer" Target="footer13.xml"/><Relationship Id="rId29" Type="http://schemas.openxmlformats.org/officeDocument/2006/relationships/footer" Target="footer14.xml"/><Relationship Id="rId30" Type="http://schemas.openxmlformats.org/officeDocument/2006/relationships/footer" Target="footer15.xml"/><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image" Target="media/image8.jpeg"/><Relationship Id="rId38" Type="http://schemas.openxmlformats.org/officeDocument/2006/relationships/image" Target="media/image8.jpeg"/><Relationship Id="rId39" Type="http://schemas.openxmlformats.org/officeDocument/2006/relationships/footer" Target="footer22.xml"/><Relationship Id="rId40" Type="http://schemas.openxmlformats.org/officeDocument/2006/relationships/footer" Target="footer23.xml"/><Relationship Id="rId41" Type="http://schemas.openxmlformats.org/officeDocument/2006/relationships/footer" Target="footer24.xml"/><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image" Target="media/image9.jpeg"/><Relationship Id="rId53" Type="http://schemas.openxmlformats.org/officeDocument/2006/relationships/image" Target="media/image9.jpeg"/><Relationship Id="rId54" Type="http://schemas.openxmlformats.org/officeDocument/2006/relationships/footer" Target="footer35.xml"/><Relationship Id="rId55" Type="http://schemas.openxmlformats.org/officeDocument/2006/relationships/image" Target="media/image10.jpeg"/><Relationship Id="rId56" Type="http://schemas.openxmlformats.org/officeDocument/2006/relationships/image" Target="media/image10.jpeg"/><Relationship Id="rId57" Type="http://schemas.openxmlformats.org/officeDocument/2006/relationships/footer" Target="footer36.xml"/><Relationship Id="rId58" Type="http://schemas.openxmlformats.org/officeDocument/2006/relationships/footer" Target="footer37.xml"/><Relationship Id="rId59" Type="http://schemas.openxmlformats.org/officeDocument/2006/relationships/image" Target="media/image11.jpeg"/><Relationship Id="rId60" Type="http://schemas.openxmlformats.org/officeDocument/2006/relationships/image" Target="media/image11.jpeg"/><Relationship Id="rId61" Type="http://schemas.openxmlformats.org/officeDocument/2006/relationships/footer" Target="footer38.xml"/><Relationship Id="rId62" Type="http://schemas.openxmlformats.org/officeDocument/2006/relationships/footer" Target="footer39.xml"/><Relationship Id="rId63" Type="http://schemas.openxmlformats.org/officeDocument/2006/relationships/footer" Target="footer40.xml"/><Relationship Id="rId64" Type="http://schemas.openxmlformats.org/officeDocument/2006/relationships/footer" Target="footer41.xml"/><Relationship Id="rId65" Type="http://schemas.openxmlformats.org/officeDocument/2006/relationships/footer" Target="footer42.xml"/><Relationship Id="rId66" Type="http://schemas.openxmlformats.org/officeDocument/2006/relationships/footer" Target="footer43.xml"/><Relationship Id="rId67" Type="http://schemas.openxmlformats.org/officeDocument/2006/relationships/footer" Target="footer44.xml"/><Relationship Id="rId68" Type="http://schemas.openxmlformats.org/officeDocument/2006/relationships/footer" Target="footer45.xml"/><Relationship Id="rId69" Type="http://schemas.openxmlformats.org/officeDocument/2006/relationships/footer" Target="footer46.xml"/><Relationship Id="rId70" Type="http://schemas.openxmlformats.org/officeDocument/2006/relationships/footer" Target="footer47.xml"/><Relationship Id="rId71" Type="http://schemas.openxmlformats.org/officeDocument/2006/relationships/footer" Target="footer48.xml"/><Relationship Id="rId72" Type="http://schemas.openxmlformats.org/officeDocument/2006/relationships/footer" Target="footer49.xml"/><Relationship Id="rId73" Type="http://schemas.openxmlformats.org/officeDocument/2006/relationships/footer" Target="footer50.xml"/><Relationship Id="rId74" Type="http://schemas.openxmlformats.org/officeDocument/2006/relationships/footer" Target="footer51.xml"/><Relationship Id="rId75" Type="http://schemas.openxmlformats.org/officeDocument/2006/relationships/image" Target="media/image12.jpeg"/><Relationship Id="rId76" Type="http://schemas.openxmlformats.org/officeDocument/2006/relationships/image" Target="media/image12.jpeg"/><Relationship Id="rId77" Type="http://schemas.openxmlformats.org/officeDocument/2006/relationships/footer" Target="footer52.xml"/><Relationship Id="rId78" Type="http://schemas.openxmlformats.org/officeDocument/2006/relationships/footer" Target="footer53.xml"/><Relationship Id="rId79" Type="http://schemas.openxmlformats.org/officeDocument/2006/relationships/footer" Target="footer54.xml"/><Relationship Id="rId80" Type="http://schemas.openxmlformats.org/officeDocument/2006/relationships/image" Target="media/image13.jpeg"/><Relationship Id="rId81" Type="http://schemas.openxmlformats.org/officeDocument/2006/relationships/image" Target="media/image13.jpeg"/><Relationship Id="rId82" Type="http://schemas.openxmlformats.org/officeDocument/2006/relationships/footer" Target="footer55.xml"/><Relationship Id="rId83" Type="http://schemas.openxmlformats.org/officeDocument/2006/relationships/image" Target="media/image14.jpeg"/><Relationship Id="rId84" Type="http://schemas.openxmlformats.org/officeDocument/2006/relationships/image" Target="media/image14.jpeg"/><Relationship Id="rId85" Type="http://schemas.openxmlformats.org/officeDocument/2006/relationships/footer" Target="footer56.xml"/><Relationship Id="rId86" Type="http://schemas.openxmlformats.org/officeDocument/2006/relationships/image" Target="media/image15.jpeg"/><Relationship Id="rId87" Type="http://schemas.openxmlformats.org/officeDocument/2006/relationships/image" Target="media/image15.jpeg"/><Relationship Id="rId88" Type="http://schemas.openxmlformats.org/officeDocument/2006/relationships/footer" Target="footer57.xml"/><Relationship Id="rId89" Type="http://schemas.openxmlformats.org/officeDocument/2006/relationships/footer" Target="footer58.xml"/><Relationship Id="rId90" Type="http://schemas.openxmlformats.org/officeDocument/2006/relationships/footer" Target="footer59.xml"/><Relationship Id="rId91" Type="http://schemas.openxmlformats.org/officeDocument/2006/relationships/footer" Target="footer60.xml"/><Relationship Id="rId92" Type="http://schemas.openxmlformats.org/officeDocument/2006/relationships/footer" Target="footer61.xml"/><Relationship Id="rId93" Type="http://schemas.openxmlformats.org/officeDocument/2006/relationships/footer" Target="footer62.xml"/><Relationship Id="rId94" Type="http://schemas.openxmlformats.org/officeDocument/2006/relationships/image" Target="media/image16.jpeg"/><Relationship Id="rId95" Type="http://schemas.openxmlformats.org/officeDocument/2006/relationships/image" Target="media/image16.jpeg"/><Relationship Id="rId96" Type="http://schemas.openxmlformats.org/officeDocument/2006/relationships/footer" Target="footer63.xml"/><Relationship Id="rId97" Type="http://schemas.openxmlformats.org/officeDocument/2006/relationships/image" Target="media/image17.jpeg"/><Relationship Id="rId98" Type="http://schemas.openxmlformats.org/officeDocument/2006/relationships/image" Target="media/image17.jpeg"/><Relationship Id="rId99" Type="http://schemas.openxmlformats.org/officeDocument/2006/relationships/footer" Target="footer64.xml"/><Relationship Id="rId100" Type="http://schemas.openxmlformats.org/officeDocument/2006/relationships/image" Target="media/image18.jpeg"/><Relationship Id="rId101" Type="http://schemas.openxmlformats.org/officeDocument/2006/relationships/image" Target="media/image18.jpeg"/><Relationship Id="rId102" Type="http://schemas.openxmlformats.org/officeDocument/2006/relationships/footer" Target="footer65.xml"/><Relationship Id="rId103" Type="http://schemas.openxmlformats.org/officeDocument/2006/relationships/footer" Target="footer66.xml"/><Relationship Id="rId104" Type="http://schemas.openxmlformats.org/officeDocument/2006/relationships/footer" Target="footer67.xml"/><Relationship Id="rId105" Type="http://schemas.openxmlformats.org/officeDocument/2006/relationships/footer" Target="footer68.xml"/><Relationship Id="rId106" Type="http://schemas.openxmlformats.org/officeDocument/2006/relationships/image" Target="media/image2.jpeg"/><Relationship Id="rId107" Type="http://schemas.openxmlformats.org/officeDocument/2006/relationships/image" Target="media/image2.jpeg"/><Relationship Id="rId108" Type="http://schemas.openxmlformats.org/officeDocument/2006/relationships/footer" Target="footer69.xml"/><Relationship Id="rId109" Type="http://schemas.openxmlformats.org/officeDocument/2006/relationships/footnotes" Target="footnotes.xml"/><Relationship Id="rId110" Type="http://schemas.openxmlformats.org/officeDocument/2006/relationships/numbering" Target="numbering.xml"/><Relationship Id="rId111" Type="http://schemas.openxmlformats.org/officeDocument/2006/relationships/fontTable" Target="fontTable.xml"/><Relationship Id="rId112" Type="http://schemas.openxmlformats.org/officeDocument/2006/relationships/settings" Target="settings.xml"/><Relationship Id="rId1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72</Pages>
  <Words>6749</Words>
  <Characters>28489</Characters>
  <CharactersWithSpaces>34914</CharactersWithSpaces>
  <Paragraphs>405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2026-08-18T22:37:59Z</dcterms:created>
  <dc:creator>ghaemiyeh.com</dc:creator>
  <dc:description/>
  <dc:language>en-US</dc:language>
  <cp:lastModifiedBy/>
  <dcterms:modified xsi:type="dcterms:W3CDTF">2026-08-19T02:08:02Z</dcterms:modified>
  <cp:revision>1</cp:revision>
  <dc:subject/>
  <dc:title>رهنما 99 آب و سراب</dc:title>
</cp:coreProperties>
</file>

<file path=docProps/custom.xml><?xml version="1.0" encoding="utf-8"?>
<Properties xmlns="http://schemas.openxmlformats.org/officeDocument/2006/custom-properties" xmlns:vt="http://schemas.openxmlformats.org/officeDocument/2006/docPropsVTypes"/>
</file>