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اندیشوران مسلمان رهیافتی نو در فقه مقارن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688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4688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46889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746891_2749589250">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3746893_2749589250">
            <w:r>
              <w:rPr>
                <w:webHidden/>
                <w:rStyle w:val="IndexLink"/>
                <w:rtl w:val="true"/>
              </w:rPr>
              <w:t>گفت و شنودی با یکی از علمای اهل سنّت</w:t>
            </w:r>
            <w:r>
              <w:rPr>
                <w:rStyle w:val="IndexLink"/>
                <w:rtl w:val="true"/>
              </w:rPr>
              <w:tab/>
            </w:r>
            <w:r>
              <w:rPr>
                <w:rStyle w:val="IndexLink"/>
              </w:rPr>
              <w:t>10</w:t>
            </w:r>
          </w:hyperlink>
        </w:p>
        <w:p>
          <w:pPr>
            <w:pStyle w:val="Contents2"/>
            <w:tabs>
              <w:tab w:val="clear" w:pos="8743"/>
              <w:tab w:val="right" w:pos="9026" w:leader="dot"/>
            </w:tabs>
            <w:rPr/>
          </w:pPr>
          <w:hyperlink w:anchor="__RefHeading___Toc3746895_2749589250">
            <w:r>
              <w:rPr>
                <w:webHidden/>
                <w:rStyle w:val="IndexLink"/>
                <w:rtl w:val="true"/>
              </w:rPr>
              <w:t>حرمتِ متعه</w:t>
            </w:r>
            <w:r>
              <w:rPr>
                <w:rStyle w:val="IndexLink"/>
                <w:rtl w:val="true"/>
              </w:rPr>
              <w:tab/>
            </w:r>
            <w:r>
              <w:rPr>
                <w:rStyle w:val="IndexLink"/>
              </w:rPr>
              <w:t>13</w:t>
            </w:r>
          </w:hyperlink>
        </w:p>
        <w:p>
          <w:pPr>
            <w:pStyle w:val="Contents2"/>
            <w:tabs>
              <w:tab w:val="clear" w:pos="8743"/>
              <w:tab w:val="right" w:pos="9026" w:leader="dot"/>
            </w:tabs>
            <w:rPr/>
          </w:pPr>
          <w:hyperlink w:anchor="__RefHeading___Toc3746897_2749589250">
            <w:r>
              <w:rPr>
                <w:webHidden/>
                <w:rStyle w:val="IndexLink"/>
                <w:rtl w:val="true"/>
              </w:rPr>
              <w:t>مَسح بر کفش</w:t>
            </w:r>
            <w:r>
              <w:rPr>
                <w:rStyle w:val="IndexLink"/>
                <w:rtl w:val="true"/>
              </w:rPr>
              <w:tab/>
            </w:r>
            <w:r>
              <w:rPr>
                <w:rStyle w:val="IndexLink"/>
              </w:rPr>
              <w:t>17</w:t>
            </w:r>
          </w:hyperlink>
        </w:p>
        <w:p>
          <w:pPr>
            <w:pStyle w:val="Contents2"/>
            <w:tabs>
              <w:tab w:val="clear" w:pos="8743"/>
              <w:tab w:val="right" w:pos="9026" w:leader="dot"/>
            </w:tabs>
            <w:rPr/>
          </w:pPr>
          <w:hyperlink w:anchor="__RefHeading___Toc3746899_2749589250">
            <w:r>
              <w:rPr>
                <w:webHidden/>
                <w:rStyle w:val="IndexLink"/>
                <w:rtl w:val="true"/>
              </w:rPr>
              <w:t>اهمیّتِ وارسی روایات مخالفِ شیعه</w:t>
            </w:r>
            <w:r>
              <w:rPr>
                <w:rStyle w:val="IndexLink"/>
                <w:rtl w:val="true"/>
              </w:rPr>
              <w:tab/>
            </w:r>
            <w:r>
              <w:rPr>
                <w:rStyle w:val="IndexLink"/>
              </w:rPr>
              <w:t>35</w:t>
            </w:r>
          </w:hyperlink>
        </w:p>
        <w:p>
          <w:pPr>
            <w:pStyle w:val="Contents2"/>
            <w:tabs>
              <w:tab w:val="clear" w:pos="8743"/>
              <w:tab w:val="right" w:pos="9026" w:leader="dot"/>
            </w:tabs>
            <w:rPr/>
          </w:pPr>
          <w:hyperlink w:anchor="__RefHeading___Toc3746901_2749589250">
            <w:r>
              <w:rPr>
                <w:webHidden/>
                <w:rStyle w:val="IndexLink"/>
                <w:rtl w:val="true"/>
              </w:rPr>
              <w:t>چکیده سخن</w:t>
            </w:r>
            <w:r>
              <w:rPr>
                <w:rStyle w:val="IndexLink"/>
                <w:rtl w:val="true"/>
              </w:rPr>
              <w:tab/>
            </w:r>
            <w:r>
              <w:rPr>
                <w:rStyle w:val="IndexLink"/>
              </w:rPr>
              <w:t>50</w:t>
            </w:r>
          </w:hyperlink>
        </w:p>
        <w:p>
          <w:pPr>
            <w:pStyle w:val="Contents2"/>
            <w:tabs>
              <w:tab w:val="clear" w:pos="8743"/>
              <w:tab w:val="right" w:pos="9026" w:leader="dot"/>
            </w:tabs>
            <w:rPr/>
          </w:pPr>
          <w:hyperlink w:anchor="__RefHeading___Toc3746903_2749589250">
            <w:r>
              <w:rPr>
                <w:webHidden/>
                <w:rStyle w:val="IndexLink"/>
                <w:rtl w:val="true"/>
              </w:rPr>
              <w:t>مسئله صید</w:t>
            </w:r>
            <w:r>
              <w:rPr>
                <w:rStyle w:val="IndexLink"/>
                <w:rtl w:val="true"/>
              </w:rPr>
              <w:tab/>
            </w:r>
            <w:r>
              <w:rPr>
                <w:rStyle w:val="IndexLink"/>
              </w:rPr>
              <w:t>52</w:t>
            </w:r>
          </w:hyperlink>
        </w:p>
        <w:p>
          <w:pPr>
            <w:pStyle w:val="Contents3"/>
            <w:tabs>
              <w:tab w:val="clear" w:pos="8459"/>
              <w:tab w:val="right" w:pos="9026" w:leader="dot"/>
            </w:tabs>
            <w:rPr/>
          </w:pPr>
          <w:hyperlink w:anchor="__RefHeading___Toc3746905_274958925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746907_2749589250">
            <w:r>
              <w:rPr>
                <w:webHidden/>
                <w:rStyle w:val="IndexLink"/>
                <w:rtl w:val="true"/>
              </w:rPr>
              <w:t xml:space="preserve">محور اول </w:t>
            </w:r>
            <w:r>
              <w:rPr>
                <w:rStyle w:val="IndexLink"/>
                <w:rtl w:val="true"/>
              </w:rPr>
              <w:t xml:space="preserve">: </w:t>
            </w:r>
            <w:r>
              <w:rPr>
                <w:rStyle w:val="IndexLink"/>
                <w:rtl w:val="true"/>
              </w:rPr>
              <w:t>مُدَوِّنان</w:t>
            </w:r>
            <w:r>
              <w:rPr>
                <w:rStyle w:val="IndexLink"/>
                <w:rtl w:val="true"/>
              </w:rPr>
              <w:tab/>
            </w:r>
            <w:r>
              <w:rPr>
                <w:rStyle w:val="IndexLink"/>
              </w:rPr>
              <w:t>55</w:t>
            </w:r>
          </w:hyperlink>
        </w:p>
        <w:p>
          <w:pPr>
            <w:pStyle w:val="Contents3"/>
            <w:tabs>
              <w:tab w:val="clear" w:pos="8459"/>
              <w:tab w:val="right" w:pos="9026" w:leader="dot"/>
            </w:tabs>
            <w:rPr/>
          </w:pPr>
          <w:hyperlink w:anchor="__RefHeading___Toc3746909_2749589250">
            <w:r>
              <w:rPr>
                <w:webHidden/>
                <w:rStyle w:val="IndexLink"/>
                <w:rtl w:val="true"/>
              </w:rPr>
              <w:t xml:space="preserve">محور دوم </w:t>
            </w:r>
            <w:r>
              <w:rPr>
                <w:rStyle w:val="IndexLink"/>
                <w:rtl w:val="true"/>
              </w:rPr>
              <w:t xml:space="preserve">: </w:t>
            </w:r>
            <w:r>
              <w:rPr>
                <w:rStyle w:val="IndexLink"/>
                <w:rtl w:val="true"/>
              </w:rPr>
              <w:t>فقه اَنصار</w:t>
            </w:r>
            <w:r>
              <w:rPr>
                <w:rStyle w:val="IndexLink"/>
                <w:rtl w:val="true"/>
              </w:rPr>
              <w:tab/>
            </w:r>
            <w:r>
              <w:rPr>
                <w:rStyle w:val="IndexLink"/>
              </w:rPr>
              <w:t>59</w:t>
            </w:r>
          </w:hyperlink>
        </w:p>
        <w:p>
          <w:pPr>
            <w:pStyle w:val="Contents3"/>
            <w:tabs>
              <w:tab w:val="clear" w:pos="8459"/>
              <w:tab w:val="right" w:pos="9026" w:leader="dot"/>
            </w:tabs>
            <w:rPr/>
          </w:pPr>
          <w:hyperlink w:anchor="__RefHeading___Toc3746911_2749589250">
            <w:r>
              <w:rPr>
                <w:webHidden/>
                <w:rStyle w:val="IndexLink"/>
                <w:rtl w:val="true"/>
              </w:rPr>
              <w:t xml:space="preserve">محور سوم </w:t>
            </w:r>
            <w:r>
              <w:rPr>
                <w:rStyle w:val="IndexLink"/>
                <w:rtl w:val="true"/>
              </w:rPr>
              <w:t xml:space="preserve">: </w:t>
            </w:r>
            <w:r>
              <w:rPr>
                <w:rStyle w:val="IndexLink"/>
                <w:rtl w:val="true"/>
              </w:rPr>
              <w:t>راویان فضائل</w:t>
            </w:r>
            <w:r>
              <w:rPr>
                <w:rStyle w:val="IndexLink"/>
                <w:rtl w:val="true"/>
              </w:rPr>
              <w:tab/>
            </w:r>
            <w:r>
              <w:rPr>
                <w:rStyle w:val="IndexLink"/>
              </w:rPr>
              <w:t>62</w:t>
            </w:r>
          </w:hyperlink>
        </w:p>
        <w:p>
          <w:pPr>
            <w:pStyle w:val="Contents3"/>
            <w:tabs>
              <w:tab w:val="clear" w:pos="8459"/>
              <w:tab w:val="right" w:pos="9026" w:leader="dot"/>
            </w:tabs>
            <w:rPr/>
          </w:pPr>
          <w:hyperlink w:anchor="__RefHeading___Toc3746913_2749589250">
            <w:r>
              <w:rPr>
                <w:webHidden/>
                <w:rStyle w:val="IndexLink"/>
                <w:rtl w:val="true"/>
              </w:rPr>
              <w:t xml:space="preserve">محور چهارم </w:t>
            </w:r>
            <w:r>
              <w:rPr>
                <w:rStyle w:val="IndexLink"/>
                <w:rtl w:val="true"/>
              </w:rPr>
              <w:t xml:space="preserve">: </w:t>
            </w:r>
            <w:r>
              <w:rPr>
                <w:rStyle w:val="IndexLink"/>
                <w:rtl w:val="true"/>
              </w:rPr>
              <w:t xml:space="preserve">همرزمان امام علی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3746915_2749589250">
            <w:r>
              <w:rPr>
                <w:webHidden/>
                <w:rStyle w:val="IndexLink"/>
                <w:rtl w:val="true"/>
              </w:rPr>
              <w:t>جایگاه بحث تاریخی در فقه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2_21966"/>
      <w:bookmarkStart w:id="1" w:name="pg3532_21966"/>
      <w:bookmarkEnd w:id="1"/>
    </w:p>
    <w:p>
      <w:pPr>
        <w:pStyle w:val="Heading2"/>
        <w:numPr>
          <w:ilvl w:val="1"/>
          <w:numId w:val="1"/>
        </w:numPr>
        <w:rPr/>
      </w:pPr>
      <w:bookmarkStart w:id="2" w:name="pg3532_21966"/>
      <w:bookmarkStart w:id="3" w:name="__RefHeading___Toc374688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سیدعلی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اندیشوران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نو در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شهرستانی ؛ ترجمه بخش فرهنگی موسسه فرهنگی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Comparative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۱۸۸۸۱۴۶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688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اندیشوران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نو در فقه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فرهنگی مؤسسه حضرت امام هادی علیه الصلوة والسلام</w:t>
      </w:r>
    </w:p>
    <w:p>
      <w:pPr>
        <w:pStyle w:val="BookText"/>
        <w:rPr/>
      </w:pPr>
      <w:r>
        <w:rPr>
          <w:rFonts w:ascii="IRNazanin" w:hAnsi="IRNazanin" w:eastAsia="IRNazanin"/>
          <w:color w:val="111111"/>
          <w:sz w:val="28"/>
          <w:sz w:val="28"/>
          <w:szCs w:val="28"/>
          <w:rtl w:val="true"/>
          <w:lang w:bidi="fa-IR"/>
        </w:rPr>
        <w:t>با اندیشوران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نو در فقه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فرهنگی مؤسسه حضرت امام هادی علیه الصلوة والسلام</w:t>
      </w:r>
      <w:bookmarkStart w:id="7" w:name="pg3532_21970"/>
    </w:p>
    <w:p>
      <w:pPr>
        <w:pStyle w:val="Heading2"/>
        <w:numPr>
          <w:ilvl w:val="1"/>
          <w:numId w:val="1"/>
        </w:numPr>
        <w:rPr/>
      </w:pPr>
      <w:bookmarkStart w:id="8" w:name="__RefHeading___Toc374688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 و شنودی با یکی از علمای اهل سنّت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حرمتِ متعه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مَسح بر کفش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اهمیّتِ وارسی روایات مخالفِ شیعه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چکیده سخن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مسئله صید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مُدَوِّنان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فقه اَنصار…</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راویان فضائل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همرزمان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بحث تاریخی در فقه…</w:t>
      </w:r>
      <w:r>
        <w:rPr>
          <w:rFonts w:eastAsia="IRNazanin" w:cs="IRNazanin"/>
          <w:color w:val="111111"/>
          <w:sz w:val="28"/>
          <w:szCs w:val="28"/>
          <w:lang w:bidi="fa-IR"/>
        </w:rPr>
        <w:t>69</w:t>
      </w:r>
      <w:bookmarkStart w:id="10" w:name="pg3532_21972"/>
    </w:p>
    <w:p>
      <w:pPr>
        <w:pStyle w:val="Heading2"/>
        <w:numPr>
          <w:ilvl w:val="1"/>
          <w:numId w:val="1"/>
        </w:numPr>
        <w:rPr/>
      </w:pPr>
      <w:bookmarkStart w:id="11" w:name="__RefHeading___Toc3746891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بعضی از مُغرضان ، در زمان های گوناگون ، به تحریکاتی در کتاب های فقهی و اعتقادی و تاریخی ، درباره مشروعیّتِ فقه شیعه دامن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نگارنده تصمیم گرفت نگاهِ خوانندگان را به این مسئله جلب کند و درستی و استواری فقه امامیه را از میان کتاب های صحاح و سننِ اهل سنّت درآوَرَد و به همگان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 در فصل هفتم از مقدمه اش ـ باب علم الفقه و فرائض و احکام آن ـ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وشَذَّ أهلُ البیت بمذاهِبَ ابْتَدَعُوها وَفقة انْفَردُوا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شَیئاً مِن مذاهبهم ، ولا نَرْوی کُتُبَهم ، ولا أَثَرَ لِشَیء منها إلاّ فی مواطنهم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با مذاهب خود ساخته شان و فقهی که ویژه آنان است ، راهِ خاصِ خودشان را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از آیین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 و از کتاب هاشان</w:t>
      </w:r>
    </w:p>
    <w:p>
      <w:pPr>
        <w:pStyle w:val="BookText"/>
        <w:rPr/>
      </w:pPr>
      <w:r>
        <w:rPr>
          <w:rFonts w:ascii="IRNazanin" w:hAnsi="IRNazanin" w:eastAsia="IRNazanin"/>
          <w:color w:val="111111"/>
          <w:sz w:val="28"/>
          <w:sz w:val="28"/>
          <w:szCs w:val="28"/>
          <w:rtl w:val="true"/>
          <w:lang w:bidi="fa-IR"/>
        </w:rPr>
        <w:t xml:space="preserve">روایت نمی کنیم ، و اَثری از هیچ یک از آنها جز در همان جاهای خودشان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کامل حسین در مقدمه اش بر موطأ مالک می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الشیعةُ عن طریقه أحادیثَ کثیرةً ، لا نَجِدُها إلاّ فی کُتُب الشیعة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از طریق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را روایت می کند که جز در کتاب های شیعه ، جای دیگر آنها را نمی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الطبقات الکبری ـ در ترجمه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ثقةً ، کثیرَ العلمِ والحدیث ، ولَیْس یَروی عنه مَن یُحْتَجُّ به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ثقه به شمار می رود ، علم فراوانی داشت و بسیار حدیث نقل می کرد ، کسی که بتوان به قولش احتجاج ورزید ، از او روایت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فتنه برانگیز در نوشته های بسیاری هست و در سینه کسانی که در صددِ رویارویی با مکتب اهل بیت اند خلجان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هراز گاهی با این تحرکات می خواهند در روایات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ایجاد کنند و به این ادعا دست یازند که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می باشند و اسنادِ آنها صحیح و متصل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خواهیم کذب این گونه ادعاها را روشن سازیم و با استفاده از کتاب های صحاح و سنن ، مُوثَّق بودن روایات شیعه را بنمایانیم ، که کار چندان دشواری نمی باشد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مان از این کار ، چاره سازی و اصلاح شکافی است که ائمه مکتب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ابن تیمیه و ابن قیم جوزی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گاه در راویانی 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اند ، تشکیک می کنند و گاه خود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می برند و در هر دو حال هدفشان تضعیف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3" w:name="pg3532_21975"/>
    </w:p>
    <w:p>
      <w:pPr>
        <w:pStyle w:val="Heading2"/>
        <w:numPr>
          <w:ilvl w:val="1"/>
          <w:numId w:val="1"/>
        </w:numPr>
        <w:rPr/>
      </w:pPr>
      <w:bookmarkStart w:id="14" w:name="__RefHeading___Toc3746893_2749589250"/>
      <w:bookmarkStart w:id="15" w:name="_Toc5"/>
      <w:bookmarkEnd w:id="13"/>
      <w:bookmarkEnd w:id="14"/>
      <w:r>
        <w:rPr>
          <w:rtl w:val="true"/>
        </w:rPr>
        <w:t>گفت و شنودی با یکی از علمای اهل سنّت</w:t>
      </w:r>
      <w:bookmarkEnd w:id="15"/>
    </w:p>
    <w:p>
      <w:pPr>
        <w:pStyle w:val="BookText"/>
        <w:rPr/>
      </w:pPr>
      <w:r>
        <w:rPr>
          <w:rFonts w:ascii="IRNazanin" w:hAnsi="IRNazanin" w:eastAsia="IRNazanin"/>
          <w:color w:val="111111"/>
          <w:sz w:val="28"/>
          <w:sz w:val="28"/>
          <w:szCs w:val="28"/>
          <w:rtl w:val="true"/>
          <w:lang w:bidi="fa-IR"/>
        </w:rPr>
        <w:t xml:space="preserve">یکی از عالمانِ اهل سنّت ، در شهر مشهد ، به دیدارم آمد و همین مسئله جنجالی را مطرح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مسلمانان اختلافی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نزد شما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می باشد ، و به نظر ما خلیفه چهارم و داماد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مان به فضل و علم و تقوای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معترفیم ، اگر شما بتوانید برای ما ثابت کنید که فقه عملی تان همان فقه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 مذهب شما را می پذیریم و سیره ائمه تان را می پیرویم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شما حجّت است و هر دو معتقدیم که باید از آن حضرت تبعیّت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شما به امام علی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از آنان ثابت نشده ، نسبت می دهید ، این طُرُقی که شما از آنان روایت می کنید صحیح نمی باشد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غیر از آن علی است که شما می شناسید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به این مشاجرات دامن زنم و بگویم شما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می بندید ، اما با عدد و رقم نادرستی گفتارت را می نمایانم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روایاتِ منقول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محور بیرون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شیعه و سنّی متفق اند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نزد دو فرقه اختلافی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را روایت می کند ، و سنّی چیز دیگری از آن حضرت بر زبان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تنها 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و مانند آنها را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تنها شیعه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گویند و نظیرِ آنها در منابع اهل سنّت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محور اول ، نزد ما و شما حجّت است ، محور دوم جای بحث دارد ، هر کدام از دو فرقه ، سخنی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می دهند و ادعای صحّت آن را دارند ، باید دید کدام یک درست می گویند ؟ اگر این بحث روشن شود ، محور سوم و چهارم نیز معلوم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نقش سیاست در اختلافِ روایت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 درخواهیم یافت که آنچه که تنها 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 قابل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فقه حکومتی است ، بر اساسِ مصالح حکومت مبتنی است وتأمین منافع خلفا را مدنظر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گروه حاکم برای تحکیمِ احکام سلطانیِ خلفا و صاحب نفوذان ، گاه اخباری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این نیست که بسیاری از بزرگان صحابه ، دشمنانِ بارز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این خصومت ، بازتاب منفی بر اصولِ دین اسلام ـ به ویژه بر نقل حدیث از پیامبر ـ بر جای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محور چهارم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آنچه را تنها شیعه نقل کرده اند ، چیز غریبی به شمار آوریم و از فقه مسلمانان به دور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شیعه پیروان مکتب اهل بیت اند ، اینان از فقه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می دانند که دیگران از آن بی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طبیعی است ، نزد پیروان هر مذهبی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پیروان مالک گاه چیزهایی را می یابیم که اتباع ابو حنیفه نسبت به آنها آگاهی ندارند ، ابو حنیفه ، مطالبی را می گوید که برای شافعی نا آشناست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فضای سیاسی حاکم در آن زمان را در نظر آوریم ، مطلب بیشتر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طرد می کردند ، اهل بیت از بیم خطِ مشی حاکم ، گاه بعضی از روایات و اَخبار را به برخی از پیروانِ خاصِ خود می گفتند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تطبیق این نگرش می توان موارد زیر را شاهد آورد </w:t>
      </w:r>
      <w:r>
        <w:rPr>
          <w:rFonts w:eastAsia="IRNazanin" w:cs="IRNazanin"/>
          <w:color w:val="111111"/>
          <w:sz w:val="28"/>
          <w:szCs w:val="28"/>
          <w:rtl w:val="true"/>
          <w:lang w:bidi="fa-IR"/>
        </w:rPr>
        <w:t>:</w:t>
      </w:r>
      <w:bookmarkStart w:id="16" w:name="pg3532_21978"/>
    </w:p>
    <w:p>
      <w:pPr>
        <w:pStyle w:val="Heading2"/>
        <w:numPr>
          <w:ilvl w:val="1"/>
          <w:numId w:val="1"/>
        </w:numPr>
        <w:rPr/>
      </w:pPr>
      <w:bookmarkStart w:id="17" w:name="__RefHeading___Toc3746895_2749589250"/>
      <w:bookmarkStart w:id="18" w:name="_Toc6"/>
      <w:bookmarkEnd w:id="16"/>
      <w:bookmarkEnd w:id="17"/>
      <w:r>
        <w:rPr>
          <w:rtl w:val="true"/>
        </w:rPr>
        <w:t>حرمتِ متعه</w:t>
      </w:r>
      <w:bookmarkEnd w:id="18"/>
    </w:p>
    <w:p>
      <w:pPr>
        <w:pStyle w:val="BookText"/>
        <w:rPr/>
      </w:pPr>
      <w:r>
        <w:rPr>
          <w:rFonts w:ascii="IRNazanin" w:hAnsi="IRNazanin" w:eastAsia="IRNazanin"/>
          <w:color w:val="111111"/>
          <w:sz w:val="28"/>
          <w:sz w:val="28"/>
          <w:szCs w:val="28"/>
          <w:rtl w:val="true"/>
          <w:lang w:bidi="fa-IR"/>
        </w:rPr>
        <w:t xml:space="preserve">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قد حَرَّمَ مُتعَةَ النِّساء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را حرام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 ، چرا این همه اصرار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حلال بودنِ متعه هست ؟ و تأکید دارند که مذهب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متعه می باشد ؟</w:t>
      </w:r>
    </w:p>
    <w:p>
      <w:pPr>
        <w:pStyle w:val="BookText"/>
        <w:rPr/>
      </w:pPr>
      <w:r>
        <w:rPr>
          <w:rFonts w:ascii="IRNazanin" w:hAnsi="IRNazanin" w:eastAsia="IRNazanin"/>
          <w:color w:val="111111"/>
          <w:sz w:val="28"/>
          <w:sz w:val="28"/>
          <w:szCs w:val="28"/>
          <w:rtl w:val="true"/>
          <w:lang w:bidi="fa-IR"/>
        </w:rPr>
        <w:t>چرا گروهی تیرهای انتقاد و کینه را به جهت قائل شدن به مشروعیّت متعه ، بر شیعه نشانه گرفته اند ؟ چرا برای این کار ، تا زمانِ حاضر با شیعه مبارزه می کنند ؟</w:t>
      </w:r>
    </w:p>
    <w:p>
      <w:pPr>
        <w:pStyle w:val="BookText"/>
        <w:rPr/>
      </w:pPr>
      <w:r>
        <w:rPr>
          <w:rFonts w:ascii="IRNazanin" w:hAnsi="IRNazanin" w:eastAsia="IRNazanin"/>
          <w:color w:val="111111"/>
          <w:sz w:val="28"/>
          <w:sz w:val="28"/>
          <w:szCs w:val="28"/>
          <w:rtl w:val="true"/>
          <w:lang w:bidi="fa-IR"/>
        </w:rPr>
        <w:t xml:space="preserve">حلال بودن متعه به طرق گوناگون ـ نزد هر دو فرقه ـ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اجماع دارند ، و اَخبار صحیحی در این زمینه هست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منع ـ که ادعا شده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افترا بر امام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دیگران 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مکتب خلف در راستای تأمین مصالحشان ، آن را از زبان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نقل ها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ناک بودنِ این مسئله را دو چندان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خیبر از آن نهی کرد ، در خبر دیگر است که در جنگ حُنَین به این کار دست یازید ، و در خبر سوم است که در غزوه تبوک این سخن را گفت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می توان نادرستی ادعای مکتب خلفا را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گروهی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Style w:val="FootnoteAnchor"/>
          <w:rtl w:val="true"/>
        </w:rPr>
        <w:footnoteReference w:id="8"/>
      </w:r>
      <w:r>
        <w:rPr>
          <w:rFonts w:ascii="IRNazanin" w:hAnsi="IRNazanin" w:eastAsia="IRNazanin"/>
          <w:color w:val="111111"/>
          <w:sz w:val="28"/>
          <w:sz w:val="28"/>
          <w:szCs w:val="28"/>
          <w:rtl w:val="true"/>
          <w:lang w:bidi="fa-IR"/>
        </w:rPr>
        <w:t>، ابن عمر</w:t>
      </w:r>
      <w:r>
        <w:rPr>
          <w:rStyle w:val="FootnoteAnchor"/>
          <w:rtl w:val="true"/>
        </w:rPr>
        <w:footnoteReference w:id="9"/>
      </w:r>
      <w:r>
        <w:rPr>
          <w:rFonts w:ascii="IRNazanin" w:hAnsi="IRNazanin" w:eastAsia="IRNazanin"/>
          <w:color w:val="111111"/>
          <w:sz w:val="28"/>
          <w:sz w:val="28"/>
          <w:szCs w:val="28"/>
          <w:rtl w:val="true"/>
          <w:lang w:bidi="fa-IR"/>
        </w:rPr>
        <w:t>، سعد بن</w:t>
      </w:r>
    </w:p>
    <w:p>
      <w:pPr>
        <w:pStyle w:val="BookText"/>
        <w:rPr/>
      </w:pPr>
      <w:r>
        <w:rPr>
          <w:rFonts w:ascii="Amiri" w:hAnsi="Amiri" w:eastAsia="Amiri" w:cs="Amiri"/>
          <w:color w:val="111111"/>
          <w:sz w:val="28"/>
          <w:sz w:val="28"/>
          <w:szCs w:val="28"/>
          <w:rtl w:val="true"/>
          <w:lang w:bidi="ar-SA"/>
        </w:rPr>
        <w:t>ابی وقّاص</w:t>
      </w:r>
      <w:r>
        <w:rPr>
          <w:rStyle w:val="FootnoteAnchor"/>
          <w:rtl w:val="true"/>
        </w:rPr>
        <w:footnoteReference w:id="10"/>
      </w:r>
      <w:r>
        <w:rPr>
          <w:rFonts w:ascii="IRNazanin" w:hAnsi="IRNazanin" w:eastAsia="IRNazanin"/>
          <w:color w:val="111111"/>
          <w:sz w:val="28"/>
          <w:sz w:val="28"/>
          <w:szCs w:val="28"/>
          <w:rtl w:val="true"/>
          <w:lang w:bidi="fa-IR"/>
        </w:rPr>
        <w:t>، ابو موسی اَشعری</w:t>
      </w:r>
      <w:r>
        <w:rPr>
          <w:rStyle w:val="FootnoteAnchor"/>
          <w:rtl w:val="true"/>
        </w:rPr>
        <w:footnoteReference w:id="11"/>
      </w:r>
      <w:r>
        <w:rPr>
          <w:rFonts w:ascii="IRNazanin" w:hAnsi="IRNazanin" w:eastAsia="IRNazanin"/>
          <w:color w:val="111111"/>
          <w:sz w:val="28"/>
          <w:sz w:val="28"/>
          <w:szCs w:val="28"/>
          <w:rtl w:val="true"/>
          <w:lang w:bidi="fa-IR"/>
        </w:rPr>
        <w:t>و دیگران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مشروعیّت متعه زنان معتقدند و آن را کار حلالی می شمارند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نسخ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باوراست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عمر</w:t>
      </w:r>
      <w:r>
        <w:rPr>
          <w:rStyle w:val="FootnoteAnchor"/>
          <w:rtl w:val="true"/>
        </w:rPr>
        <w:footnoteReference w:id="14"/>
      </w:r>
      <w:r>
        <w:rPr>
          <w:rFonts w:ascii="IRNazanin" w:hAnsi="IRNazanin" w:eastAsia="IRNazanin"/>
          <w:color w:val="111111"/>
          <w:sz w:val="28"/>
          <w:sz w:val="28"/>
          <w:szCs w:val="28"/>
          <w:rtl w:val="true"/>
          <w:lang w:bidi="fa-IR"/>
        </w:rPr>
        <w:t>وعثمان</w:t>
      </w:r>
      <w:r>
        <w:rPr>
          <w:rStyle w:val="FootnoteAnchor"/>
          <w:rtl w:val="true"/>
        </w:rPr>
        <w:footnoteReference w:id="15"/>
      </w:r>
      <w:r>
        <w:rPr>
          <w:rFonts w:ascii="IRNazanin" w:hAnsi="IRNazanin" w:eastAsia="IRNazanin"/>
          <w:color w:val="111111"/>
          <w:sz w:val="28"/>
          <w:sz w:val="28"/>
          <w:szCs w:val="28"/>
          <w:rtl w:val="true"/>
          <w:lang w:bidi="fa-IR"/>
        </w:rPr>
        <w:t>ومعاویه</w:t>
      </w:r>
      <w:r>
        <w:rPr>
          <w:rStyle w:val="FootnoteAnchor"/>
          <w:rtl w:val="true"/>
        </w:rPr>
        <w:footnoteReference w:id="16"/>
      </w:r>
      <w:r>
        <w:rPr>
          <w:rFonts w:ascii="IRNazanin" w:hAnsi="IRNazanin" w:eastAsia="IRNazanin"/>
          <w:color w:val="111111"/>
          <w:sz w:val="28"/>
          <w:sz w:val="28"/>
          <w:szCs w:val="28"/>
          <w:rtl w:val="true"/>
          <w:lang w:bidi="fa-IR"/>
        </w:rPr>
        <w:t xml:space="preserve">و دیگر پیشوایان قدرتِ حاکم که این کار را برنمی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عمر از آن نهی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رسول خدا حلال بود ، من هر دو را حرام می سازم و مرتکبانِ آن دو را مجازات می کنم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در ورای پدیده اختلاف نقل از یک صحابی ، حاکمیّت قرار داشت ، و امر تنها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نمی شد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آری ، نقل های مختلفی از اَنَس بن مالک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دیگر فروع فقهی هست ، از ابن عبّاس و دیگر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مسعود ، ابو سعید خُدری ، مُعاذ بن جبل ، جابر بن عبدالله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مسائل فقهی ، نقل هایی آورده اند که با فتاوی خلفا هماهنگ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نقل ها رایحه فقه دستگاه حاکمه به مشام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نصوص تهی از تحریف و صحیحی در کتاب های صحاح و سنن وجود دارد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 کند ، هرچند علمای بلاد کوشیده اند آنها را تضعیف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احادیث ، با روایاتی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اهل بیت بازگو شده است گرد آید ، درمی یابیم که نقل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و درست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دو طریق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اهل سنّت و یکی از رویکردهای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از طریق شیعه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روایاتی را که در راستای سنتِ اصیل نبوی است ، نمی توان با احادیثِ دروغینی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بعضی از صحابه برای خدمت به خلفا آنها را ساخته اند ، تضعیف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موضع خلفا ـ که برسخت ترین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9" w:name="pg3532_21982"/>
    </w:p>
    <w:p>
      <w:pPr>
        <w:pStyle w:val="BookText"/>
        <w:rPr/>
      </w:pPr>
      <w:bookmarkEnd w:id="19"/>
      <w:r>
        <w:rPr>
          <w:rFonts w:ascii="IRNazanin" w:hAnsi="IRNazanin" w:eastAsia="IRNazanin"/>
          <w:color w:val="111111"/>
          <w:sz w:val="28"/>
          <w:sz w:val="28"/>
          <w:szCs w:val="28"/>
          <w:rtl w:val="true"/>
          <w:lang w:bidi="fa-IR"/>
        </w:rPr>
        <w:t xml:space="preserve">بودند ـ نمی تواند معیاری برای ترجیحِ بعضی از روایات بر بعضِ دیگر باشد </w:t>
      </w:r>
      <w:r>
        <w:rPr>
          <w:rFonts w:eastAsia="IRNazanin" w:cs="IRNazanin"/>
          <w:color w:val="111111"/>
          <w:sz w:val="28"/>
          <w:szCs w:val="28"/>
          <w:rtl w:val="true"/>
          <w:lang w:bidi="fa-IR"/>
        </w:rPr>
        <w:t>.</w:t>
      </w:r>
    </w:p>
    <w:p>
      <w:pPr>
        <w:pStyle w:val="Heading2"/>
        <w:numPr>
          <w:ilvl w:val="1"/>
          <w:numId w:val="1"/>
        </w:numPr>
        <w:rPr/>
      </w:pPr>
      <w:bookmarkStart w:id="20" w:name="__RefHeading___Toc3746897_2749589250"/>
      <w:bookmarkStart w:id="21" w:name="_Toc7"/>
      <w:bookmarkEnd w:id="20"/>
      <w:r>
        <w:rPr>
          <w:rtl w:val="true"/>
        </w:rPr>
        <w:t>مَسح بر کفش</w:t>
      </w:r>
      <w:bookmarkEnd w:id="21"/>
    </w:p>
    <w:p>
      <w:pPr>
        <w:pStyle w:val="BookText"/>
        <w:rPr/>
      </w:pPr>
      <w:r>
        <w:rPr>
          <w:rFonts w:ascii="IRNazanin" w:hAnsi="IRNazanin" w:eastAsia="IRNazanin"/>
          <w:color w:val="111111"/>
          <w:sz w:val="28"/>
          <w:sz w:val="28"/>
          <w:szCs w:val="28"/>
          <w:rtl w:val="true"/>
          <w:lang w:bidi="fa-IR"/>
        </w:rPr>
        <w:t xml:space="preserve">اهل سنّت بر این باورند که روایات متواتری هست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تا سه شبانه روز و پس از آنکه در جایی ساکن شد تا یک شبانه روز می تواند بر روی کفش مسح بکشد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این خبر قابل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حکومتی است که عمر آن را صادر کرد و بعضی از صحابه آن را برنتافتند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رسیده که بر کفش مسح می کشید و به آن فتوا می داد</w:t>
      </w:r>
      <w:r>
        <w:rPr>
          <w:rStyle w:val="FootnoteAnchor"/>
          <w:rtl w:val="true"/>
        </w:rPr>
        <w:footnoteReference w:id="20"/>
      </w:r>
      <w:r>
        <w:rPr>
          <w:rFonts w:ascii="IRNazanin" w:hAnsi="IRNazanin" w:eastAsia="IRNazanin"/>
          <w:color w:val="111111"/>
          <w:sz w:val="28"/>
          <w:sz w:val="28"/>
          <w:szCs w:val="28"/>
          <w:rtl w:val="true"/>
          <w:lang w:bidi="fa-IR"/>
        </w:rPr>
        <w:t>ودیگران را بر این کار فرا می خواند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ای در این زمینه به زید بن وَهْب جُهَنی ـ کارگزار خود در آذربایجان ـ نوشت و شرط کرد که مسافر تا سه شب و پس از ساکن شدن تا یک شب می تواند بر کفش مسح کند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زید بن وَهْب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نباید در مسح بر کفش دو دل شود ، هرچند از محل قضای حاجت بیاید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کفش ها مسح کرد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 اثبات می کند که فتوا به مشروع بودن مسح بر کفش ها از سوی عمر صادر شد ، عمر بود که دستور این کار را داد و به شهرها نامه نوشت که این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رایج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بعید نمی نماید که روایت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عبّاس ، عائشه و ابن عمر</w:t>
      </w:r>
      <w:r>
        <w:rPr>
          <w:rStyle w:val="FootnoteAnchor"/>
          <w:rtl w:val="true"/>
        </w:rPr>
        <w:footnoteReference w:id="25"/>
      </w:r>
      <w:r>
        <w:rPr>
          <w:rFonts w:ascii="IRNazanin" w:hAnsi="IRNazanin" w:eastAsia="IRNazanin"/>
          <w:color w:val="111111"/>
          <w:sz w:val="28"/>
          <w:sz w:val="28"/>
          <w:szCs w:val="28"/>
          <w:rtl w:val="true"/>
          <w:lang w:bidi="fa-IR"/>
        </w:rPr>
        <w:t xml:space="preserve">، برای تثبیت موضعِ عمر در مسح بر کفش ، سامان یابد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که بر کفش مسح می کرد</w:t>
      </w:r>
      <w:r>
        <w:rPr>
          <w:rStyle w:val="FootnoteAnchor"/>
          <w:rtl w:val="true"/>
        </w:rPr>
        <w:footnoteReference w:id="26"/>
      </w:r>
      <w:r>
        <w:rPr>
          <w:rFonts w:ascii="IRNazanin" w:hAnsi="IRNazanin" w:eastAsia="IRNazanin"/>
          <w:color w:val="111111"/>
          <w:sz w:val="28"/>
          <w:sz w:val="28"/>
          <w:szCs w:val="28"/>
          <w:rtl w:val="true"/>
          <w:lang w:bidi="fa-IR"/>
        </w:rPr>
        <w:t>واین کار را برای مسافر تا سه شبانه روز و برای ساکن ، تا یک شبانه روز جایز می دانست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این سخن ، به ابن عبّاس</w:t>
      </w:r>
      <w:r>
        <w:rPr>
          <w:rStyle w:val="FootnoteAnchor"/>
          <w:rtl w:val="true"/>
        </w:rPr>
        <w:footnoteReference w:id="28"/>
      </w:r>
      <w:r>
        <w:rPr>
          <w:rFonts w:ascii="IRNazanin" w:hAnsi="IRNazanin" w:eastAsia="IRNazanin"/>
          <w:color w:val="111111"/>
          <w:sz w:val="28"/>
          <w:sz w:val="28"/>
          <w:szCs w:val="28"/>
          <w:rtl w:val="true"/>
          <w:lang w:bidi="fa-IR"/>
        </w:rPr>
        <w:t>و ابن مسعود</w:t>
      </w:r>
      <w:r>
        <w:rPr>
          <w:rStyle w:val="FootnoteAnchor"/>
          <w:rtl w:val="true"/>
        </w:rPr>
        <w:footnoteReference w:id="29"/>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حالی است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روایت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الکتابُ الخُفَّین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 بر مسح بر کفش ها پیشی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وضو و مسح بر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 کتاب وضوء النبی آورده ایم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معترضان بر عمر در مسح بر کفش بود ،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یُروی هذا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سخنی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 هذا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سخنی است که از تو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احتمال می داد این فتوا را بر زبان عمر ساخته باشند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خصیف رسیده که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غلام عبدالله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 که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هنگامی که سعد و ابن عمر درباره مسح بر کفش از عمر سؤال کردند ، نزد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سخن سعد را تایید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 می دانیم که پیامبر بر کفش مسح کشید ، آیا این کار قبل از نزولِ سوره مائده بود یا بعد از آن ؟</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نزول سوره مائده این کار را نکرد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تو نخواهد گفت که پیامبر بعد از آنکه سوره مائده نازل شد ، بر کفش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 عمر ،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بسیاری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عمر را در مسح بر پا افزار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زیر درباره نادرستی مسح بر پا افزار ، از عائشه رسیده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أَحُزُّهما أو أَحُزُّ أصابعی بالسِّکِّین ، أَحَبُّ إلَیَّ من أَن أَمْسَح علیهما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پاهایم را بِبُرَم یا انگشتانم را با چاقو قطع کنم ، برایم محبوب تر است از اینکه بر کفش ها مسح کشم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تُقْطَع قَدَمای أَحَبُّ إلَیّ مِن أَن أَمْسِحُ علی الخُفّین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پایم قطع شود ، نزدم پسندیده تر است از اینکه بر کفش ها مسح کشم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أَمْسَحُ علی جلدِ حمار أَحَبُّ إلیَّ مِن أن أَمْسَحَ علی الخُفَّین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پوست خری دست بکشم ، دل انگیزتر است برایم از اینکه بر کفش ها مسح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این سخنانِ صریح عائشه ، به خشم می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زنی اهمیّت ندهید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چنین ، به وجود تعارض میان دو نقل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فقه حکومتی را استوار می سازد ، و دیگری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 گوید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نقلی که حاکمیّت را تأیید می کند ، دست پختِ نظام حکومتی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حکومت با تکیه بر اهرم قدرت می تواند هر روایتی را که بخواهد به هر صحابی که خواست بچسباند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پشتوانه حکومت و قدرت در میان نباشد ، کسی چنین جرأتی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بعید به نظر نمی رسد که سلطه حاکم به اَصحاب اقوالی را نسبت داده باشد که دیدگاه عمر را در مسح بر خُفَّین تأیید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دو نقلی را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اهل سنّت روایت شده برگیریم و آن را با آنچه از 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جمع کنیم ، صحّت مدّعای ما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نقل ثابت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مکتب خلفا از آن حضرت نقل می کند ، به دور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زید بن علی ـ به نقل از پدرش ، از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وُلد فاطمة لا نَمسَحُ علی الخُفّین ، ولا العمامة ، ولا کمة ، ولا خمار ، ولا جهاز</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فرزندان فاطمه بر کفش و عمامه مسح نمی کنیم و نیز بر آستین ، روسری و دستمال دست نمی 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مصقله می 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مسح بر پا افزار چیست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این عقیده بود که مسافر تا سه شبانه روز و مقیم تا یک شبانه روز می تواند بر کفش مسح کند ، و پدرم در سفر و حَضَر این کار را جایز نمی دانست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نزد آن حضرت بیرون آمدم و به آستانه در رسیدم ، به من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توجه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رو کردم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کانوا یقولونَ برأیهم فَیَخْطَؤُون ویُصیبُونَ ، وکان أبی لا یَقولُ برأیه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حاکم به رأی خویش فتوا می دهند ، خطا می کنند و به صواب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به رأیِ خود فتوا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والبیه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بیت لا نَمْسَحُ علی الخُفَّین ، فَمَن کانَ من شیعتنا فَلْیَقْتَدِ بنا وَلْیَسْتَنَّ بِسُنَّتنا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خاندانی هستیم که بر پا افزار مسح نمی کشیم ، هرکه شیعه ماست به ما اقتدا کند و سنّت ما را بپیرود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سنّت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ربیع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درباره مسح بر کفش پرسیدم ، گفت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را دیدم که بر پا افزار مسح می کردند تا اینکه مردی از بنی هاشم ، محمّد بن علی بن حسین را ـ که هرگز مثل او را ندیدم ـ ملاقات کردم و در این باره سؤال کردم ، او مرا از این</w:t>
      </w:r>
    </w:p>
    <w:p>
      <w:pPr>
        <w:pStyle w:val="BookText"/>
        <w:rPr/>
      </w:pPr>
      <w:r>
        <w:rPr>
          <w:rFonts w:ascii="IRNazanin" w:hAnsi="IRNazanin" w:eastAsia="IRNazanin"/>
          <w:color w:val="111111"/>
          <w:sz w:val="28"/>
          <w:sz w:val="28"/>
          <w:szCs w:val="28"/>
          <w:rtl w:val="true"/>
          <w:lang w:bidi="fa-IR"/>
        </w:rPr>
        <w:t xml:space="preserve">کار بازداشت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خفّین مسح نمی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 مَسح کفش پیشی گرفته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زمانی که آن حضرت مرا نهی کرد ، بر پا افزار مسح نکشیدم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اَنساب سمعانی از جعفر موسائی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در سه چیز تقیّه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نماز خواندن ، زیارت قبورِ مردگان ، و ترک مسح بر خُفَّین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سه چیز تقیّه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را مسح نکردن بر کفش شمرد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 نقل ها ادعای مکتب اجتهاد و رأی را ـ در نسبت مسح بر پا افزار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تکذیب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روایات صحیح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و سیره عملی خاندان آن حضرت تا زمان حاضر ، سازگاری ندارد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نیز بزرگانی از صحابه با نظر عُمَر همسو نمی باشند و مسح بر کفش را نمی پذیرند مگر اینکه سرمای شدید ـ و مانند آن ـ شخص را به این کار 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را باید همواره به خاطر داشت که حکومت و صاحبان قدرت و زور همواره می کوشیدند فقه عُمَر را از زبان صحابه باز گویند و با این ترفند به آن اصالت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نسبتِ شست و شوی پاها ـ در وضو ـ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های دیگری که به آن حضرت نسبت می دهند ، که ما در کتابِ وضوء النبی ابعاد مختلفِ آن را روشن ساخته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 این باور است که ما می توانیم فقه خودمان را از کتاب های صحاح و سنن اهل سنّت درآوریم و استوار سازیم و این امر ، کار دشواری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میانِ روایات و اقوالِ صحابه و تابعان ، روایاتی هست که دیدگاه های ما را تأیید می کند و ما می توانیم فقه و روایاتمان را با روش علمی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سیاسی سلبی و نفی موارد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بخشیم و درستی آن را به اثبات رسانیم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اثباتِ فقه کامل شیعی از زبان صحابه ، از سوی رجال شیعه در کتاب های اهل سنّت ، امکان ندارد وقوع آن به ذهن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شیعیان همواره از سوی حاکمان طرد می شدند و فراری بودند ، رجال اهل سنّت مردم را از آنها بازمی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اگر دست مایه صحیحی از سوی صحابه در صحاح شما نباشد ، چگونه می توان بر فقه تکامل یافته شیعی در نزد شما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عمده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تابع اصول شرعی بودند و رأی محوری را برنمی 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رأی را همتای قرآن و سنّت قرار دادند پس از آنکه بنیان های آن در روز شورا پی ریزی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دوم ، همان کسانی اند که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 سنّت پیامبر و سیره شیخین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حالی است که ابوبکر و عمر در آغاز خلافتشان درباره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در قرآن هست ، از صحابه می پرسیدند</w:t>
      </w:r>
      <w:r>
        <w:rPr>
          <w:rStyle w:val="FootnoteAnchor"/>
          <w:rtl w:val="true"/>
        </w:rPr>
        <w:footnoteReference w:id="43"/>
      </w:r>
      <w:r>
        <w:rPr>
          <w:rFonts w:ascii="IRNazanin" w:hAnsi="IRNazanin" w:eastAsia="IRNazanin"/>
          <w:color w:val="111111"/>
          <w:sz w:val="28"/>
          <w:sz w:val="28"/>
          <w:szCs w:val="28"/>
          <w:rtl w:val="true"/>
          <w:lang w:bidi="fa-IR"/>
        </w:rPr>
        <w:t>، لیکن عمر آن گاه که فتواها و روایاتش از سوی بسیاری از صحابه تخطئه شد ، روش خود را تغییر داد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سیره آورده اند که عمر به کسانی که نوشته های</w:t>
      </w:r>
    </w:p>
    <w:p>
      <w:pPr>
        <w:pStyle w:val="BookText"/>
        <w:rPr/>
      </w:pPr>
      <w:r>
        <w:rPr>
          <w:rFonts w:ascii="IRNazanin" w:hAnsi="IRNazanin" w:eastAsia="IRNazanin"/>
          <w:color w:val="111111"/>
          <w:sz w:val="28"/>
          <w:sz w:val="28"/>
          <w:szCs w:val="28"/>
          <w:rtl w:val="true"/>
          <w:lang w:bidi="fa-IR"/>
        </w:rPr>
        <w:t xml:space="preserve">حدیثی شان را ـ در راستای اجابت دستور عمر ـ پیش او آوردند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نَأْخُذُ منکم وَنَرُدُّ علیکم</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شما می ستانیم ، آنچه را به نظرمان درست آمد بر شما عرضه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عمر است که فتوا را محدود به کسی ساخت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بعضی از صحابه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تُفتی الناسَ ولَسْتَ أمیراً ؟ وَلِّ حارَّها مَن تَولّی قارَّها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با اینکه امیر نیستی برای مردم فتوا می دهی ؟ آن را به کسی واگذار که خیر و شرش به او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موسی اشعری رسیده که فتوا به جواز متعه می داد ، مردی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فتواهایت درنگ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که عمر در اعمالِ شریعت چه پدید آورد </w:t>
      </w:r>
      <w:r>
        <w:rPr>
          <w:rFonts w:eastAsia="IRNazanin" w:cs="IRNazanin"/>
          <w:color w:val="111111"/>
          <w:sz w:val="28"/>
          <w:szCs w:val="28"/>
          <w:rtl w:val="true"/>
          <w:lang w:bidi="fa-IR"/>
        </w:rPr>
        <w:t>!</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رفتار حاکمان با صحابه بزرگی چون ابو موسی در حال</w:t>
      </w:r>
    </w:p>
    <w:p>
      <w:pPr>
        <w:pStyle w:val="BookText"/>
        <w:rPr/>
      </w:pPr>
      <w:r>
        <w:rPr>
          <w:rFonts w:ascii="IRNazanin" w:hAnsi="IRNazanin" w:eastAsia="IRNazanin"/>
          <w:color w:val="111111"/>
          <w:sz w:val="28"/>
          <w:sz w:val="28"/>
          <w:szCs w:val="28"/>
          <w:rtl w:val="true"/>
          <w:lang w:bidi="fa-IR"/>
        </w:rPr>
        <w:t xml:space="preserve">حیات ، این گونه بود ، می توان حدس زد که با صحابیانی که در قید حیات نبودند ، پس از چند قرن ، چه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به نظر نمی رسد که اینان برای تقویتِ جایگاه حاکمان ، به بزرگان صحابه سخنانی را نسبت دهند که با نظر خلیفه 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رویه ای است که آنان در مسائل بسیاری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چندان پوشیده نیست ، می توان اثبات کرد که سردمداران قدرت و حکومت ، فقه و حدیث را بازیچه خود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 توان از سخنان گروه دیگر از صحابه که جز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برنمی تافتند ،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را که سیره عمر را در متعه و تکبیر در نماز بر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می کردند ، به خطا می دانستند با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أَتْرک سُنّةَ أبی القاسم لقول أحد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را برای گفته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خوشامدِ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أَفَسُنّة عمر تُتَّبَع أم سُنّة رسول الله</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عمر باید پیروی شود یا سنّت رسولِ خدا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أبو القاسم وهو خیرٌ من عمر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این کار را کرد ، جایگاه او بسی والاتر از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شمار روایاتِ این گروه ، در صحاح و سنن و دیگر کتاب ها اندک نمی باشد و با تکیه بر آنها می توان به راحتی آنچه را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خط مشی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 ضعیف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مؤیّدات و شواهد صحیحی از ابن مسعود و ابن عبّاس و عائشه و دیگران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عائشه از مسح بر کفش نهی می کند ، خبری را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روایت شده و نزد اهل سنّت ضعیف به شمار می رود ، تقویت می کند و براساسِ مبانی اهل سنّت ، آن را به سطح خبر صحیح ارتقا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طریق صحیح ، مضمونِ آن از عائشه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حدیث عائشه پشتوانه یکی از دو روایتِ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سخن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جابر یا ابن عبّاس یا ابو موسی اشعری قائل به جواز متعه اند ، خبری را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متعه هست و نزد اهل سنّت ضعیف می باشد ، به درجه خبر صحیح ارتقا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مضمونِ آن در آثار صحیح دیگر آنها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حدیث ضعیف را با شاهد یا تابع صحیح ـ برحسب معیارهای اهل سنّت ـ می توان به حدّ خبر صحیح ارتقا داد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نزد 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آنها را بدان</w:t>
      </w:r>
    </w:p>
    <w:p>
      <w:pPr>
        <w:pStyle w:val="BookText"/>
        <w:rPr/>
      </w:pPr>
      <w:r>
        <w:rPr>
          <w:rFonts w:ascii="IRNazanin" w:hAnsi="IRNazanin" w:eastAsia="IRNazanin"/>
          <w:color w:val="111111"/>
          <w:sz w:val="28"/>
          <w:sz w:val="28"/>
          <w:szCs w:val="28"/>
          <w:rtl w:val="true"/>
          <w:lang w:bidi="fa-IR"/>
        </w:rPr>
        <w:t xml:space="preserve">جهت که سازگار با روایات شیعه یا عمل آنها باشد ، ضعیف می دانند، روش مذکور را می توان به کار بست و با روایاتِ صحیحی که دیگر صحابه نقل می کنند و مضمون آن را صحیح می دانند ، ضعفِ سندی روایات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جبران ساخت و آنها را اَخبار صحیحی به شمار آورد که باید پیروی و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است که آنچه را شیعه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 از چهار پشتوانه علمی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 به طُرُق ویژه خود ،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روایتی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در کتاب های اهل سنّت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نقل دیگری را می آورند که بر خلاف این نقل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صحابه در کتاب های اهل سنّت ، همسو با آنچه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نادرست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با توجّه به صحّتِ آنها ، صحّتِ روایاتی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 اثبات می گردد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نمی شود و در کتاب های اهل سنّت هست ، از سوی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امویان و دیر کسان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راستای تأمین منافع آنان مطرح می شود و استفاده ابزاری از آن مدّ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به روشنی در سخن ابن عبّاس می توان دید ، آنجا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لَعَنَهم اللهُ ترکوا السنّةَ مِن بُغض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نفرین خدا بر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دشمنی با علی سنّت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برای دشمنی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اِبایی ندارند که دین خدا و سنّت پیامبر را واگذارند ، در دروغ بستن به آن حضرت ـ به هر وسیله و روش ممکن ـ نیز پروایی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همان تفسیر درستی است که می توان برای آن دسته از روایاتی ارائه داد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اثری از آنها در مرویات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نقل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مکتب خلفا ساخته و پرداخته شده و نمی توان بر آن اعتماد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نقش حکومت در نسبت بعضی از احکام بر صحابه پوشیده نیست ، و بدان جهت که اَمثالِ عمر احکامی را برای خود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عدم جواز متعه زنان ، نماز تراویح ، تکبیرات چهارگانه بر میّت ، مسح بر کفش ها و موارد فراوانِ دیگر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دولت 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حَمدانی ، فاطمیین ، آل بویه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مسائل فقهی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جهر بِسم الله در نماز ، جمع میان نماز ظهر و عصر و مغرب و عشاء ، حرمت گوشت</w:t>
      </w:r>
    </w:p>
    <w:p>
      <w:pPr>
        <w:pStyle w:val="BookText"/>
        <w:rPr/>
      </w:pPr>
      <w:r>
        <w:rPr>
          <w:rFonts w:ascii="IRNazanin" w:hAnsi="IRNazanin" w:eastAsia="IRNazanin"/>
          <w:color w:val="111111"/>
          <w:sz w:val="28"/>
          <w:sz w:val="28"/>
          <w:szCs w:val="28"/>
          <w:rtl w:val="true"/>
          <w:lang w:bidi="fa-IR"/>
        </w:rPr>
        <w:t xml:space="preserve">ماهی بدون فَلْس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که در شریعت تحریفی پدید آمده بود که طالبیین آن را برنمی 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که بر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آمده ، وارسی کنیم ، تحریفات فراوانی را در مکتب خلفا 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شیوه دیگری هست که از خلالِ آن ، ما می توانیم به توثیق روایاتِ شیعه بپردازیم و آن ، گردآوری روایات مورد اتفاق هر دو فرقه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می توان دریافت که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ابن خلدون و دکتر کامل حسین ادعا می کند ، تافته ای جدا بافته از روایاتِ مسلمانان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 بنابراین فرض است که در سطح آن قرار گیریم و روش آنان را بپیماییم وگرنه اعتقاد ما این است که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عالی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چنان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من حدیثِ پدرم می باشد ، و حدیث پدرم حدیث جدّش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صحیح عالی السند ، این حدیث است که فرزندان از پدرانشان نقل می کنند ، راویان همه امامانی اند که همگان بر فضل و علمِ آنها گواه اند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است که بعضی با این گونه سخنان ، می خواهند</w:t>
      </w:r>
    </w:p>
    <w:p>
      <w:pPr>
        <w:pStyle w:val="BookText"/>
        <w:rPr/>
      </w:pPr>
      <w:r>
        <w:rPr>
          <w:rFonts w:ascii="IRNazanin" w:hAnsi="IRNazanin" w:eastAsia="IRNazanin"/>
          <w:color w:val="111111"/>
          <w:sz w:val="28"/>
          <w:sz w:val="28"/>
          <w:szCs w:val="28"/>
          <w:rtl w:val="true"/>
          <w:lang w:bidi="fa-IR"/>
        </w:rPr>
        <w:t xml:space="preserve">مردم را از معارفِ راستینی که بر زبانِ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 محروم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آنچه در این بحث مد نظر است ، وارسی شواهد موجود در کتاب های اهل سنّت و گردآوری آنها می باشد تا از این طریق ، فقه شیعه را استوار سازیم و دیگران را بر الزام به آن واداریم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شیوه ، می توانیم نگرش فقهی مان را تصحیح کنیم و افق های جدیدی را در عمل فقهی و اعتقادی بگشاییم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روش ، پرده را از روی دستانی که دین اسلام را به بازی گرفتند برمی دارد و کشف می کند که چه کسانی در ورای این نسبت ها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و نخستین فردی در مکتب خلفا که عَلَمِ مخالفت با آنچه را که شیعه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روایت می کنند ، برافراشت ، چه کسی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نگاه ها را جلب کنیم بر ملابساتی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بسترسازیها و پیرایه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در شریعت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روایاتی که نزد 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 پیوسته در روند پشتیبانی از رأی شخص یا گروه ویژه ای است ، به روایاتی که برخلاف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توان ملزم شد ، بلکه باید در آنها درنگ ورزیم و زمینه پیدایی آنها را وارسی کنیم تا دریابیم چه کسی از آنها بهره می برد و در پشت 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موارد ، پشتِ پرده این روایات یکی 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به ابوبکر و عمر محدود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عائشه است و گاه ابو هُریره و گاه شخص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اَمثالِ اینان برخلافِ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می دهند ، واجب است از سوی بزرگانِ صحابه پشتیبانی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بعید نمی نماید به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یا انس بن مالک ، چیزهایی را نسبت دهند که روایتِ عائشه و ابو هریره و معاویه ودیگران را تأیید 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ائمه فقه قدرتِ حاکم ، ورای نسبتِ این اقوال گوناگونی اند که برخلافِ اصولِ شریعتِ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وقوع سه طلاق در یک مجلس ، که برخلاف صریح قرآن می باشد ،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مَرَّتَانِ فَإِمْسَاکٌ بِمَعْرُوف أَوْ تَسْرِیحٌ بِإِحْسَان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دو مرتبه جایز است ، پس از آن باید زن را به نیکی نگه داشت یا با احسان رها ساخت </w:t>
      </w:r>
      <w:r>
        <w:rPr>
          <w:rFonts w:eastAsia="IRNazanin" w:cs="IRNazanin"/>
          <w:color w:val="111111"/>
          <w:sz w:val="28"/>
          <w:szCs w:val="28"/>
          <w:rtl w:val="true"/>
          <w:lang w:bidi="fa-IR"/>
        </w:rPr>
        <w:t>.</w:t>
      </w:r>
      <w:bookmarkStart w:id="22" w:name="pg3532_22000"/>
    </w:p>
    <w:p>
      <w:pPr>
        <w:pStyle w:val="Heading2"/>
        <w:numPr>
          <w:ilvl w:val="1"/>
          <w:numId w:val="1"/>
        </w:numPr>
        <w:rPr/>
      </w:pPr>
      <w:bookmarkStart w:id="23" w:name="__RefHeading___Toc3746899_2749589250"/>
      <w:bookmarkStart w:id="24" w:name="_Toc8"/>
      <w:bookmarkEnd w:id="22"/>
      <w:bookmarkEnd w:id="23"/>
      <w:r>
        <w:rPr>
          <w:rtl w:val="true"/>
        </w:rPr>
        <w:t>اهمیّتِ وارسی روایات مخالفِ شیعه</w:t>
      </w:r>
      <w:bookmarkEnd w:id="24"/>
    </w:p>
    <w:p>
      <w:pPr>
        <w:pStyle w:val="BookText"/>
        <w:rPr/>
      </w:pPr>
      <w:r>
        <w:rPr>
          <w:rFonts w:ascii="IRNazanin" w:hAnsi="IRNazanin" w:eastAsia="IRNazanin"/>
          <w:color w:val="111111"/>
          <w:sz w:val="28"/>
          <w:sz w:val="28"/>
          <w:szCs w:val="28"/>
          <w:rtl w:val="true"/>
          <w:lang w:bidi="fa-IR"/>
        </w:rPr>
        <w:t xml:space="preserve">بر پژوهش گران و اصحاب فکر و قلم ، لازم است که سیر این مفرداتِ فقهی را پی گیری کنند تا دریابند که چه کسی از آنها سود می برد و استفاده می کند ؟ به ویژه آن گاه که این مفردات را تنها اهل سنّت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روایت می کنند و در نزد شیعه حدیثی که آنها را تأیید کند نمی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دیده عبرت بنگریم و تأکید حکومت را بر تأیید بعضی از مذاهب در نظر آوریم ـ زیرا در تاریخ ثبت شده که منصور عباسی به مالک دستور داد نگرش فقهی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را مطرح نسازد ـ به مسائل پوشیده بسیاری آگاه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خط مشیِ حکومت طرد روایات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است ، چرا مالک احادیثی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راستای تثبیتِ فقه حاکم نقل می کند ، و از نقل دیگر روایاتِ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می رود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اگر آنان نظرِ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 گفتند ،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طول قرن ها در فشار و تنگنا بود ـ تقویت می شد ، و این امر آنچه را آنان از صحابه روایت می کنند ، تضعیف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توانستند علوم امامانشان را انتشار دهند و حتّی بر نشر فضائل آنان قادر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اهل سنّت در کتاب های حدیثی شان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نمی کنند مگر آنچه را که در راستای فقه حاکمان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بر روایتِ بعضی از تابعین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فرزندانِ معصوم آن حضرت دست می یافتند که برخلاف نظرشان بود ، در تضعیف آن می کوشیدند یا آن را بر وجوه ضعیفِ دل خواه خودشان حمل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حالی است که آن روایت در کتاب های خودشان از صحابه و تابعان با طرق معتبر و براساسِ معیارهای درایه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درصدد هستیم شواهد معتبر را در کتاب های اهل سنّت ، برای رفع تهمت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آوریم و وجود مضمونِ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و سنن اهل سنّت با طرق معتبر از صحابه و تابعان ، به معنای بیگانگی با حدیث و فقه مسلمانان نمی باشد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راه خواهیم توانست خار و خاشاکی را که چشمه سار صاف و پاک علم برگرفته شده از خاندانِ وحی را پوشانده بزداییم ، و با دلایل قاطع روشن سازیم که نقل های مخالف با روایات شیعه در راستای تغذیه خط مشی حاکم و فقه خلفاست و نمی توان بر آنها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نگارنده یقینی است که بیشتر آموزه های فقهی و حدیثی ما در کتاب های اهل سنّت از زبان صحابه و تابعین روایت شده ، و لازم است از آنها طبق ابواب فقهی ، کتاب طهارت تا دیات ، جمع بندی شود و سامان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اهل سنّت بگویند این گونه روایات ضعیف یا منسوخ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سخن را آنان در بیشتر مسائل اختلافی مطرح می سازند ، و نسخ را توجیه نگرش خود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نمی توانند اصل وجودِ قولِ دیگر را در کتاب هاشان انکار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بایسته است پژوهش گران در دو مسئله ادعای ضعیفِ روایت و نسخ در مسائل اختلافی ، نیک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دو را فقه حاکم در تنگناهایی که بدان گرفتار می آمد ، به کار 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بعضی از محققان درباره نسخ بررسی کاملی انجام دهند و مسائل فقهی و اعتقادی را که در آنها ادعای نسخ شده ، گردآورند تا روشن شود که آیا به راستی آنها منسوخ اند یا اینکه نسخ را به عنوان توجیهی برای عمل خلفا و صحابه مطرح کرده 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پس از ثبوت مشروعیّت متعه نزد آنها ،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عمر را که از آن نهی کرد تأیید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مشروعیّت مسح پا جزم دارند که این کار ، دین خداست ، سپس ادعای نسخ آن را بیان می دارند و می گویند مقصود از اخبار صحیحی که درباره مسح پاست ، مسح بر کفش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کتابت ـ که یک اصل پذیرفته شده در جوامع انسانی است ـ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جایز بود ، ولی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احادیث به همراه قرآن نوشته می شود ، از آن نهی کرد تا حدیث با قرآن نیامیزد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روایاتی که درباره تدوین علم است نزد اهل سنّت منسوخ می باشد تا از این طریق موضع عمر ـ که از تدوین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ـ تقویت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مشاهده می شود که هیچ مسئله اختلافی نمی توان یافت مگر اینکه رد پای نسخ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وارسی همه جانبه نسخ را ضروری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 قدرت حاکم ، فقه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فضائل آن حضرت را برنمی تافت و بالاترین از این ، آنان آنچه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شد تحریف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بن عیّاش ،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مُغیره می گفت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یُصَدِّق عَلَی علی فی الحدیث عنه ، إلاّ مِن أصحاب عبدالله بن مسعود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را از علی تصدیق نمی کرد مگر اینکه از اصحاب عبدالله بن مسعود روایت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بصری رسیده که هنگام حدیث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نمی کرد اسمِ آن حضرت را بر زبان آورد ، با کنایه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زینب می گوید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روست که نگارنده پژوهش گران را به وارسی فقه مقایسه ای همراه با رویکردی سیاسی و اجتماعی فرا می خواند تا آگاهی بر اموری پدید آید که به اختلاف در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شناخت عقاید و آرا و حالات نفسانی این افراد ، گره گشای این معماست و پژوهش گر را به علل و اَسبابی رهنمون می شود که به این اختلافات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شناخت خط مشی ها و آرای مطرح مطرح در آن زمان ، برای شناسایی ریشه های اختلاف و تاریخ فقه ، مهم اند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در بحث های فقه مقایسه ای از دائره مناقشه در ادله شرعی پا فراتر نهیم و خط مشی ها و نگرش های اعتقادی زمان صدور متن ، سخن به میان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حاکم ، سیاستِ بسنده بودن قرآن را برای محدود سازی نشر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مثالب و فضائل ، در پیش گرفت و نیز برای آنکه صحابه و راویان بر بد فهمی خلیفه پی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مشروعیتِ تعدُّد آرا قائل شدند تا در برابر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بایستند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محقق بر اَمثال این امور اِشراف یابد ، با آنها تعامل دیگری خواهد داشت و از تقلید کوری که رویه پیشینیان را دنبال می کند بیرون می آید و درمی یابد که امر تنها به اختلاف نگرش ها مربوط نمی شود و فقط به اختلاف در شنیدن و دیدن برنمی گردد ، بلکه سیاست و هوای نفسِ گروه حاکم ، در پا برجا کردن اختلاف فقهی میان مسلمانان نقش اساسی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اُموی و عباسی می خواستند طالبیین را شناسایی کنند ، برای این کار ، از اختلاف نظر صحابه و تابعین ـ در احکام و عقاید ـ سوء استفاده کردند و آن را بهترین وسیله برای شناسایی طالبیین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اختلاف پیش از این تاریخ وجود داشت و ما آن را انکار نمی کنیم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و عباسیان از این اختلاف استفاده ناجوان مردانه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فقه حاکم بر لزوم اقتدا به ابوبکر و عمر بنا شده بود ، سپس عثمان در پی آمد ، بعد خلفای چهارگانه مطرح شد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p>
    <w:p>
      <w:pPr>
        <w:pStyle w:val="BookText"/>
        <w:rPr/>
      </w:pPr>
      <w:r>
        <w:rPr>
          <w:rFonts w:ascii="IRNazanin" w:hAnsi="IRNazanin" w:eastAsia="IRNazanin"/>
          <w:color w:val="111111"/>
          <w:sz w:val="28"/>
          <w:sz w:val="28"/>
          <w:szCs w:val="28"/>
          <w:rtl w:val="true"/>
          <w:lang w:bidi="fa-IR"/>
        </w:rPr>
        <w:t>مُبَشَّره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نفری که پیامبر مژده بهشت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عدالت همه صحابه قائل شدند ، در حالی که خدای متعال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صراط مستقیمِ من ، آن را بپیروید و دیگر راه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انحرافی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نپیمایید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از نزد غیر خدا بود ، در آن اختلاف فراوانی می یافتند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ورای تدوین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تدیُّن به مذاهب چهارگانه اهل سنّت</w:t>
      </w:r>
      <w:r>
        <w:rPr>
          <w:rStyle w:val="FootnoteAnchor"/>
          <w:rtl w:val="true"/>
        </w:rPr>
        <w:footnoteReference w:id="57"/>
      </w:r>
      <w:r>
        <w:rPr>
          <w:rFonts w:ascii="IRNazanin" w:hAnsi="IRNazanin" w:eastAsia="IRNazanin"/>
          <w:color w:val="111111"/>
          <w:sz w:val="28"/>
          <w:sz w:val="28"/>
          <w:szCs w:val="28"/>
          <w:rtl w:val="true"/>
          <w:lang w:bidi="fa-IR"/>
        </w:rPr>
        <w:t xml:space="preserve">، امویان و عبّاسیان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علمای درباری افکار خلفا را در عهد اموی به عنوان حدیث ، اصالت بخشیدند و به عنوان فقه اسلامی در عهد عباسی رواج دادند و آن گاه فقهی را ارزانی امتِ اسلام داشتند که آشکارا با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داشت ، تا از این طریق آنها را شناسایی و از امت اسلامی طرد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برماست که که در این باره بیندیشیم و به چاره اندیشی درست دست یازیم تا کوچک نمایی ها و بزرگ نمایی ها را تمیز دهیم و صحیح را از ضعیف باز شناسیم ، لازم است روشی را ترسیم کنیم که بافته های بدعت گران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نیازمند برنامه و مشاوره میان علماست تا روشی یک دست وصحیح به 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مسئله فقهی ـ افزون بر اختلاف نگرش ها و زیر ساخت ها ـ شکل حکومتی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به تدوین حدیثِ نبوی پرداختند و آنچه را ابن شهاب زُهْری ـ کسی که لقمه دم دست اُمرا به شمار می آمد</w:t>
      </w:r>
      <w:r>
        <w:rPr>
          <w:rStyle w:val="FootnoteAnchor"/>
          <w:rtl w:val="true"/>
        </w:rPr>
        <w:footnoteReference w:id="58"/>
      </w:r>
      <w:r>
        <w:rPr>
          <w:rFonts w:ascii="IRNazanin" w:hAnsi="IRNazanin" w:eastAsia="IRNazanin"/>
          <w:color w:val="111111"/>
          <w:sz w:val="28"/>
          <w:sz w:val="28"/>
          <w:szCs w:val="28"/>
          <w:rtl w:val="true"/>
          <w:lang w:bidi="fa-IR"/>
        </w:rPr>
        <w:t xml:space="preserve">ـ نوشت ، به همه سرزمین ها فرستادند و دیگران را ملزم ساختند که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پابند باشند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عباسی جریان فقهی دستگاه حاکمه نخست با نزدیک ساختن ابو حنیفه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از او خواستند که مسائل سختی را ـ در حضور همگان ـ از امام بپرسد ، در ادامه منصور دستور داد که در هنگام مناسک حج ، جز مالک بن انس کسی فتوا ندهد</w:t>
      </w:r>
      <w:r>
        <w:rPr>
          <w:rStyle w:val="FootnoteAnchor"/>
          <w:rtl w:val="true"/>
        </w:rPr>
        <w:footnoteReference w:id="59"/>
      </w:r>
      <w:r>
        <w:rPr>
          <w:rFonts w:ascii="IRNazanin" w:hAnsi="IRNazanin" w:eastAsia="IRNazanin"/>
          <w:color w:val="111111"/>
          <w:sz w:val="28"/>
          <w:sz w:val="28"/>
          <w:szCs w:val="28"/>
          <w:rtl w:val="true"/>
          <w:lang w:bidi="fa-IR"/>
        </w:rPr>
        <w:t xml:space="preserve">و سرانجام ـ در دوره های بعد ـ مذاهب اسلامی به چهار مذهب منحصر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کوشیدند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صحنه های سیاسی و اجتماعی دور سازند و هدفشان از این کار شناسایی طالبیین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مخالفان سیاسی حکومت های اموی و عباسی به شمار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 گیری نصوص حدیثی و مواضعِ فقهی ، این ادعا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وزیر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چینان به هارون خبر رساندند که او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تصمیم گرفت خودش این خبر را وارسی کند ، هنگام نماز از روزنه دیوار ، به وضوی علی بن یقطین نگریست ، دید مانند سنیان وضو می گیرد ، دلش نسبت به او صاف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آن علی بن یقطین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فرستاد و درباره مسحِ برعکس روی پا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 او را به شستن پاها هنگام وضو فرمان داد ، علی بن یقطین از پاسخ امام در شگفت ماند ، امر آن حضرت را امتثال کرد و چون اهل سنّت وضو گرفت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ماجرا پایان یافت ونظر هارون نسبت به علی بن یقطین برگشت ، نامه دیگری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را به وضوی سابق فراخواند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گزارش به ما می نمایاند که حاکمان طالبیین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ضمن وضو ،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نمی توانستند سنّت جدشان را که سینه به سینه از پدرانشان به آنها رسیده بود ، وانهند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 حاکمانْ دین را دست مایه براندازی متدینان و مخالفان سیاسی شان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می خواست یحیی بن عبدالله بن حسن را دست گیر کند ، برای هرکس که نشانی از او دهد ، جایزه ای تعیین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دست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دریافتی که او یحیی بن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خواند ، سپس نمازی را به جا آورد که به گمانم نماز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هر دو نماز را طول داد و دو رکعت آخر را به جا نیاورد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به خاطر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نماز عصر است زمانِ آن نزد شیعه ، همان وقت می 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 رشید با توجه به نماز ، شیعه را شناسایی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شیعه نمازهای چهار رکعتی را در سفر دو رکعت می خواند ، و ظهر و عصر را با هم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حقایق تاریخی ، درمی یابیم که مسائل دینی در زمان های بسیاری دست مایه امور سیاسی شدند و حاکمان با این اعمال اهداف فراوانی را دنبال می کردند ، از جمله اینکه زمینه همکاری ساده اندیشان را با خود فراهم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به فقه گروه خاصی در شریعت عادت داشتند ، اگر شخصی را می دیدند که وضویی می گیرد و نمازی می خواند که برخلاف رویّه شناخته شده آنهاست ، بر او خشم می گرفتند و او را از دائره اسلام بیرون می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 هرگاه صاحبان قدرت یکی از طالبیین را دست گیر می کرد ، مردم با قوای حکومتی همکاری می کردند با ادعای اینکه وی مسلمان نمی باشد ، بلکه رافضی است که احکام اسلام را دور می افکند ، بنگرید به وضو و نماز و حج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وضو و نماز و حج دیگر مسلمانان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مخالف دین و شریعت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ساده اندیش تحت تأثیر این سخنان قرار می گرفتند و باور می کردند که آن شخص بدعت گذار و خارج از اسلام است و با سنّت مطهّر و شریعتِ خدا مخالفت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علوی بود ، سخت ترین شکنجه ها را به جان می پذیرفت و با جدیّت مبارزه</w:t>
      </w:r>
    </w:p>
    <w:p>
      <w:pPr>
        <w:pStyle w:val="BookText"/>
        <w:rPr/>
      </w:pPr>
      <w:r>
        <w:rPr>
          <w:rFonts w:ascii="IRNazanin" w:hAnsi="IRNazanin" w:eastAsia="IRNazanin"/>
          <w:color w:val="111111"/>
          <w:sz w:val="28"/>
          <w:sz w:val="28"/>
          <w:szCs w:val="28"/>
          <w:rtl w:val="true"/>
          <w:lang w:bidi="fa-IR"/>
        </w:rPr>
        <w:t xml:space="preserve">می کرد تا از سنتِ صحیح پاسداری کند ، سنّتی که از عترتِ پاک پیامر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 کسانی که همتای قرآن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علویان را به رفض متهم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فقه حاکم را برنمی تافتند نه اسلام را ، بلکه آنان ناشرانِ احادیثِ پیامبر و روشن گران احکامِ او بودند ، در برابر بدعت های حاکمان در احکام می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اعتقاد اهل السنّه از شعیب بن جریر آمده است که از سُفیان ثَوری خواست برایش سنّت را باز گوید ، سفیان گفت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 غیر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شعیب ، آنچه را نوشتی سودی برایت ندارد مگر اینکه مسح بر کفش را بپذیری و اعتقاد یابی که اخفای بسم الله از جهر آن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نماز پشت سر هر نیکوکار و بدکار تن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لوای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ناملایمات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ورزی خواه سلطان ستم کار و خواه عادل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 همه نمازها را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لیکن نماز جمعه و عید فطر و قربان را پشت سر هرکس که درک کردی بگزار ، در دیگر نمازها اختیار با خودِ</w:t>
      </w:r>
    </w:p>
    <w:p>
      <w:pPr>
        <w:pStyle w:val="BookText"/>
        <w:rPr/>
      </w:pPr>
      <w:r>
        <w:rPr>
          <w:rFonts w:ascii="IRNazanin" w:hAnsi="IRNazanin" w:eastAsia="IRNazanin"/>
          <w:color w:val="111111"/>
          <w:sz w:val="28"/>
          <w:sz w:val="28"/>
          <w:szCs w:val="28"/>
          <w:rtl w:val="true"/>
          <w:lang w:bidi="fa-IR"/>
        </w:rPr>
        <w:t>توست و نماز مگزار مگر پشتِ سر کسی که به او اعتماد داری و می دانی که او از اهل سنّت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های اختلافی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آن را از نشانه های مؤمن می داند</w:t>
      </w:r>
      <w:r>
        <w:rPr>
          <w:rStyle w:val="FootnoteAnchor"/>
          <w:rtl w:val="true"/>
        </w:rPr>
        <w:footnoteReference w:id="63"/>
      </w:r>
      <w:r>
        <w:rPr>
          <w:rFonts w:ascii="IRNazanin" w:hAnsi="IRNazanin" w:eastAsia="IRNazanin"/>
          <w:color w:val="111111"/>
          <w:sz w:val="28"/>
          <w:sz w:val="28"/>
          <w:szCs w:val="28"/>
          <w:rtl w:val="true"/>
          <w:lang w:bidi="fa-IR"/>
        </w:rPr>
        <w:t xml:space="preserve">، چرا 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بر جهر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الصَّلاةُ خَلْفَ مَن لا یَجْهَر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پشت سر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آشکارا نگوید ، جائز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فاطمه بر این امر نظر یکسانی داریم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جهر می خواند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مردم در موضوع بسمله در پی مکتب بنی امیه رانده شدند ، فخر رازی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مواظب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بخواند ، چون دولت بنی امیه فرا رسید ، در منع از جهرِ بسمله کوشیدند تا آثار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به صراحت اذعان می دارد که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بسمله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بر زبان می آورد ، سپس مردم آن را ترک کردند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جهت است که نقل ها از اَنَس و دیگران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او جهر بسمله روایت می شود و گاه اِخفات و گاه چیز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می نویسد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اَنس از حکومت بیم داشت و به همین سبب اقوالش در این زمینه آشفته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چیزی تردید کنیم ، در این شک نداریم که هنگام تعارض قول اَنس و ابن مُغَفَّل با قول</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عمرش بر جهر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قاطعی در مسئله می باشد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سخنانی که یادآور شدیم قطره ای از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تطبیق فقه طالبیین و حکام ، آنها را ـ از باب نمونه ـ آوردیم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 بعضی به دروغ احادیثی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دهند تا پشتوانه فقه خودشان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تاریخ این مسئله و توجه به پیرایه های آن ، به راحتی می توان دروغ آنان را برملا ساخت </w:t>
      </w:r>
      <w:r>
        <w:rPr>
          <w:rFonts w:eastAsia="IRNazanin" w:cs="IRNazanin"/>
          <w:color w:val="111111"/>
          <w:sz w:val="28"/>
          <w:szCs w:val="28"/>
          <w:rtl w:val="true"/>
          <w:lang w:bidi="fa-IR"/>
        </w:rPr>
        <w:t>.</w:t>
      </w:r>
      <w:bookmarkStart w:id="25" w:name="pg3532_22015"/>
    </w:p>
    <w:p>
      <w:pPr>
        <w:pStyle w:val="Heading2"/>
        <w:numPr>
          <w:ilvl w:val="1"/>
          <w:numId w:val="1"/>
        </w:numPr>
        <w:rPr/>
      </w:pPr>
      <w:bookmarkStart w:id="26" w:name="__RefHeading___Toc3746901_2749589250"/>
      <w:bookmarkStart w:id="27" w:name="_Toc9"/>
      <w:bookmarkEnd w:id="25"/>
      <w:bookmarkEnd w:id="26"/>
      <w:r>
        <w:rPr>
          <w:rtl w:val="true"/>
        </w:rPr>
        <w:t>چکیده سخن</w:t>
      </w:r>
      <w:bookmarkEnd w:id="27"/>
    </w:p>
    <w:p>
      <w:pPr>
        <w:pStyle w:val="BookText"/>
        <w:rPr/>
      </w:pPr>
      <w:r>
        <w:rPr>
          <w:rFonts w:ascii="IRNazanin" w:hAnsi="IRNazanin" w:eastAsia="IRNazanin"/>
          <w:color w:val="111111"/>
          <w:sz w:val="28"/>
          <w:sz w:val="28"/>
          <w:szCs w:val="28"/>
          <w:rtl w:val="true"/>
          <w:lang w:bidi="fa-IR"/>
        </w:rPr>
        <w:t xml:space="preserve">اگر یکی از دو نقل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برگیریم و آن را با آنچه در کتاب های حدیثی آمده مقایسه کنیم ، ملابسات این احکام برایمان روشن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را گشود ، نخستین چیزی را که در آن دیدم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وارث تنها پسر برادر و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میانشان به نصف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قاضیانی که در شهر مایند برای پسر برادر با وجود جدّ ، سهمی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بخطّ علیّ وإملاء رسول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خط علی و املای رسول خداست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محمّد بن مسلم روایت می کند که در صحیفه ای نگریستم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می کرد ، دیدم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میان پسر برادر و جد به طور مساوی تقسیم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کسانی اند که به این حکم قضاوت نمی کنند ، و برای پسر برادر با وجود جدّ ، چیزی قرار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إملاءُ رسولِ الله وخطّ علیّ ، من فیه بیده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این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دهان پیامبر به دست علی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می نگریم که محمّد بن مسلم می گوید قاضیان شهر او به آنچه همسو با کتاب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را دست می داند و بیان می دارد که قاضیان مدینه نیز براساس نظر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تاکید می کند که این حکم از 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تراویده و به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 و آن نوشته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bookmarkStart w:id="28" w:name="pg3532_22017"/>
    </w:p>
    <w:p>
      <w:pPr>
        <w:pStyle w:val="Heading2"/>
        <w:numPr>
          <w:ilvl w:val="1"/>
          <w:numId w:val="1"/>
        </w:numPr>
        <w:rPr/>
      </w:pPr>
      <w:bookmarkStart w:id="29" w:name="__RefHeading___Toc3746903_2749589250"/>
      <w:bookmarkStart w:id="30" w:name="_Toc10"/>
      <w:bookmarkEnd w:id="28"/>
      <w:bookmarkEnd w:id="29"/>
      <w:r>
        <w:rPr>
          <w:rtl w:val="true"/>
        </w:rPr>
        <w:t>مسئله صید</w:t>
      </w:r>
      <w:bookmarkEnd w:id="30"/>
    </w:p>
    <w:p>
      <w:pPr>
        <w:pStyle w:val="Heading3"/>
        <w:numPr>
          <w:ilvl w:val="2"/>
          <w:numId w:val="1"/>
        </w:numPr>
        <w:rPr/>
      </w:pPr>
      <w:bookmarkStart w:id="31" w:name="__RefHeading___Toc3746905_2749589250"/>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موضوع دیگر مسئله صید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حلبی روایت شده که گفت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یُفْتی وکانَ یَتَّقی ، ونحنُ نَخافُ فی صَیْد البُزاةِ والصُّقُور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لانَخافُ ولا نُحِلُّ صَیْدَها إلاّ أن تُدْرَک ذکاتُه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فی کتاب علیّ إنّ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مُکَلِّبِینَ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فی الکلابِ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فتوا می داد و بیمناک بود ، ما هم در بیانِ حکمِ شکار بازها و صَقْرها می ترسیدیم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بیمی نداریم ، و صیدِ آنها را حلال نمی دانیم مگر اینکه زنده به دست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وبراساسِ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که خدای بزرگ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درندگانِ آموزش دیده ، سگان تازی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درباره حکمِ شکار تازیان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شکار آنها حلال می باشد نه دیگر درندگان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حدیث مشاهده می شود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اینکه فتوا بدهد 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فضایی زندگی می کند که فشارها و ارعاب فکری در آن حکم فرماست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زورمداران و عالمانِ وابسته به آنها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نمی کنند و نمی خواهند آنچه را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دریافته اند ، انتشار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روشن می سازد که فقدانِ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اهل سنّت به جهت ضعفِ روایات و مُرسَل بودن آنها ـ برحسب ادعای آنها ـ نمی باشد ، بلکه این کار ، هدف مندانه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سریع به صحاح و سنن ، می توان دریافت که زمینه مناسب برای توثیق مرویّات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اهل سنّت وجود دارد و آنچه را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 صحیح از پدرانشان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 نزد بعضی از صحابه با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شواهد صحیح برای این روایات را از صحابه و تابعان ، پیگیری کنیم ، می توانیم فقه امت اسلام را ـ آن گونه که خواستِ پیامبر بود ـ به دست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 غبارِ اتهامی که آنان به ما می زنند می سترد و روشن می گردد که فقه ما یک فقه طائفه ای نیست که تنها برای گروه خاصی حجّت باشد ، بلکه فقه امتِ اسلامی است که از</w:t>
      </w:r>
    </w:p>
    <w:p>
      <w:pPr>
        <w:pStyle w:val="BookText"/>
        <w:rPr/>
      </w:pPr>
      <w:r>
        <w:rPr>
          <w:rFonts w:ascii="IRNazanin" w:hAnsi="IRNazanin" w:eastAsia="IRNazanin"/>
          <w:color w:val="111111"/>
          <w:sz w:val="28"/>
          <w:sz w:val="28"/>
          <w:szCs w:val="28"/>
          <w:rtl w:val="true"/>
          <w:lang w:bidi="fa-IR"/>
        </w:rPr>
        <w:t xml:space="preserve">چشمه زلال نبوّت برمی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نزد ما آن روایات صحیح اند و بعضی از صحابه با ما همسوست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 نمایی از طرحی است که پس از نگارش کتاب وضوء النبی به ذهنم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 اندیشیدم که علی رغم برخوردها و اشکالاتِ اساسی میانِ فقه شیعه و سنی ، چگونه می توان آن دو را با هم سازگار ساخت ؟</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می توانیم فقه شیعه را از طرقِ اهل سنت استوار سازیم تا هم بر آنان حجّت باشد و هم بر ما ؟</w:t>
      </w:r>
    </w:p>
    <w:p>
      <w:pPr>
        <w:pStyle w:val="BookText"/>
        <w:rPr/>
      </w:pPr>
      <w:r>
        <w:rPr>
          <w:rFonts w:ascii="IRNazanin" w:hAnsi="IRNazanin" w:eastAsia="IRNazanin"/>
          <w:color w:val="111111"/>
          <w:sz w:val="28"/>
          <w:sz w:val="28"/>
          <w:szCs w:val="28"/>
          <w:rtl w:val="true"/>
          <w:lang w:bidi="fa-IR"/>
        </w:rPr>
        <w:t xml:space="preserve">در همین جا من از علما و فضلا و اندیشمندان و اساتید می خواهم که این ایده را بپرورانند و به رشد و تکامل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عقیده من این کار لازم است و خیر فراوانی را در عرصه فقهی و اعتقادی عاید می سازد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چهار محور را می توان برای توثیق فقه شیعه به کار بست همه شخصیت های این محورها آن دسته از صحابه اند که از نظر فکری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از دیگران اند </w:t>
      </w:r>
      <w:r>
        <w:rPr>
          <w:rFonts w:eastAsia="IRNazanin" w:cs="IRNazanin"/>
          <w:color w:val="111111"/>
          <w:sz w:val="28"/>
          <w:szCs w:val="28"/>
          <w:rtl w:val="true"/>
          <w:lang w:bidi="fa-IR"/>
        </w:rPr>
        <w:t>.</w:t>
      </w:r>
      <w:bookmarkStart w:id="33" w:name="pg3532_22020"/>
    </w:p>
    <w:p>
      <w:pPr>
        <w:pStyle w:val="Heading3"/>
        <w:numPr>
          <w:ilvl w:val="2"/>
          <w:numId w:val="1"/>
        </w:numPr>
        <w:rPr/>
      </w:pPr>
      <w:bookmarkStart w:id="34" w:name="__RefHeading___Toc3746907_2749589250"/>
      <w:bookmarkStart w:id="35" w:name="_Toc12"/>
      <w:bookmarkEnd w:id="33"/>
      <w:bookmarkEnd w:id="34"/>
      <w:r>
        <w:rPr>
          <w:rtl w:val="true"/>
        </w:rPr>
        <w:t xml:space="preserve">محور اول </w:t>
      </w:r>
      <w:r>
        <w:rPr>
          <w:rtl w:val="true"/>
        </w:rPr>
        <w:t xml:space="preserve">: </w:t>
      </w:r>
      <w:r>
        <w:rPr>
          <w:rtl w:val="true"/>
        </w:rPr>
        <w:t>مُدَوِّنان</w:t>
      </w:r>
      <w:bookmarkEnd w:id="35"/>
    </w:p>
    <w:p>
      <w:pPr>
        <w:pStyle w:val="BookText"/>
        <w:rPr/>
      </w:pPr>
      <w:r>
        <w:rPr>
          <w:rFonts w:ascii="IRNazanin" w:hAnsi="IRNazanin" w:eastAsia="IRNazanin"/>
          <w:color w:val="111111"/>
          <w:sz w:val="28"/>
          <w:sz w:val="28"/>
          <w:szCs w:val="28"/>
          <w:rtl w:val="true"/>
          <w:lang w:bidi="fa-IR"/>
        </w:rPr>
        <w:t xml:space="preserve">در رأس گروه حاکم ، اشخاصی چونان ابوبکر ، عمر ، عثمان و معاویه قرار داشتند ، اینان نقلِ حدیث از پیامبر را برنمی تافتند و به اکتفا به قرآن فرامی خواندند و مخالف تدوین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گروهی از صحابه بر نقل حدیث و تدوین 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 فشردند هرچند شمشیر آخته بر گردن هاشان نهاده شود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دانیم که مخالفان عمر در مسائل فقهی ، اصحاب مدوّنات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کردند و تابع نصوص بودند و به رأی تن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می نمایاند که اختلاف عمر با دیگران تنها در امور سیاسی نبوده ، بلکه مسائل فقهی را نیز در برمی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ایم که اغلب کسانی که عمر را در فتواهایش تخطئه می کردند از مُدَوِّنان به شمار می آمدند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ما می توانیم از روایات اینان ، برای استحکام آنچه مکتب</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روایات اصحاب مدوّنات را جست وجو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احادیثی را که عمر سوزانید و چیزی از آنها باقی نماند مگر احادیث پراکنده ای که در صحاح و سنن و دیگر مصنّفات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هایی مانند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آنها بگردیم ، درمی یابیم آنچه را که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با نسبت بالایی با آنچه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ما آمده است ، هماهنگی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مرویّات پنج نفر از این صحابه را بررسی کردم ، دیدم مضامینِ روایات آنها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روایاتِ ما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کسانی اند که عمر آنان را از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 ، و به کسانی از صحابه که روایات پیامبر را گردآوری کرده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نَأْخُذُ منکم ونرُدُّ علیکم</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داناتریم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را از شما می ستانیم و آنچه را به نظرمان درست می آید بر شما بازمی 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آمده است که عُمَر احادیثی را که در دستِ مردم بود جمع آوری کرد و دستور سوزاندن آنها را داد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صحابیان تصوّر نمی کردند که خلیفه ، همه احادیثی را که آنها گردآورده اند ، بسوزاند ، بلکه اعتقاد داشتند که وی به اَعدل و اَقومِ</w:t>
      </w:r>
    </w:p>
    <w:p>
      <w:pPr>
        <w:pStyle w:val="BookText"/>
        <w:rPr/>
      </w:pPr>
      <w:r>
        <w:rPr>
          <w:rFonts w:ascii="IRNazanin" w:hAnsi="IRNazanin" w:eastAsia="IRNazanin"/>
          <w:color w:val="111111"/>
          <w:sz w:val="28"/>
          <w:sz w:val="28"/>
          <w:szCs w:val="28"/>
          <w:rtl w:val="true"/>
          <w:lang w:bidi="fa-IR"/>
        </w:rPr>
        <w:t xml:space="preserve">آنها خواهد نگریست و احادیثِ حَسَن را در کتاب هایی ثبت می کند و ماسوای آنها را می سوزاند ، لیکن با سوزاندن همه آنها مواجه شدند با اینکه در آنها اسمای جلاله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اختلاف میان عمر و بعضی از صحابه ، اختلاف سیاسی و فکری بود ، گرچه بعدها تغییر یافت و به صورت اختلاف سیاسی محض ، به آن نگریستند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فهرست نویسی ابتدایی روایاتِ بعضی از این صحابه با مرویّات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می توان به روایات اینان اعتماد کرد و آنها را به عنوان شاهد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اهل سنّت چاره ای جز اعتراف به صدق روایاتِ ما ـ به حکم صحّتِ مرویاتِ صحابه ـ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لحاظ نظری به این حقیقت رسیدم و بعضی از جوانب آن را در بررسی روایات ابن عباس به طور عملی تطبیق کردم</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مسح پا را از عباس روایت کرده اند از مُدَوِّنان اند و به عکس کسانی که شستنِ پاها را از او روایت می کنند از قاضیان و عالمانِ بلاد به شمار می روند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ما می توانیم مسئله تدوین حدیث را خواستگاه فکری</w:t>
      </w:r>
    </w:p>
    <w:p>
      <w:pPr>
        <w:pStyle w:val="BookText"/>
        <w:rPr/>
      </w:pPr>
      <w:r>
        <w:rPr>
          <w:rFonts w:ascii="IRNazanin" w:hAnsi="IRNazanin" w:eastAsia="IRNazanin"/>
          <w:color w:val="111111"/>
          <w:sz w:val="28"/>
          <w:sz w:val="28"/>
          <w:szCs w:val="28"/>
          <w:rtl w:val="true"/>
          <w:lang w:bidi="fa-IR"/>
        </w:rPr>
        <w:t xml:space="preserve">برای شناختِ ریشه های اختلاف میانِ مسلمانان ، بدانیم و از خلالِ آن فقه امامیه را برای غیر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روایات شیعه را برخلاف روایاتِ دیگر مسلمانان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لازم است نخست مدوّنان را شناسایی کنیم ، سپس به وارسی روایات آنها بپردازیم تا میزان تطابقِ روایات آنها را با مرویّاتِ خودمان دریابیم ،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نسبتی که به آن دست خواهیم یافت ، می توانیم ادعا کنیم که مدوّنان از نظر فکری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ترند یا نه ؟ با روایاتِ مخالف چه کنیم ؟</w:t>
      </w:r>
    </w:p>
    <w:p>
      <w:pPr>
        <w:pStyle w:val="BookText"/>
        <w:rPr/>
      </w:pPr>
      <w:r>
        <w:rPr>
          <w:rFonts w:ascii="IRNazanin" w:hAnsi="IRNazanin" w:eastAsia="IRNazanin"/>
          <w:color w:val="111111"/>
          <w:sz w:val="28"/>
          <w:sz w:val="28"/>
          <w:szCs w:val="28"/>
          <w:rtl w:val="true"/>
          <w:lang w:bidi="fa-IR"/>
        </w:rPr>
        <w:t xml:space="preserve">به نظر می رسد روایاتی که برخلافِ مرویات ماست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تجاوز نکند و همین امر ، ما را بر آن می دارد که درباره انگیزه های آن جست وجو کنیم تا آگاه شویم در نسبت این اقوال به اَمثال این دسته از صحابه ، چه کسانی سود می برند ؟ آیا به راستی این روایات را آنان بر زبان آورده اند یا برای تقویتِ جایگاه حاکمان این روایات را به آنان نسبت داده اند ؟ آیا امکان دارد آنان با اعتقاد اینها را روایت کرده باشند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امور دیگری نیز باشد که نیازمند واکاوی است </w:t>
      </w:r>
      <w:r>
        <w:rPr>
          <w:rFonts w:eastAsia="IRNazanin" w:cs="IRNazanin"/>
          <w:color w:val="111111"/>
          <w:sz w:val="28"/>
          <w:szCs w:val="28"/>
          <w:rtl w:val="true"/>
          <w:lang w:bidi="fa-IR"/>
        </w:rPr>
        <w:t>.</w:t>
      </w:r>
      <w:bookmarkStart w:id="36" w:name="pg3532_22024"/>
    </w:p>
    <w:p>
      <w:pPr>
        <w:pStyle w:val="Heading3"/>
        <w:numPr>
          <w:ilvl w:val="2"/>
          <w:numId w:val="1"/>
        </w:numPr>
        <w:rPr/>
      </w:pPr>
      <w:bookmarkStart w:id="37" w:name="__RefHeading___Toc3746909_2749589250"/>
      <w:bookmarkStart w:id="38" w:name="_Toc13"/>
      <w:bookmarkEnd w:id="36"/>
      <w:bookmarkEnd w:id="37"/>
      <w:r>
        <w:rPr>
          <w:rtl w:val="true"/>
        </w:rPr>
        <w:t xml:space="preserve">محور دوم </w:t>
      </w:r>
      <w:r>
        <w:rPr>
          <w:rtl w:val="true"/>
        </w:rPr>
        <w:t xml:space="preserve">: </w:t>
      </w:r>
      <w:r>
        <w:rPr>
          <w:rtl w:val="true"/>
        </w:rPr>
        <w:t>فقه اَنصار</w:t>
      </w:r>
      <w:bookmarkEnd w:id="38"/>
    </w:p>
    <w:p>
      <w:pPr>
        <w:pStyle w:val="BookText"/>
        <w:rPr/>
      </w:pPr>
      <w:r>
        <w:rPr>
          <w:rFonts w:ascii="IRNazanin" w:hAnsi="IRNazanin" w:eastAsia="IRNazanin"/>
          <w:color w:val="111111"/>
          <w:sz w:val="28"/>
          <w:sz w:val="28"/>
          <w:szCs w:val="28"/>
          <w:rtl w:val="true"/>
          <w:lang w:bidi="fa-IR"/>
        </w:rPr>
        <w:t xml:space="preserve">پیداست که انصار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یکسانی دارند ، 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ایمان است ودشمنی با آنها نشانه نفاق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سیره انصار و تاریخ آنان را بررسی کنیم ، می بینیم که آنان در عهد خلفا تحت فشار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مسئولیتی را به آنان نسپردند و خلفا فرماندهی در جنگ ها و امارات را واگذار به آنها نکردند</w:t>
      </w:r>
      <w:r>
        <w:rPr>
          <w:rStyle w:val="FootnoteAnchor"/>
          <w:rtl w:val="true"/>
        </w:rPr>
        <w:footnoteReference w:id="79"/>
      </w:r>
      <w:r>
        <w:rPr>
          <w:rFonts w:ascii="IRNazanin" w:hAnsi="IRNazanin" w:eastAsia="IRNazanin"/>
          <w:color w:val="111111"/>
          <w:sz w:val="28"/>
          <w:sz w:val="28"/>
          <w:szCs w:val="28"/>
          <w:rtl w:val="true"/>
          <w:lang w:bidi="fa-IR"/>
        </w:rPr>
        <w:t xml:space="preserve">، بلکه پیوسته با ابوبکر و عثمان درگیر بودند و ابوبکر به تعهد خویش نسبت به انصار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وأنتم الوُزَراء</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امیر باشیم و شما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وتَخَلَّفتْ عنّا الأَنصارُ بأَسْرها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ـ همه شان ـ تخلُّف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بیعت با ما حاضر نشدند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آمارگیری از نام های تخطئه کنندگان خلفای سه گانه ، دریافت که بیشتر آنان از مُدوِّنان و انصارند</w:t>
      </w:r>
      <w:r>
        <w:rPr>
          <w:rStyle w:val="FootnoteAnchor"/>
          <w:rtl w:val="true"/>
        </w:rPr>
        <w:footnoteReference w:id="82"/>
      </w:r>
      <w:r>
        <w:rPr>
          <w:rFonts w:ascii="IRNazanin" w:hAnsi="IRNazanin" w:eastAsia="IRNazanin"/>
          <w:color w:val="111111"/>
          <w:sz w:val="28"/>
          <w:sz w:val="28"/>
          <w:szCs w:val="28"/>
          <w:rtl w:val="true"/>
          <w:lang w:bidi="fa-IR"/>
        </w:rPr>
        <w:t>و این بدان معناست که</w:t>
      </w:r>
    </w:p>
    <w:p>
      <w:pPr>
        <w:pStyle w:val="BookText"/>
        <w:rPr/>
      </w:pPr>
      <w:r>
        <w:rPr>
          <w:rFonts w:ascii="IRNazanin" w:hAnsi="IRNazanin" w:eastAsia="IRNazanin"/>
          <w:color w:val="111111"/>
          <w:sz w:val="28"/>
          <w:sz w:val="28"/>
          <w:szCs w:val="28"/>
          <w:rtl w:val="true"/>
          <w:lang w:bidi="fa-IR"/>
        </w:rPr>
        <w:t xml:space="preserve">مخالفت سیاسی و فقهی میان آنها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از مرویات اینها برای آگاهی بر فقه شیعه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نیست که انصار ـ همه شان ـ افرادی صالح اند ، بلکه می خواهیم بگوییم که افراد زیادی از آنها مانند آنچه را 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 بازگفته اند ، گرچه کسانی از آنها همچون زید بن ثابت ، گروه حاکم را پایدار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روایاتِ زید بن ثابت و عبدالله بن مسعود را با هم مقایسه کنیم به این نتیجه می رسیم که روایاتِ ابن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همسو است ، اما مرویات زید بن ثابت با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روایات عائشه در مقایسه با احادیث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عائشه همواره در چارچوب فقه حاکم بیان می شود برخلاف مرویات ام سلمه که در بسیاری اوقات با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 می باشد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نگارنده این است که در پژوهش جداگانه ای شخصیّت های این دومکتب با هم مقایسه شوند تا اصول و ملاک های بنیادینِ آنها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را نباید در روایات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مرویات عمر منحصر ساخت ، بلکه این امر باید به دیگر صحابه تعمیم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روایاتِ عمرو بن عاص و معاویه و مُغِیرة بن شعبه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خاصی دارد ، و مرویات ابن عباس و مُعاذ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بجاست که یکی از محقّقان به وارسی شخصیتِ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دو همسرش عائشه و اُمّ سلمه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تصوُّری که عائشه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می کند با تصوُّری که اُمّ سَلَمه ازآن حضرت دارد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اُمّ سلمه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پوشیده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شخصیتِ وی بر آنها مخفی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در میان اَنصار خوب و بد هست ، امّا بیشتر آنها افرادی نیک سرشت اند و روایاتی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آنها رسیده است ، از جمله این حدیث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أَنّکم سَتَلْقَوْنَ الأَثَرَةَ بَعْدی ، فَاصْبِرُوا فَمَوْعِدُکم الجَنّة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پس از من با خودْ برگزیدگانی روبه رو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بمانید ، جایگاهتان بهشت است </w:t>
      </w:r>
      <w:r>
        <w:rPr>
          <w:rFonts w:eastAsia="IRNazanin" w:cs="IRNazanin"/>
          <w:color w:val="111111"/>
          <w:sz w:val="28"/>
          <w:szCs w:val="28"/>
          <w:rtl w:val="true"/>
          <w:lang w:bidi="fa-IR"/>
        </w:rPr>
        <w:t>.</w:t>
      </w:r>
      <w:bookmarkStart w:id="39" w:name="pg3532_22027"/>
    </w:p>
    <w:p>
      <w:pPr>
        <w:pStyle w:val="Heading3"/>
        <w:numPr>
          <w:ilvl w:val="2"/>
          <w:numId w:val="1"/>
        </w:numPr>
        <w:rPr/>
      </w:pPr>
      <w:bookmarkStart w:id="40" w:name="__RefHeading___Toc3746911_2749589250"/>
      <w:bookmarkStart w:id="41" w:name="_Toc14"/>
      <w:bookmarkEnd w:id="39"/>
      <w:bookmarkEnd w:id="40"/>
      <w:r>
        <w:rPr>
          <w:rtl w:val="true"/>
        </w:rPr>
        <w:t xml:space="preserve">محور سوم </w:t>
      </w:r>
      <w:r>
        <w:rPr>
          <w:rtl w:val="true"/>
        </w:rPr>
        <w:t xml:space="preserve">: </w:t>
      </w:r>
      <w:r>
        <w:rPr>
          <w:rtl w:val="true"/>
        </w:rPr>
        <w:t>راویان فضائل</w:t>
      </w:r>
      <w:bookmarkEnd w:id="41"/>
    </w:p>
    <w:p>
      <w:pPr>
        <w:pStyle w:val="BookText"/>
        <w:rPr/>
      </w:pPr>
      <w:r>
        <w:rPr>
          <w:rFonts w:ascii="IRNazanin" w:hAnsi="IRNazanin" w:eastAsia="IRNazanin"/>
          <w:color w:val="111111"/>
          <w:sz w:val="28"/>
          <w:sz w:val="28"/>
          <w:szCs w:val="28"/>
          <w:rtl w:val="true"/>
          <w:lang w:bidi="fa-IR"/>
        </w:rPr>
        <w:t xml:space="preserve">محور سومی که می توان برای توثیق فقه شیعه نزد دیگران و الزام آنان ، از آن استفاده کرد ، روایاتی است که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اسمای صحابه ای راکه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می کنند درآوریم و آن گاه در مرویاتِ آنها بنگریم و آنها را جمع آوری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 رود در این روایات نکاتی باشد که بتوان از آنها شالوده فقه شیعه را استوار ساخت </w:t>
      </w:r>
      <w:r>
        <w:rPr>
          <w:rFonts w:eastAsia="IRNazanin" w:cs="IRNazanin"/>
          <w:color w:val="111111"/>
          <w:sz w:val="28"/>
          <w:szCs w:val="28"/>
          <w:rtl w:val="true"/>
          <w:lang w:bidi="fa-IR"/>
        </w:rPr>
        <w:t>.</w:t>
      </w:r>
    </w:p>
    <w:p>
      <w:pPr>
        <w:pStyle w:val="Heading3"/>
        <w:numPr>
          <w:ilvl w:val="2"/>
          <w:numId w:val="1"/>
        </w:numPr>
        <w:rPr/>
      </w:pPr>
      <w:bookmarkStart w:id="42" w:name="__RefHeading___Toc3746913_2749589250"/>
      <w:bookmarkStart w:id="43" w:name="_Toc15"/>
      <w:bookmarkEnd w:id="42"/>
      <w:r>
        <w:rPr>
          <w:rtl w:val="true"/>
        </w:rPr>
        <w:t xml:space="preserve">محور چهارم </w:t>
      </w:r>
      <w:r>
        <w:rPr>
          <w:rtl w:val="true"/>
        </w:rPr>
        <w:t xml:space="preserve">: </w:t>
      </w:r>
      <w:r>
        <w:rPr>
          <w:rtl w:val="true"/>
        </w:rPr>
        <w:t xml:space="preserve">همرزمان امام علی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کسانی که در مبارزاتِ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رکابش حضور یافتند ، در این زمره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ای که به تحریف و تغییر دست نیازیدند و هوا و هوس و دنیا دوستی آنان را نفریفت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صداقت و ایمانِ بعضی از آنان گواهی داد و تاریخ شهادت می دهد که آنان زندگی راست و درستی داشتند و صادقانه جهاد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اینها برایشان شهادت داد ، در مرگ آنها اندوهگین شد و به عنوان برادر مخاطبشان ساخت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ماست که درباره اینان و روایات آنها در کتاب های اهل سنّت</w:t>
      </w:r>
    </w:p>
    <w:p>
      <w:pPr>
        <w:pStyle w:val="BookText"/>
        <w:rPr/>
      </w:pPr>
      <w:r>
        <w:rPr>
          <w:rFonts w:ascii="IRNazanin" w:hAnsi="IRNazanin" w:eastAsia="IRNazanin"/>
          <w:color w:val="111111"/>
          <w:sz w:val="28"/>
          <w:sz w:val="28"/>
          <w:szCs w:val="28"/>
          <w:rtl w:val="true"/>
          <w:lang w:bidi="fa-IR"/>
        </w:rPr>
        <w:t xml:space="preserve">جست وجو کنیم تا میزان نزدیکی یا دوری سخنانِ آنها را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دریابیم که گاه به عنوان حکم و گاه به عنوان مؤیِّدِ مرویات 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چکیده ای از نظریه نگارنده ، و به نظرم روش جدیدی است که از طریق آن می توان روایات صحابه را در راستای توثیق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ای که بحث از مرویاتِ آنها پیشنهاد گردید ، ممکن است در بیش از یک محور متمایز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این تمایز در محورها فزونی یابد ، احتمال نزدیکی روایات آنها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طرحِ من در محدوده تطبیق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مرویات صحابه با تعالیم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نیامده است ، بلکه بر شکلی که نگارنده نظر افکنده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بیشتر درباره ریشه ها و زیر بناهای این دیدگاه را در کتاب منع تدوین الحدیث و وضوء النبی می توان یافت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استوارسازی فقه شیعه از صحاح و سنن اهل سنت ، آن گونه که بعضی تصوّر کرده اند ، کار دشواری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این نظریه را به طور کلّی تطبیق دهیم ، از اتهامی که بر ما می زنند بیرون می آییم و فقه مان را در فضایی وارد می سازیم که همه می پذیرند و از محدوده فقه طائفه ای درمی آید و به حیطه فقه اسلامی می پیوندد که</w:t>
      </w:r>
    </w:p>
    <w:p>
      <w:pPr>
        <w:pStyle w:val="BookText"/>
        <w:rPr/>
      </w:pPr>
      <w:r>
        <w:rPr>
          <w:rFonts w:ascii="IRNazanin" w:hAnsi="IRNazanin" w:eastAsia="IRNazanin"/>
          <w:color w:val="111111"/>
          <w:sz w:val="28"/>
          <w:sz w:val="28"/>
          <w:szCs w:val="28"/>
          <w:rtl w:val="true"/>
          <w:lang w:bidi="fa-IR"/>
        </w:rPr>
        <w:t xml:space="preserve">بر همه مسلمانان پیروی و اقتدا به آن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طرق صحیح نزد اهل سنّت ، از صحابه روایت شده و افزون بر آن ، از طریق شیعه مروی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کتاب هایی که درباره اختلافاتِ فقهی نگارش یافته اند ، بنگریم درمی یابیم که آنچه را ما قائلیم ، امامانِ یکی از مذاهب چهارگانه یا علماشان ـ و دست کم بعضی از مذاهب منقرض ـ با استناد به روایاتی که از صحابه و تابعین نزد آنها هست ،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گاه مالک با ما موافق است ، گاه ابو حنیفه و گاه شافعی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لازم است که مذاهبی را که با ما هم عقیده اند شناسایی کنیم تا در ادلّه ای که بر آن اعتماد ورزیده اند ، نظر افکنیم و بفهمیم چگونه ادلّه دیگر مذاهب مخالف خودشان و مذهب ما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دستْ بسته و دستْ باز نماز خواندن ، مالکیه به پیروی از امام مالک ، قائل به کراهتِ گذاشتنِ یکی از دو دست بر دیگری ، در نمازند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الإستذکار آمده که نظرِ قطعی امام مالک این بود که سنّتْ رها کردن دست ها در نماز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آنچه را دیگران برای دستْ بسته نماز خواندن استدلال</w:t>
      </w:r>
    </w:p>
    <w:p>
      <w:pPr>
        <w:pStyle w:val="BookText"/>
        <w:rPr/>
      </w:pPr>
      <w:r>
        <w:rPr>
          <w:rFonts w:ascii="IRNazanin" w:hAnsi="IRNazanin" w:eastAsia="IRNazanin"/>
          <w:color w:val="111111"/>
          <w:sz w:val="28"/>
          <w:sz w:val="28"/>
          <w:szCs w:val="28"/>
          <w:rtl w:val="true"/>
          <w:lang w:bidi="fa-IR"/>
        </w:rPr>
        <w:t xml:space="preserve">می آورند ، برنمی تابند و آن را حمل می کنند بر روایتی که مسلم از وائل بن حجر می آورد مبنی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سرما نخورد جامه اش را به خود پیچید و با گذاشتن دست راست بر چپ جامه را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سنّت باشد ، لازم است هنگام نماز به استحباب پیچیدنِ جامه به خود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احدی آن را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روشی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دعوت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مسائل دشواری را آماده ساخت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تقولون کذا ، وأهلُ المدینة یقولون کذا ، ونحن نقول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تابَعَنا ، وربّما تابَعَهم ، وربّما خالفنا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چنین می گویید واهل مدینه چنان، وما فلان نظر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آنان نظر ما را پیروی می کنند و بسا نظر آنان را پیروی کنیم ، و گاه نظرِ ما برخلافِ دیدگاه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أعلَمَ الناس ، أَعْلَمَهُم باختلاف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داناترین مردم کسی است که به اختلاف نظر مردم داناتر باشد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بر ماست که فقه یگانه ای را که مدارِ آن فقه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پا داریم و آن را به اقوال صحابه مستند و مؤیَّد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 xml:space="preserve">آل پیامبر عِدل قرآن و یکی از دو چیز گران مانه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برجای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کار را به سامان رسانیم ، راه را بر کسانی که فقه ما را طائفه ای و مذهب ما را انفرادی می پندارند ، می بندیم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خداوند ، امروزه پایگاه استوار علم و فرهنگ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و دروس فقهی و استدلالی در بالاترین سطح ها جریان دارد و فقهای ما اندک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نگارنده به استادان ارجمند و طلاب گرامی این است که رأی دیگر را به نظر اعتبار برگیرند و در آن مناقشه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های فقهی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خاستگاه بحث علمی پیراسته ، مستند به روایات ثابت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شیخ طوسی ، شیخ انصاری ، صاحب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و متانت کامل ، مناقشه می کنیم ، و همچنین از مناقشه رأی شافعی و مالک و ابو حنیفه نباید بترسیم تا اینکه نظریه واحدی را به دست آوریم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پرداختن به آرا و اقوالِ مذاهبِ دیگر گرچه برای آگاهی بر نقاط ضعف و قوتِ در آنها ، ضروری است ، لیکن نباید تنها به آن بسنده کرد ، بلکه لازم است به مناقشه رأی و نظری بپردازیم که با ما هماهنگی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آرای خودشان دارند و ما ادله خودمان را داریم ، پس با روح علمی و نظریه واحدی که همگان بپذیرند ، به مناقشه آرای آنان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کتاب وضوء النبی و دیگر بحث ها و پژوهش ها ، در راستای تطبیق این سخن کوشیده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به عرضه اقوال اکتفا نکردم ، بلکه ملابسات آنها را یادآور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آرای اختلافی ناشی از جهل صحابه است و بعضی به سوء فهم آنها برمی گردد و بعضی دیگر برخاسته از اغراض سیاسی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دروغ بافی بر صحابه نیست ، با مراجعه به کتاب منع تدوین الحدیث می توان اثباتِ آن را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تطبیق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تلاشی دو چندان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ایمان دارد که ارکان اساسی این کار در روایات شیعه و اهل سنّت هست ، باید همه توان را به کار گرفت تا بتوان آنها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این غرض آماده ساخته است و وجوه تفسیر و تأویل را به ما می آموزد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آموخته اند که چگونه کلام آنها را به شیوه های گوناگون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یکونُ الرَّجلُ منکم فقیهاً حَتّی یَعْرِفَ مَعاریضَ کلامنا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الکلمةَ مِن کلامنا لَتَنْصَرِفُ عَلَی سَبْعین وَجهاً لَنا مِن جمیعها المَخْرَج</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ای که لایه های پوشیده کلام ما را نشناسد فقیه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از سخنِ ما به هفتاد وجه انصراف دارد ، ما از عهده همه آنها برمی آییم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اجتهاد نزد ما امری پذیرفته شده است و توان استنباط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عالی مقام و طلاب گران مایه بیشتر وقت خود را در حوزه های علمیه صرف فقه و اصول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بجاست اگر به فقه مقارن بپردازند و فقه اهل سنّت را به خدمت گیرند و در استدلال های شافعی ، مالک ، ابو حنیفه و احمد بن حنبل مناقشه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آنان در ادله فقهای شیعه ـ که بر خلافِ نظر آنها فتوایی دارند ـ مناقشه می کنند </w:t>
      </w:r>
      <w:r>
        <w:rPr>
          <w:rFonts w:eastAsia="IRNazanin" w:cs="IRNazanin"/>
          <w:color w:val="111111"/>
          <w:sz w:val="28"/>
          <w:szCs w:val="28"/>
          <w:rtl w:val="true"/>
          <w:lang w:bidi="fa-IR"/>
        </w:rPr>
        <w:t>.</w:t>
      </w:r>
      <w:bookmarkStart w:id="44" w:name="pg3532_22034"/>
    </w:p>
    <w:p>
      <w:pPr>
        <w:pStyle w:val="Heading2"/>
        <w:numPr>
          <w:ilvl w:val="1"/>
          <w:numId w:val="1"/>
        </w:numPr>
        <w:rPr/>
      </w:pPr>
      <w:bookmarkStart w:id="45" w:name="__RefHeading___Toc3746915_2749589250"/>
      <w:bookmarkStart w:id="46" w:name="_Toc16"/>
      <w:bookmarkEnd w:id="44"/>
      <w:bookmarkEnd w:id="45"/>
      <w:r>
        <w:rPr>
          <w:rtl w:val="true"/>
        </w:rPr>
        <w:t>جایگاه بحث تاریخی در فقه</w:t>
      </w:r>
      <w:bookmarkEnd w:id="46"/>
    </w:p>
    <w:p>
      <w:pPr>
        <w:pStyle w:val="BookText"/>
        <w:rPr/>
      </w:pPr>
      <w:r>
        <w:rPr>
          <w:rFonts w:ascii="IRNazanin" w:hAnsi="IRNazanin" w:eastAsia="IRNazanin"/>
          <w:color w:val="111111"/>
          <w:sz w:val="28"/>
          <w:sz w:val="28"/>
          <w:szCs w:val="28"/>
          <w:rtl w:val="true"/>
          <w:lang w:bidi="fa-IR"/>
        </w:rPr>
        <w:t xml:space="preserve">جای تأسف است که به تاریخ اسلامی ـ با نظر به بسترها و جریانهای آن ـ در حوزه های علمیه اهمیتِ لازم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از اموری که در فهم فقهی مؤثرند ، از تاریخ قابل دریافت و بازخوانی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شرعی ،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امور را روشن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گیری ها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گیری ها و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های تاریخی پراکنده اند ، نکاتِ سودمندی برای دریافت های فقهی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بر اختلافات تاریخی در هر یک از فروع فقهی و شناخت زمینه های آن و کسانی که از آن سود بردند ، می تواند گِرِه از مسائل اختلافی بسیاری بگشاید و حل آنها را برای ما آسان نماید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بحث هایی که داشته ام از مواد تاریخی استفاده فراوان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وضوء النبی ، در عرضِ ادلّه ـ برخلاف آنچه میان فقها مرسوم است ـ به تاریخ اختلاف مسلمانان در وضو پرداختم و از</w:t>
      </w:r>
    </w:p>
    <w:p>
      <w:pPr>
        <w:pStyle w:val="BookText"/>
        <w:rPr/>
      </w:pPr>
      <w:r>
        <w:rPr>
          <w:rFonts w:ascii="IRNazanin" w:hAnsi="IRNazanin" w:eastAsia="IRNazanin"/>
          <w:color w:val="111111"/>
          <w:sz w:val="28"/>
          <w:sz w:val="28"/>
          <w:szCs w:val="28"/>
          <w:rtl w:val="true"/>
          <w:lang w:bidi="fa-IR"/>
        </w:rPr>
        <w:t xml:space="preserve">این طریق توانستم مسئله اختلاف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وضو ، گره گشایی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وارسی تاریخی بسی مهم تر از بحث اختلاف قرائت ها و مناقشه در ادلّه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اینها در طول قرن ها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مشخص ساختن زمانِ اختلاف در وضو وانگیزه های آن ، توانستیم در این عرصه گام های مثبتی برداریم و با شناختِ کسانی که از این اختلاف بهره مند می شدند ، آن را به عنوان مُرَجِّح یکی از دو قول به شما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فقیه هنگام تعارض ادله ـ اختلاف در روایت یا در قرائت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آن کمک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فقها و متکلّمان و مفسّران ما ، مسئله وضو را از نظر لغوی ، نحوی و قرائت قرآنی وارسی می کنند و به انگیزه های اختلاف در وضو و عواملِ آن از جهت تاریخی و زمان شکل گیری این اختلاف ، نمی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قرن هاست این طریق کارگشا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رویکرد به مسائل تاریخی توانستیم روشن سازمی که ورای شستن پاها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قرآنی در آن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عثمان بن عفّان می باشد ، کسی که قرائت دیگر صحابه را ـ که قرآن را از 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ـ به دور افکند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تصویر و تعیین تاریخ اختلاف در وضو ، تا حد زیادی ،</w:t>
      </w:r>
    </w:p>
    <w:p>
      <w:pPr>
        <w:pStyle w:val="BookText"/>
        <w:rPr/>
      </w:pPr>
      <w:r>
        <w:rPr>
          <w:rFonts w:ascii="IRNazanin" w:hAnsi="IRNazanin" w:eastAsia="IRNazanin"/>
          <w:color w:val="111111"/>
          <w:sz w:val="28"/>
          <w:sz w:val="28"/>
          <w:szCs w:val="28"/>
          <w:rtl w:val="true"/>
          <w:lang w:bidi="fa-IR"/>
        </w:rPr>
        <w:t xml:space="preserve">تعارضِ موجود میانِ احادیث مسح و روایاتِ غسل را برطرف کردیم و روشن ساختیم که در شرعی ساختن شستن پاها در وضو ، عثمان و امویان بهره مند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هدفشان دامن زدن به چنین اختلافاتی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میان ، امور بسیاری برایمان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قتلِ عثمان تنها برای فامیل گرایی و توانمندسازی خویشاوندان و عشیره اش نبود ، بلکه بدان جهت خونش را هدر دانستند که عمل به کتاب و سنّت را وانهاد ، به بدعت هایی دست یازید و در شریعت چیزهایی را که نبود وارد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خونِ عثمان حلال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غزیه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عمرم جز زمان میان عصر و شب باقی نماند ، با ریختنِ خون عثمان به خدا تقرّب می جویم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درمیان ما نیست مگر فردی زبون یا قاتل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یاری عثمان دست کشیدیم ، اگر می خواستیم از او دفاع می کردیم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مدینه بودند ـ به سرزمین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خلیفه شما تباه گردانید و 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بیایید و آن را به پا دارید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تغییرات عثمان و بدعت گذاری او در اسلام ، نگاه ها را چندان به خود جلب نکرده است ، بلکه بدعت های او را در واگذاری مسئولیت ها به خویشاوندانش تفسیر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نزدیک ساختن فامیل به خود و بخشش اموال به آنها مستوجب قتل نمی باشد ، سیره ای ناشایست به شمار می آید نه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 بینیم صحابه قتل عثمان را جایز دانستند و ریختِ خونش را حلال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قتلِ نفس را حرام ساخت ، کسی را مکشید مگر به حق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به عمد مؤمنی را بکشد ، جزای او دوزخ است ، برای همیشه در آنجا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آنچه رخ داده چاره ای نداریم جز اینکه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از جاده صواب منحرف شدند و به احکام اسلامی بی اعتنایی کردند ، یا به انحرافِ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وی از بینش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شویم ، نظرِ سومی در این میان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عدالت صحابه شویم و عدم اجتماع آنها بر خطا ، لازم است انحراف عثمان را از راه راست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در میان صحابه کسانی اند که اهل سنّت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سعد بن اَبی وقّاص ، طلحه ، زبیر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برائت و پاکی خلیفه قائل شویم ، لازمه آن فسق همه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در پرتو بحث های تاریخی توانستیم رمز این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وضو بگشاییم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بدعةٌ</w:t>
      </w:r>
      <w:r>
        <w:rPr>
          <w:rStyle w:val="FootnoteAnchor"/>
          <w:rtl w:val="true"/>
        </w:rPr>
        <w:footnoteReference w:id="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عثمان در وضوی خود بر شستنِ مرتبه سوم تأکید داشت و آن را سنّت رسولِ خدا می شمرد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آن حضرت صورت و دست ها را یک</w:t>
      </w:r>
    </w:p>
    <w:p>
      <w:pPr>
        <w:pStyle w:val="BookText"/>
        <w:rPr/>
      </w:pPr>
      <w:r>
        <w:rPr>
          <w:rFonts w:ascii="IRNazanin" w:hAnsi="IRNazanin" w:eastAsia="IRNazanin"/>
          <w:color w:val="111111"/>
          <w:sz w:val="28"/>
          <w:sz w:val="28"/>
          <w:szCs w:val="28"/>
          <w:rtl w:val="true"/>
          <w:lang w:bidi="fa-IR"/>
        </w:rPr>
        <w:t>یا دو بار می شست ، بار سوم میان مسلمانان ـ به پیروی از صحابه ـ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بدعت می داند ، اما عثمان و هوادارانش همچون حُمران بن اَبان ، آن را سنّت می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صحابه خواست که بر سه مرتبه شستن صورت و دست ها در وضو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نشان می دهد که مسئله میان مردم اختلافی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شاهد گرفتن بیشتر در امور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وارسی مسائل اختلافی می طلبد که به بررسی ریشه های تاریخی آنها بپردازیم و مناقشه در ادله جز با وارسی ریشه ها و عوامل اختلاف به بار نمی نشیند و این کار همان چیزی است که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خواستگاه ها و انگیزه های مسائل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بجاست که چنین کاری در بحث های فقهی و کلامی و عقایدی رواج یابد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بار دیگر این سخن را تأکید می کنم که لازم است ما فقه شیعه را از کتاب های صحاح و سنن اهل سنّت درآوریم و استوار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چهارگانه ای که پیشنهاد شد ، سرآغازی است برای آگاهی بر نظریه کسانی که به بینش و منش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مُدوّنان و انصار ، راویان فضائل ، و کسانی که در کنار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حضور یافتند ، مواد اولیه ای به شمار می آیند که</w:t>
      </w:r>
    </w:p>
    <w:p>
      <w:pPr>
        <w:pStyle w:val="BookText"/>
        <w:rPr/>
      </w:pPr>
      <w:r>
        <w:rPr>
          <w:rFonts w:ascii="IRNazanin" w:hAnsi="IRNazanin" w:eastAsia="IRNazanin"/>
          <w:color w:val="111111"/>
          <w:sz w:val="28"/>
          <w:sz w:val="28"/>
          <w:szCs w:val="28"/>
          <w:rtl w:val="true"/>
          <w:lang w:bidi="fa-IR"/>
        </w:rPr>
        <w:t xml:space="preserve">از خلالِ آنها می توان فقه شیعه را استحکام بخشید و درستی روایاتی را که آنان می پندارند به دروغ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ثابت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غالب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دیات ، نزد اهل سنّت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ما را فرامی خواند که به بیرون کشیدن فقه شیعه از لابلای مُصَنَّفات و مسانید دست یازیم و در بحث هامان به آنچه که شافعی یا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بسنده نکنیم ، بلکه در پی بیرون آوردن نگرش و قلمروی برآییم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استحکام بخشد و مکتب پیروان قدرت را تضعیف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گروه حاکم به شدت می کوشید در اندیشه و سیاست برخلاف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می گویم سخن خلافِ نظر عامّه را برگیرید ؟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لم یکن بدینُ اللهَ بدین إلاّ خالَفَتْ علیه الأمّةُ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لإبطالِ أمْره ، وکانوا یَسْأَلُونَ أمیرالمؤمنین عن الشیء الذی لا یَعْلَمُونه فإذا اَفتاهم ، جَعَلوا له ضِدّاً من عندهم لِیَلْبِسُوا عَلَی الناس</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معتقد ومتدیّن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دسیسه های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برخلافِ آن می گروید تا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حضرت را باطل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چیزی را که نمی دانستند از امام می پرسیدند ، و آن گاه که امام فتوا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دین را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را از پیش خود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دین برای امت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 را بر مردم مشتبه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عند أَحَد مِنَ النّاسِ حقٌّ ولا صوابٌ ، ولا أَحَدٌ مِن النّاس یَقْضی بقضاء حَقّ إلاّ ما خَرَجَ مِن عندنا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تَشَعَّبتْ بِهم الأُمور ، کانَ الخَطا منهم والصَّوابُ مِن علیٍّ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احدی از مردم حق و صواب و قضاوتِ راست و درستی نیست مگر اینکه از نزد ما خاندان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امورِشان فرو پاشید ، خطا از آنهاست و صواب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سعید بن اَبی خطیب ،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به اَبو لیلی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آموزه ها قضاوت می کنی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تعالیمی که از پیامبر و علی و ابوبکر و عمر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رسیده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ترین شما علی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غیر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کنی با اینکه این سخن به تو رسیده است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احادیث اثبات می کند که گروه حاکم بر خلاف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می کرد و پیوسته می کوشید دیگران را با خود همراه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نسلِ آن حضرت ، اعمالی را که دیگران تشریع کردند ، برنمی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آنان در جاهلیّت بدان خو گرفته بودند و آنها را در اسلام وارد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بررسی فقه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شاگردانشان را به آشنایی با فقه دیگران برمی انگیختند و اجازه می دادند که فقه آنها در کنار فقه دیگران درج و بررسی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روایت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خدای بزرگ ، و حکمِ جاهلیّت ، خدا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مِنَ اللَّهِ حُکْماً لِقَوْم یُوقِنُونَ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یقین داران ، چه حکمی از حکمِ خدا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برای زید بن ثابت شاهد آورد که در میراثْ به حکمِ جاهلیّت حکم کرده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الحکمُ حکمان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الله وحکمُ أهل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أخْطَأَ حکمَ اللهِ حَکَمَ بحکم أهلِ الجاهلیّة ، ومَن حَکَمَ بدرهَمَین بغیر ما أَنْزَلَ الله عزّ وجلّ فقد کَفَرَ بالله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خداوند حکمِ اهل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حکمِ خدا را نپیماید ، به حکمِ اهلِ جاهلیّت حکم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درباره دو درهم به غیر آنچه خدای بزرگ نازل کرده حکم کند ، به خدای متعال کفر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مُعاذ بن مُسلم نحوی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 که تو در مسجد جامع می نشینی و برای مردم فتوا می دهی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نزد شما آیم قصد داشتم در این باره از شما بپرسم که من در مسجد می نشینم ، شخصی می آید از چیزی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شناسم که از مخالفانِ شماست ، بر اساسِ فقهِ خودشان او را پاسخ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w:t>
      </w:r>
    </w:p>
    <w:p>
      <w:pPr>
        <w:pStyle w:val="BookText"/>
        <w:rPr/>
      </w:pPr>
      <w:r>
        <w:rPr>
          <w:rFonts w:ascii="IRNazanin" w:hAnsi="IRNazanin" w:eastAsia="IRNazanin"/>
          <w:color w:val="111111"/>
          <w:sz w:val="28"/>
          <w:sz w:val="28"/>
          <w:szCs w:val="28"/>
          <w:rtl w:val="true"/>
          <w:lang w:bidi="fa-IR"/>
        </w:rPr>
        <w:t xml:space="preserve">که بشناسم از محبّان و دوستدارانِ شماست ، به آنچه از شما رسیده ، با خبرش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را نشناسم ،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این گونه روایت شده ، و از فلان شخص این چنین ، و قولِ شما را در میان آنها می گنجانم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بکن ، من نیز همین رویه را دارم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آگاهی بر فقه عامّه ، گامی است برای اصالت بخشی فقه خودمان نزد دیگران و اینکه آن فقه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حدیث ما همان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ضروری است که فقه عامّه را همراه با دروس هامان تدریس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فقه مقارن ، بهترین عرصه برای آشنایی و شناسایی زیر بناهای فکری مذاهب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باب گفت وگوی فقهی ـ اصولی میان مذاهب از برخوردهای تند می کاهد و هر طرف بر ادلّه دیگر آگاه می شود و در این میان آگاهی هایی به دست می آید و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فقهی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 می دارد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نوشته ام را با جریانی که با یکی از علمای سُنی برایم روی داد ، به پایان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مشهد به دیدارم آمد و درباره وضع امت اسلامی و پراکندگی و جدایی آنها از یک دیگر و وضعیّتِ اَسَف بار کنونی آنان ، با هم گفت وگو می کردیم ، هر کدام از ما مسئولیت را بر دوش دیگری می افکند تا اینکه وقت نماز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 نماز 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خدا تو را از نمازگزاران قرار دهد ، لیکن چگونه ؟ آن گونه که تو نماز می خوانی نماز گزاریم یا چونان من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سخنت می طلبد که درباره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نماز پیامبر اختلاف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می دانی که ما چیزی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کنیم و شما چیز دیگری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برایم روشن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 ای را که در آن اتفاق نظر داریم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که آوردنِ آن از نظر ما و شما لازم و واجب است ، و ترکِ آن نماز را باطل می کند ، پی می گیریم و از آنچه اَفضل و جایز است دست می 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آغازِ نماز تکبیر است و پایانِ آن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صورتِ نمایشی تکبیر گفتم و دست ها را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کاری اس که برخلافِ نماز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 آیا چونان ابو حنیفه دست چپ را با دست راست بگیرم و زیرِ ناف قرار دهم ؟ یا آن گونه که شافعی گفته بالای ناف گذارم ؟ آیا گرفتن دست چپ با دست راست واجب است یا چنان که از احمد آمده است صرف نهادن دست راست بر چپ کافی است ؟ یا بنابر قول دیگر احمد باید بازوان را گرفت ؟ یا دست باز نماز بخوانم آن گونه که از مالک ثابت است ؟</w:t>
      </w:r>
    </w:p>
    <w:p>
      <w:pPr>
        <w:pStyle w:val="BookText"/>
        <w:rPr/>
      </w:pPr>
      <w:r>
        <w:rPr>
          <w:rFonts w:ascii="IRNazanin" w:hAnsi="IRNazanin" w:eastAsia="IRNazanin"/>
          <w:color w:val="111111"/>
          <w:sz w:val="28"/>
          <w:sz w:val="28"/>
          <w:szCs w:val="28"/>
          <w:rtl w:val="true"/>
          <w:lang w:bidi="fa-IR"/>
        </w:rPr>
        <w:t xml:space="preserve">مسئله نزد شما اختلافی است و نمی توانید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دست باز نماز بخوانم ، طبق اصول فقه شما نمازم صحیح است یا باطل ؟ وی متحیّر ماند و نتوانست جوابی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خواستی بکن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انجام دادند و از نظرِ امام مالک ، حکمِ قطعی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 خواست بر سخنم حاشیه بزند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می توان دست بسته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غیر ممکن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مشخص پاسخ می خواهم ، آیا نمازم به نظر تو باطل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نمازت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 لیکن نماز تو طبق فقه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کاری را انجام می دهی که جزو افعال نماز نیست و این ، به نظر ما مبطل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از باب احتیاط این کار را ترک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رها کردن دست ها براساس روایاتِ یکی از فقهای شما نماز را باطل نمی سازد ، اما بستن دست ها به حسب روایات ما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احتیاط اقتضا دارد که مشکوک را ترک کنیم و به آنچه نزد ما و شما اتفاقی است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صحابه از تحریفاتی که در نماز درآمد نگران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بسیاری از احکام شرعی سلطانی است ، هرچند که آنها را نبوی قلمداد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 که به مردم دستور داده می شد که در نماز دست راست را بر دست چپ گذارند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که بعضی از صحابه پنهانی نماز گزارند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حذیفة بن یمان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شدیم تا آنجا که انسان نمی توانست نماز گزارد مگر پنهانی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صحابه از بازی حاکمان با احکام شرعی برای تغییر سنت ، دل نگران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سردمداران قدرت اوقات نماز را تغییر دادند و مردم را به چیزهایی که واجب نبود وا داشتند و آنها را واجب جلوه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اَنس بن مالک ـ در دمشق ـ درآمدم ، دیدم او در تنهایی می گرید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درک کردم ز همین نماز نماند ، این هم ضایع گردید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ـ به سند خویش ـ از ام درداء نقل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خشمناک بر من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خشمگینی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از امر محمّد چیزی در میانِ ایشان جز همین که نماز را به جماعت می گزارند ، سراغ ندارم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 رسد که امامان نماز را از وقتِ آن به تأخیر می اندازند ، منتظر آنان نمانید ، نماز با آنها را نافله به جا آورید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به سایه نگریست ، دید به اندازه قد انسان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شما سنتِ پیامبرتان را درست بداند ، اکنون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هنوز سخن ابن مسعود پایان نیافته بود که عمّار بن یاسر بیرون آمد و ندای نماز داد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عمرو بن عاص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از پیشینیان این امت با مُصحف هاشان در یکی از این بیابان ها سکنا گزینند و مردم زمانِ حاضر نزد آنها بروند ، از اعمال عبادی آنان سر در نمی آورند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از عمویش ابی سهل بن مالک روایت می کند که به نقل از پدرش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این مردم جز ندا برای نماز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 باشد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فرمود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والله ، ما هم علی شیء ممّا جاء به رسول الله إلاّ استقبال الکعبة فقط</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اینان بر سنّتی که پیامبر آورد نیستند مگر همین رو به قبله نماز گزاردن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حُصَین رسیده که به مطرف بن عبدالله ـ آن گاه که پشت سر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ـ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نماز محمّد را به جا آورد ، نماز او نماز محمّد را به یادِ من آورد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نمازی را به یادمان آورد که با پیامبر می گزاردیم و از یاد بُرده بودیم و یا عمداً آن را واگذاشتیم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 فرو می آورد و سر برمی داشت و هر زمان سجده می کرد ، تکبیر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صحابه را به یاد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انداخت ، پس الآن که زمانِ زیادی گذشته و نشانه ها تغییر یافته ، چه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کسی را می دید که چونان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نمازی که عمران بن حُصَین و ابو موسی اشعری اقرار کردند که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 و به چیزی اقرار می کرد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حقایق به ما نمی گوید که تحریفی در شریعت ـ به ویژه در نماز ـ روی داد ؟</w:t>
      </w:r>
    </w:p>
    <w:p>
      <w:pPr>
        <w:pStyle w:val="BookText"/>
        <w:rPr/>
      </w:pPr>
      <w:r>
        <w:rPr>
          <w:rFonts w:ascii="IRNazanin" w:hAnsi="IRNazanin" w:eastAsia="IRNazanin"/>
          <w:color w:val="111111"/>
          <w:sz w:val="28"/>
          <w:sz w:val="28"/>
          <w:szCs w:val="28"/>
          <w:rtl w:val="true"/>
          <w:lang w:bidi="fa-IR"/>
        </w:rPr>
        <w:t xml:space="preserve">عالم سنی ، متفکرانه سر به زیر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 سخن را ادامه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تکبیر نماز ـ به صورت نمایشی ـ قرائت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بسمله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سوره را بخوانم ، به بسمله آغاز کردم ، چه اشکالی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را بی بسمله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بعضی از صحابه انجام دادند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باید سوره کامل را بخوانیم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بسمله را جزو سوره می دانیم و اگر آن را نیاوریم ، سوره کامل نمی شود و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بعضی از صحابه بسمله را نمی آوردند ، و ابوبکر و عمر آن را به صورت اخفات می خواند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فخر رازی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همه نمازها بسم الله الرحمن الرحیم را آشکار بر زبان آورد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 یعنی بعضی از صحابه آن را می آوردند و اثبات می کند که در میان صحابه دو خط مشی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بر این روایت تعلیق می زند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الحجّة ، قویّة فی نفسی ، راسخة فی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البتة بسببِ کلمات المخالفین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حجّت به نظرِ من قوی است ، در عقل رسوخ می کند ، و هرگز با کلماتِ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الأمّ به اسناد خویش روایت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مدینه آمد با مردم نماز گزارد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 و هنگام خم شدن به رکوع و سجود ، تکبیر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ندا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 از نماز دزدی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 کجا شد تکبیر هنگام رکوع و سجود ؟ از این رو معاویه نماز دیگری با آنان خواند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در تعلیق بر این سخن می نویسد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سلطان قدرت مندی بود ، هیبت شدیدی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جهر به تسمیه امر پذیرفته شده ای نزد همه صحابه مهاجر و</w:t>
      </w:r>
    </w:p>
    <w:p>
      <w:pPr>
        <w:pStyle w:val="BookText"/>
        <w:rPr/>
      </w:pPr>
      <w:r>
        <w:rPr>
          <w:rFonts w:ascii="IRNazanin" w:hAnsi="IRNazanin" w:eastAsia="IRNazanin"/>
          <w:color w:val="111111"/>
          <w:sz w:val="28"/>
          <w:sz w:val="28"/>
          <w:szCs w:val="28"/>
          <w:rtl w:val="true"/>
          <w:lang w:bidi="fa-IR"/>
        </w:rPr>
        <w:t>انصار نبود ، آنان جرأت نمی کردند ترک تسمیه را به رخ معاویه بکشند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روایت دیگری را می آورد که مفاد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تسمیه را در فاتحة الکتاب آورد و سوره دوم آن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بر او اعتراض کردند تا اینکه ناچار شد نماز را اعاده کند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آشکارا بگوید ، چون دولت به بنی امیه رسید در منع از جهر کوشیدند تا آثار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سازند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 سلمه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خویش نماز می گزارد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یک بار بر عثمان اعتراض کرد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 ؟ این ، خود اثبات می کند که طالبیین نماز بی بسمله را برنمی 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 نیز هست که بر وجوب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جهر به آن ، تصریح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 آیا این احادیث گویای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نیست ؟ آیا قرائت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 سازد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شما آن را می آورید ، اشکالی نمی باشد ، همچنین کسانی از ما که آن را بیاورند ، باکی بر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با هم در این زمینه به توافق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نمازِ صوری برای این عالم سنی ، فاتحه را قرائت کردم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قرائت سوره دیگر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اعتراض برآشفت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را خوردی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زایدی است که خدا و رسول ما را به آن امر نکرده است و به نظر ما گفتنِ آن ، نماز را باطل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دیگران آن را آورده 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آن اتفاق نظر داریم بیرون نمی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نیاوردنِ آن در نماز ـ به ویژه در نماز فرادی ـ نماز را باطل می سازد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آوریم ، چون به نظر ما نماز را باطل می کند ، اما نیاوردنِ آن ـ در نزد شما ـ مبطل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مانعی ندارد که از باب احتیاط و فرار از فرو افتادن در بدعت ، ترک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در نیاوردنِ آن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شروع کردم که سوره کوچکی را بخوانم ، با دست اشاره کرد که باز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را قطع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کامل را می خوانی ؟ بعد از حمد خواندن یک یا دو آیه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بعد از حمد باید سوره کامل خواند ، و ما سوره های کوچک را قرائت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مبطل نماز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آن را نیاوری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رها کن ، بگو به نظرت نمازم صحیح است یا نه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نمازت طبق مذاهب ما درست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باید سوره کامل را آورد ، چه مانعی دارد که به جای یک یا دو آیه ، یک سوره کوچک را بخوانیم ؟ آیا این کار به احتیاط نزدیک تر نمی باشد و بیشتر موافق شریعت به نظر نمی آید ؟</w:t>
      </w:r>
    </w:p>
    <w:p>
      <w:pPr>
        <w:pStyle w:val="BookText"/>
        <w:rPr/>
      </w:pPr>
      <w:r>
        <w:rPr>
          <w:rFonts w:ascii="IRNazanin" w:hAnsi="IRNazanin" w:eastAsia="IRNazanin"/>
          <w:color w:val="111111"/>
          <w:sz w:val="28"/>
          <w:sz w:val="28"/>
          <w:szCs w:val="28"/>
          <w:rtl w:val="true"/>
          <w:lang w:bidi="fa-IR"/>
        </w:rPr>
        <w:t xml:space="preserve">چرا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آن هستند و شما آوردن سوره کامل را مبطل نماز نمی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 سوره کامل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ادامه دادم تا اینکه به سجده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بزرگ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 بر چه چیز سجده می کنی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 کنم بر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آموخت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وطهوراً</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محل سجده و پاک قرار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زمین و آنچه از آن می روید سجده می کنم به شرط آنکه خوردنی و پوشیدنی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سنگ سجده می کند یا بر چیزی که آن را تربت می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مسندش روایت می کند که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رسول اللهَ یَضَعُ أَنْفَه علی الأرض إذا سَجَد مع جبهته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را دیدم که هنگام سجده پیشانی وبینی اش را بر زمین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هست که بیان می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ریگ ها و حصیر سجده می کرد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از ابن عباس روایت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کرد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کنز العمّال آمده است که 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که پیامبر از گذاشتن صورتش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درداء در حدیثی آورده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خاک آلود ساختن صورتم برای پروردگارم در خاک ، که نشان دهنده بلوغ عبادت نسبت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خاک نپرهیزید و سجده بر آن را ناخوش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ناگزیر از آن هستید ، کسی از شما از مبالغه در این کار دست بر مدارد و با آن ، آزادی و خلاصی خود را از آتش بخواهد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سنل با لبخندی شرم آمیز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شما برای بت سجده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 از اینکه برای غیر خدا سجده کنیم ، چگونه ممکن است برای بت سجده کنیم در حالی که در سجده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پروردگار والا مرتبه من ، و او را می ستایم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تحمید و تقدیس که در سجده بر زبانمان جاری می شود ، برای خداست یا برای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سخن را می گویند در حالی که ما در هر روز و شب فریاد برمی آوریم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 دهم که خدایی جز خدای یکتا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تهمت را به ما می زنید در حالی که می بینید ما در راستای امتثال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تربت پاک سر به سجده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گرامی ام ، می دانی که میان سجده برای چیزی و سجده بر چیزی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تربت برای خدا پیشانی به سجده می نهیم ، نه اینکه برای این تربت سجده کنیم ، گرچه به آن نیز احترام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برگرفته از تربت سید الشهدا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 بر خود سخت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کردم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به بحثمان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سجده بر خاک یا چوب یا کاغذ یا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 ؟ مُبطل نماز می باشد یا خیر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نیست و نماز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صحیح بخاری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بنا البنیّ حتّی رأیتُ أَثَر الطِّینِ والماءِ عَلَی جبهة رسول الله وأَرْنَبتَه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نماز گزارد ، حتّی اثر گل و آب را بر پیشانی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 اش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خدا به تو جزای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بحث نظری نماز را به پایان رساندیم ، نماز عملی را به جا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سنی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شیعی بگزاریم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شیعه به نظرت صحیح است ، چه اشکالی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 خواهید چونان ما نماز بخوانید ، نا آگاهانه چیزی را بر ما نبندید و تحمیل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بحثِ فقهی خلافی و شناسایی بنیان های فکری و مبانی رجالی و اصولی دیگران ، خدمت های شایان توجهی را عاید فکر و عقیده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این رویکرد ، وضو و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وارسی کردم و نیز به بررسی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و اینکه آیا خمس واجب است یا نه ؟ و دیگر پژوهش های فقه مقایسه ای که در اینجا مجال ذکر آنها نیست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أسد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سخنِ ابن سعد این گونه تعلیق می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مقصود ابن سعد این است که همه کسانی که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 سخنشان قابل احتجاج نیست ؟ چگونه این ادعا ممکن است درست باشد در حالی تابعان ثقه و علمای مسلمانان از آن حضرت روایت کردند ، اصحاب صحاح به این روایات احتجاج ورزیده اند ، و هیچ کس از سخنِ آن حضرت بازنایستاده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مقصود ابن سعد از این کلمه ، راویان شیعه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در عرصه فکری و درونی ابن سعد و ارتکازات ذهنی که از اوهام و عوامل سیاسی و قدرتِ سیاسی حاکم بر ضد شیعه ، براندیشه اش راه یافته بود ، راویان شیعه ، ثقه دانسته نمی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استاد به شمارش نامِ راویان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پردازد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به تحریمْ به ابن عباس ، ابن مسعود و جابر نیز نسبت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ثابت و قطعی است که اینان به حلال بودنِ متعه قائل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عباس روایت شده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عمر از متعه نهی نمی کرد ، جز انسان 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تیره 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 نمی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 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نسبتِ تحریم متعه را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ضعیف می سازد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النقاد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عمران بن 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البسملة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عمر بن 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عبدالعزیز به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که هر سه روز ، کفش ها را برای وضو درآورند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مصنّد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 سخن ابن عبّاس در همین مأخذ ، حدیث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برای آگاهی از نظر ابن عبّاس به این مآخذ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الوضوء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حکم مسح پا را قرآن بیان کرده است ، جایی برای مسح بر کفش باقی نمی ماند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سنن 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النهی عن الروایة عن الضعفاء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المدخل إلی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توجیه النظر إلی أصول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النهی عن الروایة عن الضعفاء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المدخل إلی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توجیه النظر إلی أصول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عبدالعزیز دستور داد که ابن شهاب زُهْری احادیث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جمع آوری کند ، او نیز به این کار اقدام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اسد حیدر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التعدیل والترجیح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ابن وَهْب روایت شده که گفت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گزاردم ، جارچی فریاد می 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یُفتی الناسَ إلاّ مالک بن أنس وعبدالعزیز بن أبی سلمة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مالک و عبدالعزیز کسی برای مردم فتوا ندهد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نماز شکسته است که مسافر آن را دو رکعت به جا می آورد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اهل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لالکائی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بسمله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فسمّی الکلاب</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العلم قبل القول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پژوهش ، ضمنِ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نیز به طور جداگانه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الأنصار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وضوء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نسبة الخبر إلی عبدالله بن زید الأنصاری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الخامسة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بنگرید به ،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فی أنَّ الأئمّة یَتَکَلَّمُون علی سبعین وجهاً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والرقائق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فی سیرة النبی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بنگرید به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20069</Words>
  <Characters>66973</Characters>
  <CharactersWithSpaces>86431</CharactersWithSpaces>
  <Paragraphs>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2026-08-18T00:39:08Z</dcterms:created>
  <dc:creator>ghaemiyeh.com</dc:creator>
  <dc:description/>
  <dc:language>en-US</dc:language>
  <cp:lastModifiedBy/>
  <dcterms:modified xsi:type="dcterms:W3CDTF">2026-08-18T04:09:12Z</dcterms:modified>
  <cp:revision>1</cp:revision>
  <dc:subject/>
  <dc:title>با اندیشوران مسلمان رهیافتی نو در فقه مقارن</dc:title>
</cp:coreProperties>
</file>

<file path=docProps/custom.xml><?xml version="1.0" encoding="utf-8"?>
<Properties xmlns="http://schemas.openxmlformats.org/officeDocument/2006/custom-properties" xmlns:vt="http://schemas.openxmlformats.org/officeDocument/2006/docPropsVTypes"/>
</file>