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جامع الفتاوی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655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5655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56555_3650668749">
            <w:r>
              <w:rPr>
                <w:webHidden/>
                <w:rStyle w:val="IndexLink"/>
                <w:rtl w:val="true"/>
              </w:rPr>
              <w:t>چند نكته</w:t>
            </w:r>
            <w:r>
              <w:rPr>
                <w:rStyle w:val="IndexLink"/>
                <w:rtl w:val="true"/>
              </w:rPr>
              <w:t>:</w:t>
              <w:tab/>
            </w:r>
            <w:r>
              <w:rPr>
                <w:rStyle w:val="IndexLink"/>
              </w:rPr>
              <w:t>5</w:t>
            </w:r>
          </w:hyperlink>
        </w:p>
        <w:p>
          <w:pPr>
            <w:pStyle w:val="Contents3"/>
            <w:tabs>
              <w:tab w:val="clear" w:pos="8459"/>
              <w:tab w:val="right" w:pos="9026" w:leader="dot"/>
            </w:tabs>
            <w:rPr/>
          </w:pPr>
          <w:hyperlink w:anchor="__RefHeading___Toc1156557_3650668749">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156559_3650668749">
            <w:r>
              <w:rPr>
                <w:webHidden/>
                <w:rStyle w:val="IndexLink"/>
              </w:rPr>
              <w:t>1</w:t>
            </w:r>
            <w:r>
              <w:rPr>
                <w:rStyle w:val="IndexLink"/>
                <w:rtl w:val="true"/>
              </w:rPr>
              <w:t xml:space="preserve">- </w:t>
            </w:r>
            <w:r>
              <w:rPr>
                <w:rStyle w:val="IndexLink"/>
                <w:rtl w:val="true"/>
              </w:rPr>
              <w:t>رجوع در احتياط واجب به مجتهد ديگر</w:t>
            </w:r>
            <w:r>
              <w:rPr>
                <w:rStyle w:val="IndexLink"/>
                <w:rtl w:val="true"/>
              </w:rPr>
              <w:tab/>
            </w:r>
            <w:r>
              <w:rPr>
                <w:rStyle w:val="IndexLink"/>
              </w:rPr>
              <w:t>8</w:t>
            </w:r>
          </w:hyperlink>
        </w:p>
        <w:p>
          <w:pPr>
            <w:pStyle w:val="Contents3"/>
            <w:tabs>
              <w:tab w:val="clear" w:pos="8459"/>
              <w:tab w:val="right" w:pos="9026" w:leader="dot"/>
            </w:tabs>
            <w:rPr/>
          </w:pPr>
          <w:hyperlink w:anchor="__RefHeading___Toc1156561_3650668749">
            <w:r>
              <w:rPr>
                <w:webHidden/>
                <w:rStyle w:val="IndexLink"/>
              </w:rPr>
              <w:t>2</w:t>
            </w:r>
            <w:r>
              <w:rPr>
                <w:rStyle w:val="IndexLink"/>
                <w:rtl w:val="true"/>
              </w:rPr>
              <w:t xml:space="preserve">- </w:t>
            </w:r>
            <w:r>
              <w:rPr>
                <w:rStyle w:val="IndexLink"/>
                <w:rtl w:val="true"/>
              </w:rPr>
              <w:t>بقاء بر تقليد ميّت‌</w:t>
            </w:r>
            <w:r>
              <w:rPr>
                <w:rStyle w:val="IndexLink"/>
                <w:rtl w:val="true"/>
              </w:rPr>
              <w:tab/>
            </w:r>
            <w:r>
              <w:rPr>
                <w:rStyle w:val="IndexLink"/>
              </w:rPr>
              <w:t>10</w:t>
            </w:r>
          </w:hyperlink>
        </w:p>
        <w:p>
          <w:pPr>
            <w:pStyle w:val="Contents3"/>
            <w:tabs>
              <w:tab w:val="clear" w:pos="8459"/>
              <w:tab w:val="right" w:pos="9026" w:leader="dot"/>
            </w:tabs>
            <w:rPr/>
          </w:pPr>
          <w:hyperlink w:anchor="__RefHeading___Toc1156563_3650668749">
            <w:r>
              <w:rPr>
                <w:webHidden/>
                <w:rStyle w:val="IndexLink"/>
              </w:rPr>
              <w:t>3</w:t>
            </w:r>
            <w:r>
              <w:rPr>
                <w:rStyle w:val="IndexLink"/>
                <w:rtl w:val="true"/>
              </w:rPr>
              <w:t xml:space="preserve">- </w:t>
            </w:r>
            <w:r>
              <w:rPr>
                <w:rStyle w:val="IndexLink"/>
                <w:rtl w:val="true"/>
              </w:rPr>
              <w:t>تخيير بين قصر و اتمام نماز براى مسافر در مكه و مدينه‌</w:t>
            </w:r>
            <w:r>
              <w:rPr>
                <w:rStyle w:val="IndexLink"/>
                <w:rtl w:val="true"/>
              </w:rPr>
              <w:tab/>
            </w:r>
            <w:r>
              <w:rPr>
                <w:rStyle w:val="IndexLink"/>
              </w:rPr>
              <w:t>11</w:t>
            </w:r>
          </w:hyperlink>
        </w:p>
        <w:p>
          <w:pPr>
            <w:pStyle w:val="Contents3"/>
            <w:tabs>
              <w:tab w:val="clear" w:pos="8459"/>
              <w:tab w:val="right" w:pos="9026" w:leader="dot"/>
            </w:tabs>
            <w:rPr/>
          </w:pPr>
          <w:hyperlink w:anchor="__RefHeading___Toc1156565_3650668749">
            <w:r>
              <w:rPr>
                <w:webHidden/>
                <w:rStyle w:val="IndexLink"/>
              </w:rPr>
              <w:t>4</w:t>
            </w:r>
            <w:r>
              <w:rPr>
                <w:rStyle w:val="IndexLink"/>
                <w:rtl w:val="true"/>
              </w:rPr>
              <w:t xml:space="preserve">- </w:t>
            </w:r>
            <w:r>
              <w:rPr>
                <w:rStyle w:val="IndexLink"/>
                <w:rtl w:val="true"/>
              </w:rPr>
              <w:t>شركت در نمازهاى جماعت اهل سنّت در مكّه و مدينه‌</w:t>
            </w:r>
            <w:r>
              <w:rPr>
                <w:rStyle w:val="IndexLink"/>
                <w:rtl w:val="true"/>
              </w:rPr>
              <w:tab/>
            </w:r>
            <w:r>
              <w:rPr>
                <w:rStyle w:val="IndexLink"/>
              </w:rPr>
              <w:t>12</w:t>
            </w:r>
          </w:hyperlink>
        </w:p>
        <w:p>
          <w:pPr>
            <w:pStyle w:val="Contents3"/>
            <w:tabs>
              <w:tab w:val="clear" w:pos="8459"/>
              <w:tab w:val="right" w:pos="9026" w:leader="dot"/>
            </w:tabs>
            <w:rPr/>
          </w:pPr>
          <w:hyperlink w:anchor="__RefHeading___Toc1156567_3650668749">
            <w:r>
              <w:rPr>
                <w:webHidden/>
                <w:rStyle w:val="IndexLink"/>
              </w:rPr>
              <w:t>5</w:t>
            </w:r>
            <w:r>
              <w:rPr>
                <w:rStyle w:val="IndexLink"/>
                <w:rtl w:val="true"/>
              </w:rPr>
              <w:t xml:space="preserve">- </w:t>
            </w:r>
            <w:r>
              <w:rPr>
                <w:rStyle w:val="IndexLink"/>
                <w:rtl w:val="true"/>
              </w:rPr>
              <w:t>سجده بر فرش مساجد در مدينه منوره و مكّه مكرّمه در حال حاضر</w:t>
            </w:r>
            <w:r>
              <w:rPr>
                <w:rStyle w:val="IndexLink"/>
                <w:rtl w:val="true"/>
              </w:rPr>
              <w:tab/>
            </w:r>
            <w:r>
              <w:rPr>
                <w:rStyle w:val="IndexLink"/>
              </w:rPr>
              <w:t>13</w:t>
            </w:r>
          </w:hyperlink>
        </w:p>
        <w:p>
          <w:pPr>
            <w:pStyle w:val="Contents3"/>
            <w:tabs>
              <w:tab w:val="clear" w:pos="8459"/>
              <w:tab w:val="right" w:pos="9026" w:leader="dot"/>
            </w:tabs>
            <w:rPr/>
          </w:pPr>
          <w:hyperlink w:anchor="__RefHeading___Toc1156569_3650668749">
            <w:r>
              <w:rPr>
                <w:webHidden/>
                <w:rStyle w:val="IndexLink"/>
              </w:rPr>
              <w:t>6</w:t>
            </w:r>
            <w:r>
              <w:rPr>
                <w:rStyle w:val="IndexLink"/>
                <w:rtl w:val="true"/>
              </w:rPr>
              <w:t xml:space="preserve">- </w:t>
            </w:r>
            <w:r>
              <w:rPr>
                <w:rStyle w:val="IndexLink"/>
                <w:rtl w:val="true"/>
              </w:rPr>
              <w:t>نماز استداره‌اى در مسجد الحرام‌</w:t>
            </w:r>
            <w:r>
              <w:rPr>
                <w:rStyle w:val="IndexLink"/>
                <w:rtl w:val="true"/>
              </w:rPr>
              <w:tab/>
            </w:r>
            <w:r>
              <w:rPr>
                <w:rStyle w:val="IndexLink"/>
              </w:rPr>
              <w:t>14</w:t>
            </w:r>
          </w:hyperlink>
        </w:p>
        <w:p>
          <w:pPr>
            <w:pStyle w:val="Contents3"/>
            <w:tabs>
              <w:tab w:val="clear" w:pos="8459"/>
              <w:tab w:val="right" w:pos="9026" w:leader="dot"/>
            </w:tabs>
            <w:rPr/>
          </w:pPr>
          <w:hyperlink w:anchor="__RefHeading___Toc1156571_3650668749">
            <w:r>
              <w:rPr>
                <w:webHidden/>
                <w:rStyle w:val="IndexLink"/>
              </w:rPr>
              <w:t>7</w:t>
            </w:r>
            <w:r>
              <w:rPr>
                <w:rStyle w:val="IndexLink"/>
                <w:rtl w:val="true"/>
              </w:rPr>
              <w:t xml:space="preserve">- </w:t>
            </w:r>
            <w:r>
              <w:rPr>
                <w:rStyle w:val="IndexLink"/>
                <w:rtl w:val="true"/>
              </w:rPr>
              <w:t>احرام با نذر، پيش از ميقات‌</w:t>
            </w:r>
            <w:r>
              <w:rPr>
                <w:rStyle w:val="IndexLink"/>
                <w:rtl w:val="true"/>
              </w:rPr>
              <w:tab/>
            </w:r>
            <w:r>
              <w:rPr>
                <w:rStyle w:val="IndexLink"/>
              </w:rPr>
              <w:t>15</w:t>
            </w:r>
          </w:hyperlink>
        </w:p>
        <w:p>
          <w:pPr>
            <w:pStyle w:val="Contents3"/>
            <w:tabs>
              <w:tab w:val="clear" w:pos="8459"/>
              <w:tab w:val="right" w:pos="9026" w:leader="dot"/>
            </w:tabs>
            <w:rPr/>
          </w:pPr>
          <w:hyperlink w:anchor="__RefHeading___Toc1156573_3650668749">
            <w:r>
              <w:rPr>
                <w:webHidden/>
                <w:rStyle w:val="IndexLink"/>
              </w:rPr>
              <w:t>8</w:t>
            </w:r>
            <w:r>
              <w:rPr>
                <w:rStyle w:val="IndexLink"/>
                <w:rtl w:val="true"/>
              </w:rPr>
              <w:t xml:space="preserve">- </w:t>
            </w:r>
            <w:r>
              <w:rPr>
                <w:rStyle w:val="IndexLink"/>
                <w:rtl w:val="true"/>
              </w:rPr>
              <w:t>اشتراط اجازه شوهر در صحّت نذر زن‌</w:t>
            </w:r>
            <w:r>
              <w:rPr>
                <w:rStyle w:val="IndexLink"/>
                <w:rtl w:val="true"/>
              </w:rPr>
              <w:tab/>
            </w:r>
            <w:r>
              <w:rPr>
                <w:rStyle w:val="IndexLink"/>
              </w:rPr>
              <w:t>16</w:t>
            </w:r>
          </w:hyperlink>
        </w:p>
        <w:p>
          <w:pPr>
            <w:pStyle w:val="Contents3"/>
            <w:tabs>
              <w:tab w:val="clear" w:pos="8459"/>
              <w:tab w:val="right" w:pos="9026" w:leader="dot"/>
            </w:tabs>
            <w:rPr/>
          </w:pPr>
          <w:hyperlink w:anchor="__RefHeading___Toc1156575_3650668749">
            <w:r>
              <w:rPr>
                <w:webHidden/>
                <w:rStyle w:val="IndexLink"/>
              </w:rPr>
              <w:t>9</w:t>
            </w:r>
            <w:r>
              <w:rPr>
                <w:rStyle w:val="IndexLink"/>
                <w:rtl w:val="true"/>
              </w:rPr>
              <w:t xml:space="preserve">- </w:t>
            </w:r>
            <w:r>
              <w:rPr>
                <w:rStyle w:val="IndexLink"/>
                <w:rtl w:val="true"/>
              </w:rPr>
              <w:t>احرام در مسجد شجره‌</w:t>
            </w:r>
            <w:r>
              <w:rPr>
                <w:rStyle w:val="IndexLink"/>
                <w:rtl w:val="true"/>
              </w:rPr>
              <w:tab/>
            </w:r>
            <w:r>
              <w:rPr>
                <w:rStyle w:val="IndexLink"/>
              </w:rPr>
              <w:t>16</w:t>
            </w:r>
          </w:hyperlink>
        </w:p>
        <w:p>
          <w:pPr>
            <w:pStyle w:val="Contents3"/>
            <w:tabs>
              <w:tab w:val="clear" w:pos="8459"/>
              <w:tab w:val="right" w:pos="9026" w:leader="dot"/>
            </w:tabs>
            <w:rPr/>
          </w:pPr>
          <w:hyperlink w:anchor="__RefHeading___Toc1156577_3650668749">
            <w:r>
              <w:rPr>
                <w:webHidden/>
                <w:rStyle w:val="IndexLink"/>
              </w:rPr>
              <w:t>10</w:t>
            </w:r>
            <w:r>
              <w:rPr>
                <w:rStyle w:val="IndexLink"/>
                <w:rtl w:val="true"/>
              </w:rPr>
              <w:t xml:space="preserve">- </w:t>
            </w:r>
            <w:r>
              <w:rPr>
                <w:rStyle w:val="IndexLink"/>
                <w:rtl w:val="true"/>
              </w:rPr>
              <w:t>قصد ترك محرمات در حال احرام‌</w:t>
            </w:r>
            <w:r>
              <w:rPr>
                <w:rStyle w:val="IndexLink"/>
                <w:rtl w:val="true"/>
              </w:rPr>
              <w:tab/>
            </w:r>
            <w:r>
              <w:rPr>
                <w:rStyle w:val="IndexLink"/>
              </w:rPr>
              <w:t>18</w:t>
            </w:r>
          </w:hyperlink>
        </w:p>
        <w:p>
          <w:pPr>
            <w:pStyle w:val="Contents3"/>
            <w:tabs>
              <w:tab w:val="clear" w:pos="8459"/>
              <w:tab w:val="right" w:pos="9026" w:leader="dot"/>
            </w:tabs>
            <w:rPr/>
          </w:pPr>
          <w:hyperlink w:anchor="__RefHeading___Toc1156579_3650668749">
            <w:r>
              <w:rPr>
                <w:webHidden/>
                <w:rStyle w:val="IndexLink"/>
              </w:rPr>
              <w:t>11</w:t>
            </w:r>
            <w:r>
              <w:rPr>
                <w:rStyle w:val="IndexLink"/>
                <w:rtl w:val="true"/>
              </w:rPr>
              <w:t xml:space="preserve">- </w:t>
            </w:r>
            <w:r>
              <w:rPr>
                <w:rStyle w:val="IndexLink"/>
                <w:rtl w:val="true"/>
              </w:rPr>
              <w:t>گره زدن لباس احرام و سنجاق زدن به آن‌</w:t>
            </w:r>
            <w:r>
              <w:rPr>
                <w:rStyle w:val="IndexLink"/>
                <w:rtl w:val="true"/>
              </w:rPr>
              <w:tab/>
            </w:r>
            <w:r>
              <w:rPr>
                <w:rStyle w:val="IndexLink"/>
              </w:rPr>
              <w:t>18</w:t>
            </w:r>
          </w:hyperlink>
        </w:p>
        <w:p>
          <w:pPr>
            <w:pStyle w:val="Contents3"/>
            <w:tabs>
              <w:tab w:val="clear" w:pos="8459"/>
              <w:tab w:val="right" w:pos="9026" w:leader="dot"/>
            </w:tabs>
            <w:rPr/>
          </w:pPr>
          <w:hyperlink w:anchor="__RefHeading___Toc1156581_3650668749">
            <w:r>
              <w:rPr>
                <w:webHidden/>
                <w:rStyle w:val="IndexLink"/>
              </w:rPr>
              <w:t>12</w:t>
            </w:r>
            <w:r>
              <w:rPr>
                <w:rStyle w:val="IndexLink"/>
                <w:rtl w:val="true"/>
              </w:rPr>
              <w:t xml:space="preserve">- </w:t>
            </w:r>
            <w:r>
              <w:rPr>
                <w:rStyle w:val="IndexLink"/>
                <w:rtl w:val="true"/>
              </w:rPr>
              <w:t>استفاده از كمربند دوخته براى مردان‌</w:t>
            </w:r>
            <w:r>
              <w:rPr>
                <w:rStyle w:val="IndexLink"/>
                <w:rtl w:val="true"/>
              </w:rPr>
              <w:tab/>
            </w:r>
            <w:r>
              <w:rPr>
                <w:rStyle w:val="IndexLink"/>
              </w:rPr>
              <w:t>19</w:t>
            </w:r>
          </w:hyperlink>
        </w:p>
        <w:p>
          <w:pPr>
            <w:pStyle w:val="Contents3"/>
            <w:tabs>
              <w:tab w:val="clear" w:pos="8459"/>
              <w:tab w:val="right" w:pos="9026" w:leader="dot"/>
            </w:tabs>
            <w:rPr/>
          </w:pPr>
          <w:hyperlink w:anchor="__RefHeading___Toc1156583_3650668749">
            <w:r>
              <w:rPr>
                <w:webHidden/>
                <w:rStyle w:val="IndexLink"/>
              </w:rPr>
              <w:t>13</w:t>
            </w:r>
            <w:r>
              <w:rPr>
                <w:rStyle w:val="IndexLink"/>
                <w:rtl w:val="true"/>
              </w:rPr>
              <w:t xml:space="preserve">- </w:t>
            </w:r>
            <w:r>
              <w:rPr>
                <w:rStyle w:val="IndexLink"/>
                <w:rtl w:val="true"/>
              </w:rPr>
              <w:t>پوشيدن دمپايى دوخته براى مردان‌</w:t>
            </w:r>
            <w:r>
              <w:rPr>
                <w:rStyle w:val="IndexLink"/>
                <w:rtl w:val="true"/>
              </w:rPr>
              <w:tab/>
            </w:r>
            <w:r>
              <w:rPr>
                <w:rStyle w:val="IndexLink"/>
              </w:rPr>
              <w:t>19</w:t>
            </w:r>
          </w:hyperlink>
        </w:p>
        <w:p>
          <w:pPr>
            <w:pStyle w:val="Contents3"/>
            <w:tabs>
              <w:tab w:val="clear" w:pos="8459"/>
              <w:tab w:val="right" w:pos="9026" w:leader="dot"/>
            </w:tabs>
            <w:rPr/>
          </w:pPr>
          <w:hyperlink w:anchor="__RefHeading___Toc1156585_3650668749">
            <w:r>
              <w:rPr>
                <w:webHidden/>
                <w:rStyle w:val="IndexLink"/>
              </w:rPr>
              <w:t>14</w:t>
            </w:r>
            <w:r>
              <w:rPr>
                <w:rStyle w:val="IndexLink"/>
                <w:rtl w:val="true"/>
              </w:rPr>
              <w:t xml:space="preserve">- </w:t>
            </w:r>
            <w:r>
              <w:rPr>
                <w:rStyle w:val="IndexLink"/>
                <w:rtl w:val="true"/>
              </w:rPr>
              <w:t>نگاه در آينه‌</w:t>
            </w:r>
            <w:r>
              <w:rPr>
                <w:rStyle w:val="IndexLink"/>
                <w:rtl w:val="true"/>
              </w:rPr>
              <w:tab/>
            </w:r>
            <w:r>
              <w:rPr>
                <w:rStyle w:val="IndexLink"/>
              </w:rPr>
              <w:t>20</w:t>
            </w:r>
          </w:hyperlink>
        </w:p>
        <w:p>
          <w:pPr>
            <w:pStyle w:val="Contents3"/>
            <w:tabs>
              <w:tab w:val="clear" w:pos="8459"/>
              <w:tab w:val="right" w:pos="9026" w:leader="dot"/>
            </w:tabs>
            <w:rPr/>
          </w:pPr>
          <w:hyperlink w:anchor="__RefHeading___Toc1156587_3650668749">
            <w:r>
              <w:rPr>
                <w:webHidden/>
                <w:rStyle w:val="IndexLink"/>
              </w:rPr>
              <w:t>15</w:t>
            </w:r>
            <w:r>
              <w:rPr>
                <w:rStyle w:val="IndexLink"/>
                <w:rtl w:val="true"/>
              </w:rPr>
              <w:t xml:space="preserve">- </w:t>
            </w:r>
            <w:r>
              <w:rPr>
                <w:rStyle w:val="IndexLink"/>
                <w:rtl w:val="true"/>
              </w:rPr>
              <w:t>استظلال در شب براى مردان در حال طىّ منزل از روى عمد و اختيار</w:t>
            </w:r>
            <w:r>
              <w:rPr>
                <w:rStyle w:val="IndexLink"/>
                <w:rtl w:val="true"/>
              </w:rPr>
              <w:tab/>
            </w:r>
            <w:r>
              <w:rPr>
                <w:rStyle w:val="IndexLink"/>
              </w:rPr>
              <w:t>20</w:t>
            </w:r>
          </w:hyperlink>
        </w:p>
        <w:p>
          <w:pPr>
            <w:pStyle w:val="Contents3"/>
            <w:tabs>
              <w:tab w:val="clear" w:pos="8459"/>
              <w:tab w:val="right" w:pos="9026" w:leader="dot"/>
            </w:tabs>
            <w:rPr/>
          </w:pPr>
          <w:hyperlink w:anchor="__RefHeading___Toc1156589_3650668749">
            <w:r>
              <w:rPr>
                <w:webHidden/>
                <w:rStyle w:val="IndexLink"/>
              </w:rPr>
              <w:t>16</w:t>
            </w:r>
            <w:r>
              <w:rPr>
                <w:rStyle w:val="IndexLink"/>
                <w:rtl w:val="true"/>
              </w:rPr>
              <w:t xml:space="preserve">- </w:t>
            </w:r>
            <w:r>
              <w:rPr>
                <w:rStyle w:val="IndexLink"/>
                <w:rtl w:val="true"/>
              </w:rPr>
              <w:t>استظلال براى مردان هنگام تردّد در محلّى كه منزل مى‌كنند، مانند مكّه و منى و عرفات در روز</w:t>
            </w:r>
            <w:r>
              <w:rPr>
                <w:rStyle w:val="IndexLink"/>
                <w:rtl w:val="true"/>
              </w:rPr>
              <w:tab/>
            </w:r>
            <w:r>
              <w:rPr>
                <w:rStyle w:val="IndexLink"/>
              </w:rPr>
              <w:t>21</w:t>
            </w:r>
          </w:hyperlink>
        </w:p>
        <w:p>
          <w:pPr>
            <w:pStyle w:val="Contents3"/>
            <w:tabs>
              <w:tab w:val="clear" w:pos="8459"/>
              <w:tab w:val="right" w:pos="9026" w:leader="dot"/>
            </w:tabs>
            <w:rPr/>
          </w:pPr>
          <w:hyperlink w:anchor="__RefHeading___Toc1156591_3650668749">
            <w:r>
              <w:rPr>
                <w:webHidden/>
                <w:rStyle w:val="IndexLink"/>
              </w:rPr>
              <w:t>17</w:t>
            </w:r>
            <w:r>
              <w:rPr>
                <w:rStyle w:val="IndexLink"/>
                <w:rtl w:val="true"/>
              </w:rPr>
              <w:t xml:space="preserve">- </w:t>
            </w:r>
            <w:r>
              <w:rPr>
                <w:rStyle w:val="IndexLink"/>
                <w:rtl w:val="true"/>
              </w:rPr>
              <w:t>حد مطاف‌</w:t>
            </w:r>
            <w:r>
              <w:rPr>
                <w:rStyle w:val="IndexLink"/>
                <w:rtl w:val="true"/>
              </w:rPr>
              <w:tab/>
            </w:r>
            <w:r>
              <w:rPr>
                <w:rStyle w:val="IndexLink"/>
              </w:rPr>
              <w:t>23</w:t>
            </w:r>
          </w:hyperlink>
        </w:p>
        <w:p>
          <w:pPr>
            <w:pStyle w:val="Contents3"/>
            <w:tabs>
              <w:tab w:val="clear" w:pos="8459"/>
              <w:tab w:val="right" w:pos="9026" w:leader="dot"/>
            </w:tabs>
            <w:rPr/>
          </w:pPr>
          <w:hyperlink w:anchor="__RefHeading___Toc1156593_3650668749">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tl w:val="true"/>
              </w:rPr>
              <w:t>تذكر راجع به طواف‌</w:t>
            </w:r>
            <w:r>
              <w:rPr>
                <w:rStyle w:val="IndexLink"/>
                <w:rtl w:val="true"/>
              </w:rPr>
              <w:tab/>
            </w:r>
            <w:r>
              <w:rPr>
                <w:rStyle w:val="IndexLink"/>
              </w:rPr>
              <w:t>25</w:t>
            </w:r>
          </w:hyperlink>
        </w:p>
        <w:p>
          <w:pPr>
            <w:pStyle w:val="Contents3"/>
            <w:tabs>
              <w:tab w:val="clear" w:pos="8459"/>
              <w:tab w:val="right" w:pos="9026" w:leader="dot"/>
            </w:tabs>
            <w:rPr/>
          </w:pPr>
          <w:hyperlink w:anchor="__RefHeading___Toc1156595_3650668749">
            <w:r>
              <w:rPr>
                <w:webHidden/>
                <w:rStyle w:val="IndexLink"/>
              </w:rPr>
              <w:t>19</w:t>
            </w:r>
            <w:r>
              <w:rPr>
                <w:rStyle w:val="IndexLink"/>
                <w:rtl w:val="true"/>
              </w:rPr>
              <w:t xml:space="preserve">- </w:t>
            </w:r>
            <w:r>
              <w:rPr>
                <w:rStyle w:val="IndexLink"/>
                <w:rtl w:val="true"/>
              </w:rPr>
              <w:t>طواف طبقه دوّم براى معذورين‌</w:t>
            </w:r>
            <w:r>
              <w:rPr>
                <w:rStyle w:val="IndexLink"/>
                <w:rtl w:val="true"/>
              </w:rPr>
              <w:tab/>
            </w:r>
            <w:r>
              <w:rPr>
                <w:rStyle w:val="IndexLink"/>
              </w:rPr>
              <w:t>27</w:t>
            </w:r>
          </w:hyperlink>
        </w:p>
        <w:p>
          <w:pPr>
            <w:pStyle w:val="Contents3"/>
            <w:tabs>
              <w:tab w:val="clear" w:pos="8459"/>
              <w:tab w:val="right" w:pos="9026" w:leader="dot"/>
            </w:tabs>
            <w:rPr/>
          </w:pPr>
          <w:hyperlink w:anchor="__RefHeading___Toc1156597_3650668749">
            <w:r>
              <w:rPr>
                <w:webHidden/>
                <w:rStyle w:val="IndexLink"/>
              </w:rPr>
              <w:t>20</w:t>
            </w:r>
            <w:r>
              <w:rPr>
                <w:rStyle w:val="IndexLink"/>
                <w:rtl w:val="true"/>
              </w:rPr>
              <w:t xml:space="preserve">- </w:t>
            </w:r>
            <w:r>
              <w:rPr>
                <w:rStyle w:val="IndexLink"/>
                <w:rtl w:val="true"/>
              </w:rPr>
              <w:t>گذاردن دست روى حجر اسماعيل در حال طواف‌</w:t>
            </w:r>
            <w:r>
              <w:rPr>
                <w:rStyle w:val="IndexLink"/>
                <w:rtl w:val="true"/>
              </w:rPr>
              <w:tab/>
            </w:r>
            <w:r>
              <w:rPr>
                <w:rStyle w:val="IndexLink"/>
              </w:rPr>
              <w:t>28</w:t>
            </w:r>
          </w:hyperlink>
        </w:p>
        <w:p>
          <w:pPr>
            <w:pStyle w:val="Contents3"/>
            <w:tabs>
              <w:tab w:val="clear" w:pos="8459"/>
              <w:tab w:val="right" w:pos="9026" w:leader="dot"/>
            </w:tabs>
            <w:rPr/>
          </w:pPr>
          <w:hyperlink w:anchor="__RefHeading___Toc1156599_3650668749">
            <w:r>
              <w:rPr>
                <w:webHidden/>
                <w:rStyle w:val="IndexLink"/>
              </w:rPr>
              <w:t>21</w:t>
            </w:r>
            <w:r>
              <w:rPr>
                <w:rStyle w:val="IndexLink"/>
                <w:rtl w:val="true"/>
              </w:rPr>
              <w:t xml:space="preserve">- </w:t>
            </w:r>
            <w:r>
              <w:rPr>
                <w:rStyle w:val="IndexLink"/>
                <w:rtl w:val="true"/>
              </w:rPr>
              <w:t>حكم نجاساتى كه در نماز عفو شده و محمول متنجس در طواف‌</w:t>
            </w:r>
            <w:r>
              <w:rPr>
                <w:rStyle w:val="IndexLink"/>
                <w:rtl w:val="true"/>
              </w:rPr>
              <w:tab/>
            </w:r>
            <w:r>
              <w:rPr>
                <w:rStyle w:val="IndexLink"/>
              </w:rPr>
              <w:t>29</w:t>
            </w:r>
          </w:hyperlink>
        </w:p>
        <w:p>
          <w:pPr>
            <w:pStyle w:val="Contents3"/>
            <w:tabs>
              <w:tab w:val="clear" w:pos="8459"/>
              <w:tab w:val="right" w:pos="9026" w:leader="dot"/>
            </w:tabs>
            <w:rPr/>
          </w:pPr>
          <w:hyperlink w:anchor="__RefHeading___Toc1156601_3650668749">
            <w:r>
              <w:rPr>
                <w:webHidden/>
                <w:rStyle w:val="IndexLink"/>
              </w:rPr>
              <w:t>22</w:t>
            </w:r>
            <w:r>
              <w:rPr>
                <w:rStyle w:val="IndexLink"/>
                <w:rtl w:val="true"/>
              </w:rPr>
              <w:t xml:space="preserve">- </w:t>
            </w:r>
            <w:r>
              <w:rPr>
                <w:rStyle w:val="IndexLink"/>
                <w:rtl w:val="true"/>
              </w:rPr>
              <w:t>قطع طواف بدون عذر</w:t>
            </w:r>
            <w:r>
              <w:rPr>
                <w:rStyle w:val="IndexLink"/>
                <w:rtl w:val="true"/>
              </w:rPr>
              <w:tab/>
            </w:r>
            <w:r>
              <w:rPr>
                <w:rStyle w:val="IndexLink"/>
              </w:rPr>
              <w:t>29</w:t>
            </w:r>
          </w:hyperlink>
        </w:p>
        <w:p>
          <w:pPr>
            <w:pStyle w:val="Contents3"/>
            <w:tabs>
              <w:tab w:val="clear" w:pos="8459"/>
              <w:tab w:val="right" w:pos="9026" w:leader="dot"/>
            </w:tabs>
            <w:rPr/>
          </w:pPr>
          <w:hyperlink w:anchor="__RefHeading___Toc1156603_3650668749">
            <w:r>
              <w:rPr>
                <w:webHidden/>
                <w:rStyle w:val="IndexLink"/>
              </w:rPr>
              <w:t>23</w:t>
            </w:r>
            <w:r>
              <w:rPr>
                <w:rStyle w:val="IndexLink"/>
                <w:rtl w:val="true"/>
              </w:rPr>
              <w:t xml:space="preserve">- </w:t>
            </w:r>
            <w:r>
              <w:rPr>
                <w:rStyle w:val="IndexLink"/>
                <w:rtl w:val="true"/>
              </w:rPr>
              <w:t>وظيفه كسى كه نتوانسته قرائت يا ذكرهاى واجب را ياد بگيرد</w:t>
            </w:r>
            <w:r>
              <w:rPr>
                <w:rStyle w:val="IndexLink"/>
                <w:rtl w:val="true"/>
              </w:rPr>
              <w:tab/>
            </w:r>
            <w:r>
              <w:rPr>
                <w:rStyle w:val="IndexLink"/>
              </w:rPr>
              <w:t>30</w:t>
            </w:r>
          </w:hyperlink>
        </w:p>
        <w:p>
          <w:pPr>
            <w:pStyle w:val="Contents3"/>
            <w:tabs>
              <w:tab w:val="clear" w:pos="8459"/>
              <w:tab w:val="right" w:pos="9026" w:leader="dot"/>
            </w:tabs>
            <w:rPr/>
          </w:pPr>
          <w:hyperlink w:anchor="__RefHeading___Toc1156605_3650668749">
            <w:r>
              <w:rPr>
                <w:webHidden/>
                <w:rStyle w:val="IndexLink"/>
              </w:rPr>
              <w:t>24</w:t>
            </w:r>
            <w:r>
              <w:rPr>
                <w:rStyle w:val="IndexLink"/>
                <w:rtl w:val="true"/>
              </w:rPr>
              <w:t xml:space="preserve">- </w:t>
            </w:r>
            <w:r>
              <w:rPr>
                <w:rStyle w:val="IndexLink"/>
                <w:rtl w:val="true"/>
              </w:rPr>
              <w:t>خروج از مكّه بين عمره و حج تمتّع‌</w:t>
            </w:r>
            <w:r>
              <w:rPr>
                <w:rStyle w:val="IndexLink"/>
                <w:rtl w:val="true"/>
              </w:rPr>
              <w:tab/>
            </w:r>
            <w:r>
              <w:rPr>
                <w:rStyle w:val="IndexLink"/>
              </w:rPr>
              <w:t>30</w:t>
            </w:r>
          </w:hyperlink>
        </w:p>
        <w:p>
          <w:pPr>
            <w:pStyle w:val="Contents3"/>
            <w:tabs>
              <w:tab w:val="clear" w:pos="8459"/>
              <w:tab w:val="right" w:pos="9026" w:leader="dot"/>
            </w:tabs>
            <w:rPr/>
          </w:pPr>
          <w:hyperlink w:anchor="__RefHeading___Toc1156607_3650668749">
            <w:r>
              <w:rPr>
                <w:webHidden/>
                <w:rStyle w:val="IndexLink"/>
              </w:rPr>
              <w:t>25</w:t>
            </w:r>
            <w:r>
              <w:rPr>
                <w:rStyle w:val="IndexLink"/>
                <w:rtl w:val="true"/>
              </w:rPr>
              <w:t xml:space="preserve">- </w:t>
            </w:r>
            <w:r>
              <w:rPr>
                <w:rStyle w:val="IndexLink"/>
                <w:rtl w:val="true"/>
              </w:rPr>
              <w:t>سعى از مسعاى جديد</w:t>
            </w:r>
            <w:r>
              <w:rPr>
                <w:rStyle w:val="IndexLink"/>
                <w:rtl w:val="true"/>
              </w:rPr>
              <w:tab/>
            </w:r>
            <w:r>
              <w:rPr>
                <w:rStyle w:val="IndexLink"/>
              </w:rPr>
              <w:t>32</w:t>
            </w:r>
          </w:hyperlink>
        </w:p>
        <w:p>
          <w:pPr>
            <w:pStyle w:val="Contents3"/>
            <w:tabs>
              <w:tab w:val="clear" w:pos="8459"/>
              <w:tab w:val="right" w:pos="9026" w:leader="dot"/>
            </w:tabs>
            <w:rPr/>
          </w:pPr>
          <w:hyperlink w:anchor="__RefHeading___Toc1156609_3650668749">
            <w:r>
              <w:rPr>
                <w:webHidden/>
                <w:rStyle w:val="IndexLink"/>
              </w:rPr>
              <w:t>26</w:t>
            </w:r>
            <w:r>
              <w:rPr>
                <w:rStyle w:val="IndexLink"/>
                <w:rtl w:val="true"/>
              </w:rPr>
              <w:t xml:space="preserve">- </w:t>
            </w:r>
            <w:r>
              <w:rPr>
                <w:rStyle w:val="IndexLink"/>
                <w:rtl w:val="true"/>
              </w:rPr>
              <w:t>محل احرام حج‌</w:t>
            </w:r>
            <w:r>
              <w:rPr>
                <w:rStyle w:val="IndexLink"/>
                <w:rtl w:val="true"/>
              </w:rPr>
              <w:tab/>
            </w:r>
            <w:r>
              <w:rPr>
                <w:rStyle w:val="IndexLink"/>
              </w:rPr>
              <w:t>32</w:t>
            </w:r>
          </w:hyperlink>
        </w:p>
        <w:p>
          <w:pPr>
            <w:pStyle w:val="Contents3"/>
            <w:tabs>
              <w:tab w:val="clear" w:pos="8459"/>
              <w:tab w:val="right" w:pos="9026" w:leader="dot"/>
            </w:tabs>
            <w:rPr/>
          </w:pPr>
          <w:hyperlink w:anchor="__RefHeading___Toc1156611_3650668749">
            <w:r>
              <w:rPr>
                <w:webHidden/>
                <w:rStyle w:val="IndexLink"/>
              </w:rPr>
              <w:t>27</w:t>
            </w:r>
            <w:r>
              <w:rPr>
                <w:rStyle w:val="IndexLink"/>
                <w:rtl w:val="true"/>
              </w:rPr>
              <w:t xml:space="preserve">- </w:t>
            </w:r>
            <w:r>
              <w:rPr>
                <w:rStyle w:val="IndexLink"/>
                <w:rtl w:val="true"/>
              </w:rPr>
              <w:t>كوچ از مشعر الحرام براى بانوان و معذورين و همراه آنان‌</w:t>
            </w:r>
            <w:r>
              <w:rPr>
                <w:rStyle w:val="IndexLink"/>
                <w:rtl w:val="true"/>
              </w:rPr>
              <w:tab/>
            </w:r>
            <w:r>
              <w:rPr>
                <w:rStyle w:val="IndexLink"/>
              </w:rPr>
              <w:t>32</w:t>
            </w:r>
          </w:hyperlink>
        </w:p>
        <w:p>
          <w:pPr>
            <w:pStyle w:val="Contents3"/>
            <w:tabs>
              <w:tab w:val="clear" w:pos="8459"/>
              <w:tab w:val="right" w:pos="9026" w:leader="dot"/>
            </w:tabs>
            <w:rPr/>
          </w:pPr>
          <w:hyperlink w:anchor="__RefHeading___Toc1156613_3650668749">
            <w:r>
              <w:rPr>
                <w:webHidden/>
                <w:rStyle w:val="IndexLink"/>
              </w:rPr>
              <w:t>28</w:t>
            </w:r>
            <w:r>
              <w:rPr>
                <w:rStyle w:val="IndexLink"/>
                <w:rtl w:val="true"/>
              </w:rPr>
              <w:t xml:space="preserve">- </w:t>
            </w:r>
            <w:r>
              <w:rPr>
                <w:rStyle w:val="IndexLink"/>
                <w:rtl w:val="true"/>
              </w:rPr>
              <w:t>شرط ايمان در ذابح‌</w:t>
            </w:r>
            <w:r>
              <w:rPr>
                <w:rStyle w:val="IndexLink"/>
                <w:rtl w:val="true"/>
              </w:rPr>
              <w:tab/>
            </w:r>
            <w:r>
              <w:rPr>
                <w:rStyle w:val="IndexLink"/>
              </w:rPr>
              <w:t>33</w:t>
            </w:r>
          </w:hyperlink>
        </w:p>
        <w:p>
          <w:pPr>
            <w:pStyle w:val="Contents3"/>
            <w:tabs>
              <w:tab w:val="clear" w:pos="8459"/>
              <w:tab w:val="right" w:pos="9026" w:leader="dot"/>
            </w:tabs>
            <w:rPr/>
          </w:pPr>
          <w:hyperlink w:anchor="__RefHeading___Toc1156615_3650668749">
            <w:r>
              <w:rPr>
                <w:webHidden/>
                <w:rStyle w:val="IndexLink"/>
              </w:rPr>
              <w:t>29</w:t>
            </w:r>
            <w:r>
              <w:rPr>
                <w:rStyle w:val="IndexLink"/>
                <w:rtl w:val="true"/>
              </w:rPr>
              <w:t xml:space="preserve">- </w:t>
            </w:r>
            <w:r>
              <w:rPr>
                <w:rStyle w:val="IndexLink"/>
                <w:rtl w:val="true"/>
              </w:rPr>
              <w:t>تأخير ذبح از روز عيد</w:t>
            </w:r>
            <w:r>
              <w:rPr>
                <w:rStyle w:val="IndexLink"/>
                <w:rtl w:val="true"/>
              </w:rPr>
              <w:tab/>
            </w:r>
            <w:r>
              <w:rPr>
                <w:rStyle w:val="IndexLink"/>
              </w:rPr>
              <w:t>35</w:t>
            </w:r>
          </w:hyperlink>
        </w:p>
        <w:p>
          <w:pPr>
            <w:pStyle w:val="Contents3"/>
            <w:tabs>
              <w:tab w:val="clear" w:pos="8459"/>
              <w:tab w:val="right" w:pos="9026" w:leader="dot"/>
            </w:tabs>
            <w:rPr/>
          </w:pPr>
          <w:hyperlink w:anchor="__RefHeading___Toc1156617_3650668749">
            <w:r>
              <w:rPr>
                <w:webHidden/>
                <w:rStyle w:val="IndexLink"/>
              </w:rPr>
              <w:t>30</w:t>
            </w:r>
            <w:r>
              <w:rPr>
                <w:rStyle w:val="IndexLink"/>
                <w:rtl w:val="true"/>
              </w:rPr>
              <w:t xml:space="preserve">- </w:t>
            </w:r>
            <w:r>
              <w:rPr>
                <w:rStyle w:val="IndexLink"/>
                <w:rtl w:val="true"/>
              </w:rPr>
              <w:t>قربانى در شب‌</w:t>
            </w:r>
            <w:r>
              <w:rPr>
                <w:rStyle w:val="IndexLink"/>
                <w:rtl w:val="true"/>
              </w:rPr>
              <w:tab/>
            </w:r>
            <w:r>
              <w:rPr>
                <w:rStyle w:val="IndexLink"/>
              </w:rPr>
              <w:t>35</w:t>
            </w:r>
          </w:hyperlink>
        </w:p>
        <w:p>
          <w:pPr>
            <w:pStyle w:val="Contents3"/>
            <w:tabs>
              <w:tab w:val="clear" w:pos="8459"/>
              <w:tab w:val="right" w:pos="9026" w:leader="dot"/>
            </w:tabs>
            <w:rPr/>
          </w:pPr>
          <w:hyperlink w:anchor="__RefHeading___Toc1156619_3650668749">
            <w:r>
              <w:rPr>
                <w:webHidden/>
                <w:rStyle w:val="IndexLink"/>
              </w:rPr>
              <w:t>31</w:t>
            </w:r>
            <w:r>
              <w:rPr>
                <w:rStyle w:val="IndexLink"/>
                <w:rtl w:val="true"/>
              </w:rPr>
              <w:t xml:space="preserve">- </w:t>
            </w:r>
            <w:r>
              <w:rPr>
                <w:rStyle w:val="IndexLink"/>
                <w:rtl w:val="true"/>
              </w:rPr>
              <w:t>تثليث قربانى‌</w:t>
            </w:r>
            <w:r>
              <w:rPr>
                <w:rStyle w:val="IndexLink"/>
                <w:rtl w:val="true"/>
              </w:rPr>
              <w:tab/>
            </w:r>
            <w:r>
              <w:rPr>
                <w:rStyle w:val="IndexLink"/>
              </w:rPr>
              <w:t>36</w:t>
            </w:r>
          </w:hyperlink>
        </w:p>
        <w:p>
          <w:pPr>
            <w:pStyle w:val="Contents3"/>
            <w:tabs>
              <w:tab w:val="clear" w:pos="8459"/>
              <w:tab w:val="right" w:pos="9026" w:leader="dot"/>
            </w:tabs>
            <w:rPr/>
          </w:pPr>
          <w:hyperlink w:anchor="__RefHeading___Toc1156621_3650668749">
            <w:r>
              <w:rPr>
                <w:webHidden/>
                <w:rStyle w:val="IndexLink"/>
              </w:rPr>
              <w:t>32</w:t>
            </w:r>
            <w:r>
              <w:rPr>
                <w:rStyle w:val="IndexLink"/>
                <w:rtl w:val="true"/>
              </w:rPr>
              <w:t xml:space="preserve">- </w:t>
            </w:r>
            <w:r>
              <w:rPr>
                <w:rStyle w:val="IndexLink"/>
                <w:rtl w:val="true"/>
              </w:rPr>
              <w:t>حلق در سفر اوّل‌</w:t>
            </w:r>
            <w:r>
              <w:rPr>
                <w:rStyle w:val="IndexLink"/>
                <w:rtl w:val="true"/>
              </w:rPr>
              <w:tab/>
            </w:r>
            <w:r>
              <w:rPr>
                <w:rStyle w:val="IndexLink"/>
              </w:rPr>
              <w:t>37</w:t>
            </w:r>
          </w:hyperlink>
        </w:p>
        <w:p>
          <w:pPr>
            <w:pStyle w:val="Contents3"/>
            <w:tabs>
              <w:tab w:val="clear" w:pos="8459"/>
              <w:tab w:val="right" w:pos="9026" w:leader="dot"/>
            </w:tabs>
            <w:rPr/>
          </w:pPr>
          <w:hyperlink w:anchor="__RefHeading___Toc1156623_3650668749">
            <w:r>
              <w:rPr>
                <w:webHidden/>
                <w:rStyle w:val="IndexLink"/>
              </w:rPr>
              <w:t>33</w:t>
            </w:r>
            <w:r>
              <w:rPr>
                <w:rStyle w:val="IndexLink"/>
                <w:rtl w:val="true"/>
              </w:rPr>
              <w:t xml:space="preserve">- </w:t>
            </w:r>
            <w:r>
              <w:rPr>
                <w:rStyle w:val="IndexLink"/>
                <w:rtl w:val="true"/>
              </w:rPr>
              <w:t>تأخير حلق يا تقصير تا آخر ايام تشريق‌</w:t>
            </w:r>
            <w:r>
              <w:rPr>
                <w:rStyle w:val="IndexLink"/>
                <w:rtl w:val="true"/>
              </w:rPr>
              <w:tab/>
            </w:r>
            <w:r>
              <w:rPr>
                <w:rStyle w:val="IndexLink"/>
              </w:rPr>
              <w:t>37</w:t>
            </w:r>
          </w:hyperlink>
        </w:p>
        <w:p>
          <w:pPr>
            <w:pStyle w:val="Contents3"/>
            <w:tabs>
              <w:tab w:val="clear" w:pos="8459"/>
              <w:tab w:val="right" w:pos="9026" w:leader="dot"/>
            </w:tabs>
            <w:rPr/>
          </w:pPr>
          <w:hyperlink w:anchor="__RefHeading___Toc1156625_3650668749">
            <w:r>
              <w:rPr>
                <w:webHidden/>
                <w:rStyle w:val="IndexLink"/>
              </w:rPr>
              <w:t>34</w:t>
            </w:r>
            <w:r>
              <w:rPr>
                <w:rStyle w:val="IndexLink"/>
                <w:rtl w:val="true"/>
              </w:rPr>
              <w:t xml:space="preserve">- </w:t>
            </w:r>
            <w:r>
              <w:rPr>
                <w:rStyle w:val="IndexLink"/>
                <w:rtl w:val="true"/>
              </w:rPr>
              <w:t>حلق و تقصير در شب‌</w:t>
            </w:r>
            <w:r>
              <w:rPr>
                <w:rStyle w:val="IndexLink"/>
                <w:rtl w:val="true"/>
              </w:rPr>
              <w:tab/>
            </w:r>
            <w:r>
              <w:rPr>
                <w:rStyle w:val="IndexLink"/>
              </w:rPr>
              <w:t>38</w:t>
            </w:r>
          </w:hyperlink>
        </w:p>
        <w:p>
          <w:pPr>
            <w:pStyle w:val="Contents3"/>
            <w:tabs>
              <w:tab w:val="clear" w:pos="8459"/>
              <w:tab w:val="right" w:pos="9026" w:leader="dot"/>
            </w:tabs>
            <w:rPr/>
          </w:pPr>
          <w:hyperlink w:anchor="__RefHeading___Toc1156627_3650668749">
            <w:r>
              <w:rPr>
                <w:webHidden/>
                <w:rStyle w:val="IndexLink"/>
              </w:rPr>
              <w:t>35</w:t>
            </w:r>
            <w:r>
              <w:rPr>
                <w:rStyle w:val="IndexLink"/>
                <w:rtl w:val="true"/>
              </w:rPr>
              <w:t xml:space="preserve">- </w:t>
            </w:r>
            <w:r>
              <w:rPr>
                <w:rStyle w:val="IndexLink"/>
                <w:rtl w:val="true"/>
              </w:rPr>
              <w:t>رمى جمرات در طبقه فوقانى‌</w:t>
            </w:r>
            <w:r>
              <w:rPr>
                <w:rStyle w:val="IndexLink"/>
                <w:rtl w:val="true"/>
              </w:rPr>
              <w:tab/>
            </w:r>
            <w:r>
              <w:rPr>
                <w:rStyle w:val="IndexLink"/>
              </w:rPr>
              <w:t>38</w:t>
            </w:r>
          </w:hyperlink>
        </w:p>
        <w:p>
          <w:pPr>
            <w:pStyle w:val="Contents3"/>
            <w:tabs>
              <w:tab w:val="clear" w:pos="8459"/>
              <w:tab w:val="right" w:pos="9026" w:leader="dot"/>
            </w:tabs>
            <w:rPr/>
          </w:pPr>
          <w:hyperlink w:anchor="__RefHeading___Toc1156629_3650668749">
            <w:r>
              <w:rPr>
                <w:webHidden/>
                <w:rStyle w:val="IndexLink"/>
              </w:rPr>
              <w:t>36</w:t>
            </w:r>
            <w:r>
              <w:rPr>
                <w:rStyle w:val="IndexLink"/>
                <w:rtl w:val="true"/>
              </w:rPr>
              <w:t xml:space="preserve">- </w:t>
            </w:r>
            <w:r>
              <w:rPr>
                <w:rStyle w:val="IndexLink"/>
                <w:rtl w:val="true"/>
              </w:rPr>
              <w:t>رمى جمره جديد</w:t>
            </w:r>
            <w:r>
              <w:rPr>
                <w:rStyle w:val="IndexLink"/>
                <w:rtl w:val="true"/>
              </w:rPr>
              <w:tab/>
            </w:r>
            <w:r>
              <w:rPr>
                <w:rStyle w:val="IndexLink"/>
              </w:rPr>
              <w:t>39</w:t>
            </w:r>
          </w:hyperlink>
        </w:p>
        <w:p>
          <w:pPr>
            <w:pStyle w:val="Contents3"/>
            <w:tabs>
              <w:tab w:val="clear" w:pos="8459"/>
              <w:tab w:val="right" w:pos="9026" w:leader="dot"/>
            </w:tabs>
            <w:rPr/>
          </w:pPr>
          <w:hyperlink w:anchor="__RefHeading___Toc1156631_3650668749">
            <w:r>
              <w:rPr>
                <w:webHidden/>
                <w:rStyle w:val="IndexLink"/>
              </w:rPr>
              <w:t>37</w:t>
            </w:r>
            <w:r>
              <w:rPr>
                <w:rStyle w:val="IndexLink"/>
                <w:rtl w:val="true"/>
              </w:rPr>
              <w:t xml:space="preserve">- </w:t>
            </w:r>
            <w:r>
              <w:rPr>
                <w:rStyle w:val="IndexLink"/>
                <w:rtl w:val="true"/>
              </w:rPr>
              <w:t>اگر به هر دليلى ذبح در روز عيد را نتوانست انجام دهد آيا مى‌تواند حلق يا تقصير كند و از احرام خارج شود</w:t>
            </w:r>
            <w:r>
              <w:rPr>
                <w:rStyle w:val="IndexLink"/>
                <w:rtl w:val="true"/>
              </w:rPr>
              <w:tab/>
            </w:r>
            <w:r>
              <w:rPr>
                <w:rStyle w:val="IndexLink"/>
              </w:rPr>
              <w:t>39</w:t>
            </w:r>
          </w:hyperlink>
        </w:p>
        <w:p>
          <w:pPr>
            <w:pStyle w:val="Contents3"/>
            <w:tabs>
              <w:tab w:val="clear" w:pos="8459"/>
              <w:tab w:val="right" w:pos="9026" w:leader="dot"/>
            </w:tabs>
            <w:rPr/>
          </w:pPr>
          <w:hyperlink w:anchor="__RefHeading___Toc1156633_3650668749">
            <w:r>
              <w:rPr>
                <w:webHidden/>
                <w:rStyle w:val="IndexLink"/>
              </w:rPr>
              <w:t>38</w:t>
            </w:r>
            <w:r>
              <w:rPr>
                <w:rStyle w:val="IndexLink"/>
                <w:rtl w:val="true"/>
              </w:rPr>
              <w:t xml:space="preserve">- </w:t>
            </w:r>
            <w:r>
              <w:rPr>
                <w:rStyle w:val="IndexLink"/>
                <w:rtl w:val="true"/>
              </w:rPr>
              <w:t>زمان بيتوته در منا</w:t>
            </w:r>
            <w:r>
              <w:rPr>
                <w:rStyle w:val="IndexLink"/>
                <w:rtl w:val="true"/>
              </w:rPr>
              <w:tab/>
            </w:r>
            <w:r>
              <w:rPr>
                <w:rStyle w:val="IndexLink"/>
              </w:rPr>
              <w:t>40</w:t>
            </w:r>
          </w:hyperlink>
        </w:p>
        <w:p>
          <w:pPr>
            <w:pStyle w:val="Contents3"/>
            <w:tabs>
              <w:tab w:val="clear" w:pos="8459"/>
              <w:tab w:val="right" w:pos="9026" w:leader="dot"/>
            </w:tabs>
            <w:rPr/>
          </w:pPr>
          <w:hyperlink w:anchor="__RefHeading___Toc1156635_3650668749">
            <w:r>
              <w:rPr>
                <w:webHidden/>
                <w:rStyle w:val="IndexLink"/>
              </w:rPr>
              <w:t>39</w:t>
            </w:r>
            <w:r>
              <w:rPr>
                <w:rStyle w:val="IndexLink"/>
                <w:rtl w:val="true"/>
              </w:rPr>
              <w:t xml:space="preserve">- </w:t>
            </w:r>
            <w:r>
              <w:rPr>
                <w:rStyle w:val="IndexLink"/>
                <w:rtl w:val="true"/>
              </w:rPr>
              <w:t>فاصله دو عمره‌</w:t>
            </w:r>
            <w:r>
              <w:rPr>
                <w:rStyle w:val="IndexLink"/>
                <w:rtl w:val="true"/>
              </w:rPr>
              <w:tab/>
            </w:r>
            <w:r>
              <w:rPr>
                <w:rStyle w:val="IndexLink"/>
              </w:rPr>
              <w:t>41</w:t>
            </w:r>
          </w:hyperlink>
        </w:p>
        <w:p>
          <w:pPr>
            <w:pStyle w:val="Contents3"/>
            <w:tabs>
              <w:tab w:val="clear" w:pos="8459"/>
              <w:tab w:val="right" w:pos="9026" w:leader="dot"/>
            </w:tabs>
            <w:rPr/>
          </w:pPr>
          <w:hyperlink w:anchor="__RefHeading___Toc1156637_3650668749">
            <w:r>
              <w:rPr>
                <w:webHidden/>
                <w:rStyle w:val="IndexLink"/>
              </w:rPr>
              <w:t>40</w:t>
            </w:r>
            <w:r>
              <w:rPr>
                <w:rStyle w:val="IndexLink"/>
                <w:rtl w:val="true"/>
              </w:rPr>
              <w:t xml:space="preserve">- </w:t>
            </w:r>
            <w:r>
              <w:rPr>
                <w:rStyle w:val="IndexLink"/>
                <w:rtl w:val="true"/>
              </w:rPr>
              <w:t>فاصله بين عمره تمتع با عمره مفرده‌</w:t>
            </w:r>
            <w:r>
              <w:rPr>
                <w:rStyle w:val="IndexLink"/>
                <w:rtl w:val="true"/>
              </w:rPr>
              <w:tab/>
            </w:r>
            <w:r>
              <w:rPr>
                <w:rStyle w:val="IndexLink"/>
              </w:rPr>
              <w:t>43</w:t>
            </w:r>
          </w:hyperlink>
        </w:p>
        <w:p>
          <w:pPr>
            <w:pStyle w:val="Contents3"/>
            <w:tabs>
              <w:tab w:val="clear" w:pos="8459"/>
              <w:tab w:val="right" w:pos="9026" w:leader="dot"/>
            </w:tabs>
            <w:rPr/>
          </w:pPr>
          <w:hyperlink w:anchor="__RefHeading___Toc1156639_3650668749">
            <w:r>
              <w:rPr>
                <w:webHidden/>
                <w:rStyle w:val="IndexLink"/>
              </w:rPr>
              <w:t>41</w:t>
            </w:r>
            <w:r>
              <w:rPr>
                <w:rStyle w:val="IndexLink"/>
                <w:rtl w:val="true"/>
              </w:rPr>
              <w:t xml:space="preserve">- </w:t>
            </w:r>
            <w:r>
              <w:rPr>
                <w:rStyle w:val="IndexLink"/>
                <w:rtl w:val="true"/>
              </w:rPr>
              <w:t>نيابت معذور با عذر طارى</w:t>
            </w:r>
            <w:r>
              <w:rPr>
                <w:rStyle w:val="IndexLink"/>
                <w:rtl w:val="true"/>
              </w:rPr>
              <w:tab/>
            </w:r>
            <w:r>
              <w:rPr>
                <w:rStyle w:val="IndexLink"/>
              </w:rPr>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_12329"/>
      <w:bookmarkStart w:id="1" w:name="pg1641_12329"/>
      <w:bookmarkEnd w:id="1"/>
    </w:p>
    <w:p>
      <w:pPr>
        <w:pStyle w:val="Heading2"/>
        <w:numPr>
          <w:ilvl w:val="1"/>
          <w:numId w:val="1"/>
        </w:numPr>
        <w:rPr/>
      </w:pPr>
      <w:bookmarkStart w:id="2" w:name="pg1641_12329"/>
      <w:bookmarkStart w:id="3" w:name="__RefHeading___Toc115655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جامع الفتاوى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موسوى شاهرودى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6553_3650668749"/>
      <w:bookmarkStart w:id="6" w:name="_Toc2"/>
      <w:bookmarkEnd w:id="5"/>
      <w:r>
        <w:rPr>
          <w:rtl w:val="true"/>
        </w:rPr>
        <w:t>اشاره</w:t>
      </w:r>
      <w:bookmarkStart w:id="7" w:name="pg1641_12336"/>
      <w:bookmarkEnd w:id="6"/>
    </w:p>
    <w:p>
      <w:pPr>
        <w:pStyle w:val="Heading2"/>
        <w:numPr>
          <w:ilvl w:val="1"/>
          <w:numId w:val="1"/>
        </w:numPr>
        <w:rPr/>
      </w:pPr>
      <w:bookmarkStart w:id="8" w:name="__RefHeading___Toc1156555_3650668749"/>
      <w:bookmarkStart w:id="9" w:name="_Toc3"/>
      <w:bookmarkEnd w:id="7"/>
      <w:bookmarkEnd w:id="8"/>
      <w:r>
        <w:rPr>
          <w:rtl w:val="true"/>
        </w:rPr>
        <w:t>چند نكته</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56557_3650668749"/>
      <w:bookmarkStart w:id="11" w:name="_Toc4"/>
      <w:bookmarkEnd w:id="10"/>
      <w:r>
        <w:rPr>
          <w:rtl w:val="true"/>
        </w:rPr>
        <w:t>اشاره</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اين مجموعه، برگزيده‌اى است از كتاب مناسك حج جامع الفتاوى، نشر مشعر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فتاواى حضرات آيات عظام وحيد خراسانى و زنجانى را نيز از مناسك حج ايشان آورده‌ايم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طولانى شدن عبارات، عناوين مراجع معظّم تقليد به صورت مختصر آمده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مراجع معظّم به اختصار نقل شده، بنابراين، براى آگاهى بيشتر به اصل مسأله در</w:t>
      </w:r>
    </w:p>
    <w:p>
      <w:pPr>
        <w:pStyle w:val="BookText"/>
        <w:rPr/>
      </w:pPr>
      <w:r>
        <w:rPr>
          <w:rFonts w:ascii="IRNazanin" w:hAnsi="IRNazanin" w:eastAsia="IRNazanin"/>
          <w:color w:val="111111"/>
          <w:sz w:val="28"/>
          <w:sz w:val="28"/>
          <w:szCs w:val="28"/>
          <w:rtl w:val="true"/>
          <w:lang w:bidi="fa-IR"/>
        </w:rPr>
        <w:t>مناسك مرجع مورد نظر مراجعه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مسأله با استفاده از كتاب جامع الفتاوى به صورت راه‌كار آورده شده كه روحانيون محترم را به سهولت به فتاوى مراجع عظام تقليد در حالى كه احتياط واجب به فتوى مشهور ارجاع شده آمده است</w:t>
      </w:r>
      <w:r>
        <w:rPr>
          <w:rFonts w:eastAsia="Amiri" w:cs="Amiri" w:ascii="Amiri" w:hAnsi="Amiri"/>
          <w:color w:val="111111"/>
          <w:sz w:val="28"/>
          <w:szCs w:val="28"/>
          <w:rtl w:val="true"/>
          <w:lang w:bidi="ar-SA"/>
        </w:rPr>
        <w:t>.</w:t>
      </w:r>
      <w:bookmarkStart w:id="12" w:name="pg1641_12339"/>
    </w:p>
    <w:p>
      <w:pPr>
        <w:pStyle w:val="Heading3"/>
        <w:numPr>
          <w:ilvl w:val="2"/>
          <w:numId w:val="1"/>
        </w:numPr>
        <w:rPr/>
      </w:pPr>
      <w:bookmarkStart w:id="13" w:name="__RefHeading___Toc1156559_3650668749"/>
      <w:bookmarkStart w:id="14" w:name="_Toc5"/>
      <w:bookmarkEnd w:id="12"/>
      <w:bookmarkEnd w:id="13"/>
      <w:r>
        <w:rPr/>
        <w:t>1</w:t>
      </w:r>
      <w:r>
        <w:rPr>
          <w:rtl w:val="true"/>
        </w:rPr>
        <w:t xml:space="preserve">- </w:t>
      </w:r>
      <w:r>
        <w:rPr>
          <w:rtl w:val="true"/>
        </w:rPr>
        <w:t>رجوع در احتياط واجب به مجتهد ديگر</w:t>
      </w:r>
      <w:bookmarkEnd w:id="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مسأله‌اى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همين‌كه در مقام انجام وظيفه شرعى بوده و عملش طبق فتواى فالأعلم است كافى است؟ به عبارت ديگر، اگر نظر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وظيفه‌اى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او در هنگام صدور از وى مطابق با</w:t>
      </w:r>
    </w:p>
    <w:p>
      <w:pPr>
        <w:pStyle w:val="BookText"/>
        <w:rPr/>
      </w:pPr>
      <w:r>
        <w:rPr>
          <w:rFonts w:ascii="Amiri" w:hAnsi="Amiri" w:eastAsia="Amiri" w:cs="Amiri"/>
          <w:color w:val="111111"/>
          <w:sz w:val="28"/>
          <w:sz w:val="28"/>
          <w:szCs w:val="28"/>
          <w:rtl w:val="true"/>
          <w:lang w:bidi="ar-SA"/>
        </w:rPr>
        <w:t>فتواى كسى بوده كه مى‌توانست شرعاً از او تقليد كند، صحيح و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خامنه‌اى</w:t>
      </w:r>
    </w:p>
    <w:p>
      <w:pPr>
        <w:pStyle w:val="BookText"/>
        <w:rPr/>
      </w:pP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ادله به كتب استدلالى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تبريزى</w:t>
      </w:r>
    </w:p>
    <w:p>
      <w:pPr>
        <w:pStyle w:val="BookText"/>
        <w:rPr/>
      </w:pP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w:t>
      </w:r>
    </w:p>
    <w:p>
      <w:pPr>
        <w:pStyle w:val="BookText"/>
        <w:rPr/>
      </w:pPr>
      <w:r>
        <w:rPr>
          <w:rFonts w:ascii="IRNazanin" w:hAnsi="IRNazanin" w:eastAsia="IRNazanin"/>
          <w:color w:val="111111"/>
          <w:sz w:val="28"/>
          <w:sz w:val="28"/>
          <w:szCs w:val="28"/>
          <w:rtl w:val="true"/>
          <w:lang w:bidi="fa-IR"/>
        </w:rPr>
        <w:t>در فرض سؤال، اگر بعد از خاتمه اعمال نيت كند كه آنچه انجام داده‌ام بر طبق نظر فالأعلم باشد اشكال ندارد البته‌مشروطبه اين‌كه هنگام احرام از مكه جديد قصد قربت از او متمشى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عمل صادر شده در هنگام وقوع مطابق فتواى فالاعلم باشد كفايت مى‌كند ولو اينكه</w:t>
      </w:r>
      <w:bookmarkStart w:id="15" w:name="pg1641_12341"/>
    </w:p>
    <w:p>
      <w:pPr>
        <w:pStyle w:val="BookText"/>
        <w:rPr/>
      </w:pPr>
      <w:bookmarkEnd w:id="15"/>
      <w:r>
        <w:rPr>
          <w:rFonts w:ascii="Amiri" w:hAnsi="Amiri" w:eastAsia="Amiri" w:cs="Amiri"/>
          <w:color w:val="111111"/>
          <w:sz w:val="28"/>
          <w:sz w:val="28"/>
          <w:szCs w:val="28"/>
          <w:rtl w:val="true"/>
          <w:lang w:bidi="ar-SA"/>
        </w:rPr>
        <w:t>شخص در حين عمل علم به اين مطابقت نداشته است، ليكن لازم است بعد از عمل براى تصحيح آن استناد به آن فتوى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فاضل</w:t>
      </w:r>
    </w:p>
    <w:p>
      <w:pPr>
        <w:pStyle w:val="BookText"/>
        <w:rPr/>
      </w:pP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p>
    <w:p>
      <w:pPr>
        <w:pStyle w:val="Heading3"/>
        <w:numPr>
          <w:ilvl w:val="2"/>
          <w:numId w:val="1"/>
        </w:numPr>
        <w:rPr/>
      </w:pPr>
      <w:bookmarkStart w:id="16" w:name="__RefHeading___Toc1156561_3650668749"/>
      <w:bookmarkStart w:id="17" w:name="_Toc6"/>
      <w:bookmarkEnd w:id="16"/>
      <w:r>
        <w:rPr/>
        <w:t>2</w:t>
      </w:r>
      <w:r>
        <w:rPr>
          <w:rtl w:val="true"/>
        </w:rPr>
        <w:t xml:space="preserve">- </w:t>
      </w:r>
      <w:r>
        <w:rPr>
          <w:rtl w:val="true"/>
        </w:rPr>
        <w:t>بقاء بر تقليد ميّت‌</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ميّتى كه از او تقليد مى‌كرده اعلم بوده بقاء بر او واجب است و اگر حىّ اعلم است عدول به ايشان واجب است و در صورت تساوى نيز بقاء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عمره و حج به فتواى مجتهد متوفى باقى نمانند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زنجانى</w:t>
      </w:r>
      <w:r>
        <w:rPr>
          <w:rFonts w:eastAsia="Amiri" w:cs="Amiri" w:ascii="Amiri" w:hAnsi="Amiri"/>
          <w:color w:val="111111"/>
          <w:sz w:val="28"/>
          <w:szCs w:val="28"/>
          <w:rtl w:val="true"/>
          <w:lang w:bidi="ar-SA"/>
        </w:rPr>
        <w:t>.</w:t>
      </w:r>
      <w:bookmarkStart w:id="18" w:name="pg1641_12342"/>
    </w:p>
    <w:p>
      <w:pPr>
        <w:pStyle w:val="Heading3"/>
        <w:numPr>
          <w:ilvl w:val="2"/>
          <w:numId w:val="1"/>
        </w:numPr>
        <w:rPr/>
      </w:pPr>
      <w:bookmarkStart w:id="19" w:name="__RefHeading___Toc1156563_3650668749"/>
      <w:bookmarkStart w:id="20" w:name="_Toc7"/>
      <w:bookmarkEnd w:id="18"/>
      <w:bookmarkEnd w:id="19"/>
      <w:r>
        <w:rPr/>
        <w:t>3</w:t>
      </w:r>
      <w:r>
        <w:rPr>
          <w:rtl w:val="true"/>
        </w:rPr>
        <w:t xml:space="preserve">- </w:t>
      </w:r>
      <w:r>
        <w:rPr>
          <w:rtl w:val="true"/>
        </w:rPr>
        <w:t>تخيير بين قصر و اتمام نماز براى مسافر در مكه و مدينه‌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مى‌تواند نمازهاى چهار ركعتى را در تمامى دو شهر مكّه و مدينه حتّى در محله‌هاى جديد آن تمام و يا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مختص به مكّه و مدينه قديم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و تبريزى و وحيد خراسانى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از مسجد الحرام و مسجد النبى صلى الله عليه و آله بايد شكسته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تخيير نيست، بنابراين اگر قصد اقامت نكرده بايد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w:t>
      </w:r>
      <w:bookmarkStart w:id="21" w:name="pg1641_12343"/>
    </w:p>
    <w:p>
      <w:pPr>
        <w:pStyle w:val="Heading3"/>
        <w:numPr>
          <w:ilvl w:val="2"/>
          <w:numId w:val="1"/>
        </w:numPr>
        <w:rPr/>
      </w:pPr>
      <w:bookmarkStart w:id="22" w:name="__RefHeading___Toc1156565_3650668749"/>
      <w:bookmarkStart w:id="23" w:name="_Toc8"/>
      <w:bookmarkEnd w:id="21"/>
      <w:bookmarkEnd w:id="22"/>
      <w:r>
        <w:rPr/>
        <w:t>4</w:t>
      </w:r>
      <w:r>
        <w:rPr>
          <w:rtl w:val="true"/>
        </w:rPr>
        <w:t xml:space="preserve">- </w:t>
      </w:r>
      <w:r>
        <w:rPr>
          <w:rtl w:val="true"/>
        </w:rPr>
        <w:t>شركت در نمازهاى جماعت اهل سنّت در مكّه و مدينه‌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زائرين خانه خدا نمازهاى واجب يوميه خود را با جماعت اهل تسنّن بخوانند و پس از برپا شدن جماعت آنها از جماعت تخلّف نكنند و خارج نشوند بلكه اگر اين كار موجب وهن مذهب تشيّع و بدبينى به آن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مراجع عظام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نماز جماعت در مسجد الحرام يا مسجدالنبى صلى الله عليه و آله تشكيل شد مؤمنين نبايد از آنجا خارج شده ونبايداز جماعت تخلّف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خامنه‌اى، فاضل، مكارم، نورى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در نماز جماعت شركت كنند ولى بايد نماز را دوباره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زنجانى</w:t>
      </w:r>
      <w:r>
        <w:rPr>
          <w:rFonts w:eastAsia="Amiri" w:cs="Amiri" w:ascii="Amiri" w:hAnsi="Amiri"/>
          <w:color w:val="111111"/>
          <w:sz w:val="28"/>
          <w:szCs w:val="28"/>
          <w:rtl w:val="true"/>
          <w:lang w:bidi="ar-SA"/>
        </w:rPr>
        <w:t>.</w:t>
      </w:r>
      <w:bookmarkStart w:id="24" w:name="pg1641_12344"/>
    </w:p>
    <w:p>
      <w:pPr>
        <w:pStyle w:val="Heading3"/>
        <w:numPr>
          <w:ilvl w:val="2"/>
          <w:numId w:val="1"/>
        </w:numPr>
        <w:rPr/>
      </w:pPr>
      <w:bookmarkStart w:id="25" w:name="__RefHeading___Toc1156567_3650668749"/>
      <w:bookmarkStart w:id="26" w:name="_Toc9"/>
      <w:bookmarkEnd w:id="24"/>
      <w:bookmarkEnd w:id="25"/>
      <w:r>
        <w:rPr/>
        <w:t>5</w:t>
      </w:r>
      <w:r>
        <w:rPr>
          <w:rtl w:val="true"/>
        </w:rPr>
        <w:t xml:space="preserve">- </w:t>
      </w:r>
      <w:r>
        <w:rPr>
          <w:rtl w:val="true"/>
        </w:rPr>
        <w:t>سجده بر فرش مساجد در مدينه منوره و مكّه مكرّمه در حال حاضر</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النبى صلى الله عليه و آله و ساير مساجد اگر زائرين بتوانند روى سنگ يا حصير يا چيز ديگرى كه سجده بر آن صحيح است و از طرف مخالفين ممانعتى از سجده بر آن نيست و موجب وهن و انگشت‌نما شدن نمى‌باشد سجده نمايند جايز نيست بر فرشها سجده كنند ولى اگر ضرورت باشد سجده بر فرش‌ها جايز است وكفايت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روى فرش‌ها مانع ندارد و مهر گذاشتن جايز نيست و لازم نيست در جايى كه سنگ است نماز بخواند يا با خود حصير و مانند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bookmarkStart w:id="27" w:name="pg1641_12345"/>
    </w:p>
    <w:p>
      <w:pPr>
        <w:pStyle w:val="BookText"/>
        <w:rPr/>
      </w:pPr>
      <w:bookmarkEnd w:id="2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فرش كفايت نمى‌كند و بايد نماز را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زنجانى و وحيد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56569_3650668749"/>
      <w:bookmarkStart w:id="29" w:name="_Toc10"/>
      <w:bookmarkEnd w:id="28"/>
      <w:r>
        <w:rPr/>
        <w:t>6</w:t>
      </w:r>
      <w:r>
        <w:rPr>
          <w:rtl w:val="true"/>
        </w:rPr>
        <w:t xml:space="preserve">- </w:t>
      </w:r>
      <w:r>
        <w:rPr>
          <w:rtl w:val="true"/>
        </w:rPr>
        <w:t>نماز استداره‌اى در مسجد الحرام‌</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اهل تسنّن در مسجدالحرام كه صفهاى آن دائره‌اى شكل است زائرين در جايى بايستند كه روبروى امام جماعت يا جلوتر از سمت راست يا چپ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 صورى است با رعايت وظيفه منفرد مقابل امام هم بايستد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تبريزى، خويى، سيستانى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هر جاى صفوف بايستد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bookmarkStart w:id="30" w:name="pg1641_12346"/>
    </w:p>
    <w:p>
      <w:pPr>
        <w:pStyle w:val="Heading3"/>
        <w:numPr>
          <w:ilvl w:val="2"/>
          <w:numId w:val="1"/>
        </w:numPr>
        <w:rPr/>
      </w:pPr>
      <w:bookmarkStart w:id="31" w:name="__RefHeading___Toc1156571_3650668749"/>
      <w:bookmarkStart w:id="32" w:name="_Toc11"/>
      <w:bookmarkEnd w:id="30"/>
      <w:bookmarkEnd w:id="31"/>
      <w:r>
        <w:rPr/>
        <w:t>7</w:t>
      </w:r>
      <w:r>
        <w:rPr>
          <w:rtl w:val="true"/>
        </w:rPr>
        <w:t xml:space="preserve">- </w:t>
      </w:r>
      <w:r>
        <w:rPr>
          <w:rtl w:val="true"/>
        </w:rPr>
        <w:t>احرام با نذر، پيش از ميقات‌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از محلى پيش از ميقات احرام بندد جايز است و بايد از همانجا محرم شود مثلًا اگر نذر كرد از شهر خود يا در مدينه منوّره محرم شود بايد به نذر خود عمل كند و بهتر آن است كه به ميقات يا محاذات ميقات كه رسيد احرام را تجديد كند و در اين حكم فرقى بين حج يا عمره واجب و يا مستحب نيست، خواه از طرف خود باشد يا نيابت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مواقيت يا از نزديكى‌هاى آن مى‌گذرند نمى‌توانند از غير مواقيت محرم شوند، حتّى با نذر و اگر از آنجا نمى‌گذرند، قبل از حرم هر كجا محرم شوند كافى است و نيازى به نذر نيست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زنجانى</w:t>
      </w:r>
      <w:r>
        <w:rPr>
          <w:rFonts w:eastAsia="Amiri" w:cs="Amiri" w:ascii="Amiri" w:hAnsi="Amiri"/>
          <w:color w:val="111111"/>
          <w:sz w:val="28"/>
          <w:szCs w:val="28"/>
          <w:rtl w:val="true"/>
          <w:lang w:bidi="ar-SA"/>
        </w:rPr>
        <w:t>.</w:t>
      </w:r>
      <w:bookmarkStart w:id="33" w:name="pg1641_12347"/>
    </w:p>
    <w:p>
      <w:pPr>
        <w:pStyle w:val="Heading3"/>
        <w:numPr>
          <w:ilvl w:val="2"/>
          <w:numId w:val="1"/>
        </w:numPr>
        <w:rPr/>
      </w:pPr>
      <w:bookmarkStart w:id="34" w:name="__RefHeading___Toc1156573_3650668749"/>
      <w:bookmarkStart w:id="35" w:name="_Toc12"/>
      <w:bookmarkEnd w:id="33"/>
      <w:bookmarkEnd w:id="34"/>
      <w:r>
        <w:rPr/>
        <w:t>8</w:t>
      </w:r>
      <w:r>
        <w:rPr>
          <w:rtl w:val="true"/>
        </w:rPr>
        <w:t xml:space="preserve">- </w:t>
      </w:r>
      <w:r>
        <w:rPr>
          <w:rtl w:val="true"/>
        </w:rPr>
        <w:t>اشتراط اجازه شوهر در صحّت نذر زن‌</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براى احرام بايد به اذن شوهر باشد مگر اين كه با حق او منافات نداشته باشد بنابراين اگر بدون اذن شوهر نذر كرد و قبل از ميقات محرم شد و با اين حال از ميقات گذشت احرامش باطل است، و حكم كسى را دارد كه بدون احرام از ميقات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مطلقاً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فاضل، گلپايگانى، صافى،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نيازى به نذر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زنجانى</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56575_3650668749"/>
      <w:bookmarkStart w:id="37" w:name="_Toc13"/>
      <w:bookmarkEnd w:id="36"/>
      <w:r>
        <w:rPr/>
        <w:t>9</w:t>
      </w:r>
      <w:r>
        <w:rPr>
          <w:rtl w:val="true"/>
        </w:rPr>
        <w:t xml:space="preserve">- </w:t>
      </w:r>
      <w:r>
        <w:rPr>
          <w:rtl w:val="true"/>
        </w:rPr>
        <w:t>احرام در مسجد شجره‌</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داخل مسجد شجره لازم</w:t>
      </w:r>
    </w:p>
    <w:p>
      <w:pPr>
        <w:pStyle w:val="BookText"/>
        <w:rPr/>
      </w:pPr>
      <w:r>
        <w:rPr>
          <w:rFonts w:ascii="IRNazanin" w:hAnsi="IRNazanin" w:eastAsia="IRNazanin"/>
          <w:color w:val="111111"/>
          <w:sz w:val="28"/>
          <w:sz w:val="28"/>
          <w:szCs w:val="28"/>
          <w:rtl w:val="true"/>
          <w:lang w:bidi="fa-IR"/>
        </w:rPr>
        <w:t>نيست بلكه از بيرون مسجد به طورى كه از محاذى آن از طرف راست يا چپ باشد كافى است هر چند از داخل مسجد مستحب است و در داخل فرقى بين مسجد قديمى و قسمتهاى توسعه يافته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منطقه ذو الحليفه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حضرات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زنجانى،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احرام از داخل مسجد در صورت تمكن است لكن مثل بانوان و يا شخص معذور مثل حائض در محاذاة محرم شوند 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بايد از داخل مسجد شجره باشد و فرقى بين مسجد قديم و جديد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w:t>
      </w:r>
      <w:bookmarkStart w:id="38" w:name="pg1641_12349"/>
    </w:p>
    <w:p>
      <w:pPr>
        <w:pStyle w:val="Heading3"/>
        <w:numPr>
          <w:ilvl w:val="2"/>
          <w:numId w:val="1"/>
        </w:numPr>
        <w:rPr/>
      </w:pPr>
      <w:bookmarkStart w:id="39" w:name="__RefHeading___Toc1156577_3650668749"/>
      <w:bookmarkStart w:id="40" w:name="_Toc14"/>
      <w:bookmarkEnd w:id="38"/>
      <w:bookmarkEnd w:id="39"/>
      <w:r>
        <w:rPr/>
        <w:t>10</w:t>
      </w:r>
      <w:r>
        <w:rPr>
          <w:rtl w:val="true"/>
        </w:rPr>
        <w:t xml:space="preserve">- </w:t>
      </w:r>
      <w:r>
        <w:rPr>
          <w:rtl w:val="true"/>
        </w:rPr>
        <w:t>قصد ترك محرمات در حال احرام‌</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 انجام چيزى كه احرام را باطل كند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قصد ترك جميع محرمات احرام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بهجت، مكارم، صافى</w:t>
      </w:r>
      <w:r>
        <w:rPr>
          <w:rFonts w:eastAsia="IRNazanin" w:cs="IRNazanin"/>
          <w:color w:val="111111"/>
          <w:sz w:val="28"/>
          <w:szCs w:val="28"/>
          <w:rtl w:val="true"/>
          <w:lang w:bidi="fa-IR"/>
        </w:rPr>
        <w:t>.</w:t>
      </w:r>
    </w:p>
    <w:p>
      <w:pPr>
        <w:pStyle w:val="Heading3"/>
        <w:numPr>
          <w:ilvl w:val="2"/>
          <w:numId w:val="1"/>
        </w:numPr>
        <w:rPr/>
      </w:pPr>
      <w:bookmarkStart w:id="41" w:name="__RefHeading___Toc1156579_3650668749"/>
      <w:bookmarkStart w:id="42" w:name="_Toc15"/>
      <w:bookmarkEnd w:id="41"/>
      <w:r>
        <w:rPr/>
        <w:t>11</w:t>
      </w:r>
      <w:r>
        <w:rPr>
          <w:rtl w:val="true"/>
        </w:rPr>
        <w:t xml:space="preserve">- </w:t>
      </w:r>
      <w:r>
        <w:rPr>
          <w:rtl w:val="true"/>
        </w:rPr>
        <w:t>گره زدن لباس احرام و سنجاق زدن به آن‌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و وصل كردن قسمتى از آن به قسمت ديگر با سوزن و سنجاق و سنگ گذاشتن و نخ بستن مانعى ندارد مگر آن‌كه صدق رداء بكند و همچنين نبايد آنچه را لنگ قرار داده به گردن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بستن لبه‌هاى جامه احرام مردان</w:t>
      </w:r>
      <w:bookmarkStart w:id="43" w:name="pg1641_12350"/>
    </w:p>
    <w:p>
      <w:pPr>
        <w:pStyle w:val="BookText"/>
        <w:rPr/>
      </w:pPr>
      <w:bookmarkEnd w:id="43"/>
      <w:r>
        <w:rPr>
          <w:rFonts w:ascii="IRNazanin" w:hAnsi="IRNazanin" w:eastAsia="IRNazanin"/>
          <w:color w:val="111111"/>
          <w:sz w:val="28"/>
          <w:sz w:val="28"/>
          <w:szCs w:val="28"/>
          <w:rtl w:val="true"/>
          <w:lang w:bidi="fa-IR"/>
        </w:rPr>
        <w:t>با هر وسيله‌اى، جايز نيست مگر در موارد ضرورى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56581_3650668749"/>
      <w:bookmarkStart w:id="45" w:name="_Toc16"/>
      <w:bookmarkEnd w:id="44"/>
      <w:r>
        <w:rPr/>
        <w:t>12</w:t>
      </w:r>
      <w:r>
        <w:rPr>
          <w:rtl w:val="true"/>
        </w:rPr>
        <w:t xml:space="preserve">- </w:t>
      </w:r>
      <w:r>
        <w:rPr>
          <w:rtl w:val="true"/>
        </w:rPr>
        <w:t>استفاده از كمربند دوخته براى مردان‌</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فتق بند و كمر بند و ساعت و دمپايى دوخته مانعى ندارد و همينطور است هميانى كه در آن پول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پوشيدن هميان و كمربند پرهيز نمود، ولى در صورت لزوم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w:t>
      </w:r>
    </w:p>
    <w:p>
      <w:pPr>
        <w:pStyle w:val="Heading3"/>
        <w:numPr>
          <w:ilvl w:val="2"/>
          <w:numId w:val="1"/>
        </w:numPr>
        <w:rPr/>
      </w:pPr>
      <w:bookmarkStart w:id="46" w:name="__RefHeading___Toc1156583_3650668749"/>
      <w:bookmarkStart w:id="47" w:name="_Toc17"/>
      <w:bookmarkEnd w:id="46"/>
      <w:r>
        <w:rPr/>
        <w:t>13</w:t>
      </w:r>
      <w:r>
        <w:rPr>
          <w:rtl w:val="true"/>
        </w:rPr>
        <w:t xml:space="preserve">- </w:t>
      </w:r>
      <w:r>
        <w:rPr>
          <w:rtl w:val="true"/>
        </w:rPr>
        <w:t>پوشيدن دمپايى دوخته براى مردان‌</w:t>
      </w:r>
      <w:bookmarkEnd w:id="4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 تقليد</w:t>
      </w:r>
      <w:r>
        <w:rPr>
          <w:rFonts w:eastAsia="Amiri" w:cs="Amiri" w:ascii="Amiri" w:hAnsi="Amiri"/>
          <w:color w:val="111111"/>
          <w:sz w:val="28"/>
          <w:szCs w:val="28"/>
          <w:rtl w:val="true"/>
          <w:lang w:bidi="ar-SA"/>
        </w:rPr>
        <w:t>.</w:t>
      </w:r>
      <w:bookmarkStart w:id="48" w:name="pg1641_12351"/>
    </w:p>
    <w:p>
      <w:pPr>
        <w:pStyle w:val="Heading3"/>
        <w:numPr>
          <w:ilvl w:val="2"/>
          <w:numId w:val="1"/>
        </w:numPr>
        <w:rPr/>
      </w:pPr>
      <w:bookmarkStart w:id="49" w:name="__RefHeading___Toc1156585_3650668749"/>
      <w:bookmarkStart w:id="50" w:name="_Toc18"/>
      <w:bookmarkEnd w:id="48"/>
      <w:bookmarkEnd w:id="49"/>
      <w:r>
        <w:rPr/>
        <w:t>14</w:t>
      </w:r>
      <w:r>
        <w:rPr>
          <w:rtl w:val="true"/>
        </w:rPr>
        <w:t xml:space="preserve">- </w:t>
      </w:r>
      <w:r>
        <w:rPr>
          <w:rtl w:val="true"/>
        </w:rPr>
        <w:t>نگاه در آينه‌</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در جهت زينت حرام است و به غير اين جهت اشكال ندارد و در اين حكم فرقى ميان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آينه مطلقاً جايز نيست، چه به قصد زينت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صافى، و گلپايگانى</w:t>
      </w:r>
      <w:r>
        <w:rPr>
          <w:rFonts w:eastAsia="IRNazanin" w:cs="IRNazanin"/>
          <w:color w:val="111111"/>
          <w:sz w:val="28"/>
          <w:szCs w:val="28"/>
          <w:rtl w:val="true"/>
          <w:lang w:bidi="fa-IR"/>
        </w:rPr>
        <w:t>.</w:t>
      </w:r>
    </w:p>
    <w:p>
      <w:pPr>
        <w:pStyle w:val="Heading3"/>
        <w:numPr>
          <w:ilvl w:val="2"/>
          <w:numId w:val="1"/>
        </w:numPr>
        <w:rPr/>
      </w:pPr>
      <w:bookmarkStart w:id="51" w:name="__RefHeading___Toc1156587_3650668749"/>
      <w:bookmarkStart w:id="52" w:name="_Toc19"/>
      <w:bookmarkEnd w:id="51"/>
      <w:r>
        <w:rPr/>
        <w:t>15</w:t>
      </w:r>
      <w:r>
        <w:rPr>
          <w:rtl w:val="true"/>
        </w:rPr>
        <w:t xml:space="preserve">- </w:t>
      </w:r>
      <w:r>
        <w:rPr>
          <w:rtl w:val="true"/>
        </w:rPr>
        <w:t>استظلال در شب براى مردان در حال طىّ منزل از روى عمد و اختيار</w:t>
      </w:r>
      <w:bookmarkEnd w:id="5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زير سقف، در حال طى منزل در شب و بين الطلوعين اشكال ندارد بنابراين جايز است نشستن محرم در ماشينى كه سقف دارد و شب حركت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bookmarkStart w:id="53" w:name="pg1641_12352"/>
    </w:p>
    <w:p>
      <w:pPr>
        <w:pStyle w:val="BookText"/>
        <w:rPr/>
      </w:pPr>
      <w:bookmarkEnd w:id="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سيستانى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همانند روز، در صورت تحفظ از سرما باران، باد و گرما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مشقت شديد يا ضرر اساسى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w:t>
      </w:r>
    </w:p>
    <w:p>
      <w:pPr>
        <w:pStyle w:val="Heading3"/>
        <w:numPr>
          <w:ilvl w:val="2"/>
          <w:numId w:val="1"/>
        </w:numPr>
        <w:rPr/>
      </w:pPr>
      <w:bookmarkStart w:id="54" w:name="__RefHeading___Toc1156589_3650668749"/>
      <w:bookmarkStart w:id="55" w:name="_Toc20"/>
      <w:bookmarkEnd w:id="54"/>
      <w:r>
        <w:rPr/>
        <w:t>16</w:t>
      </w:r>
      <w:r>
        <w:rPr>
          <w:rtl w:val="true"/>
        </w:rPr>
        <w:t xml:space="preserve">- </w:t>
      </w:r>
      <w:r>
        <w:rPr>
          <w:rtl w:val="true"/>
        </w:rPr>
        <w:t>استظلال براى مردان هنگام تردّد در محلّى كه منزل مى‌كنند، مانند مكّه و منى و عرفات در روز</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قرار دادن بالاى سر، مختص به زمان طى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حاليكه</w:t>
      </w:r>
    </w:p>
    <w:p>
      <w:pPr>
        <w:pStyle w:val="BookText"/>
        <w:rPr/>
      </w:pPr>
      <w:r>
        <w:rPr>
          <w:rFonts w:ascii="IRNazanin" w:hAnsi="IRNazanin" w:eastAsia="IRNazanin"/>
          <w:color w:val="111111"/>
          <w:sz w:val="28"/>
          <w:sz w:val="28"/>
          <w:szCs w:val="28"/>
          <w:rtl w:val="true"/>
          <w:lang w:bidi="fa-IR"/>
        </w:rPr>
        <w:t>در محلى منزل كرده در منى باشد يا غير آن، زير سايه رفتن و با چتر و مانند آن سايه بر سر قرار دادن مانع ندارد اگر چه در حال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مانعى ندارد در منى از چادر تا محلى كه رمى جمرات را انجام مى‌دهد با چتر برود و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محرم به منزل رسيد ولو در محله‌هاى جديد مكه براى رفت و آمد به مسجد الحرام در ماشين‌هاى سقف‌دار سوار شود يا زير سايه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زير سايبان متحرك، مانند چتر و ماشين مسقّف، بر مرد محرم جايز نيست، ولى حركت در سايه سايبان‌هاى ثابت، مانند خيمه، منزل و مسجد بلكه سايبان ها و تونل‌هاى كوتاه</w:t>
      </w:r>
      <w:bookmarkStart w:id="56" w:name="pg1641_12354"/>
    </w:p>
    <w:p>
      <w:pPr>
        <w:pStyle w:val="BookText"/>
        <w:rPr/>
      </w:pPr>
      <w:bookmarkEnd w:id="56"/>
      <w:r>
        <w:rPr>
          <w:rFonts w:ascii="IRNazanin" w:hAnsi="IRNazanin" w:eastAsia="IRNazanin"/>
          <w:color w:val="111111"/>
          <w:sz w:val="28"/>
          <w:sz w:val="28"/>
          <w:szCs w:val="28"/>
          <w:rtl w:val="true"/>
          <w:lang w:bidi="fa-IR"/>
        </w:rPr>
        <w:t>مانعى ندارد و اگر هوا آفتابى و بارانى نباشد مى‌تواند از سايبان ها و تونل‌هاى طولانى نيز بگذرد؛ آيةاللَّه زنجانى</w:t>
      </w:r>
      <w:r>
        <w:rPr>
          <w:rFonts w:eastAsia="IRNazanin" w:cs="IRNazanin"/>
          <w:color w:val="111111"/>
          <w:sz w:val="28"/>
          <w:szCs w:val="28"/>
          <w:rtl w:val="true"/>
          <w:lang w:bidi="fa-IR"/>
        </w:rPr>
        <w:t>.</w:t>
      </w:r>
    </w:p>
    <w:p>
      <w:pPr>
        <w:pStyle w:val="Heading3"/>
        <w:numPr>
          <w:ilvl w:val="2"/>
          <w:numId w:val="1"/>
        </w:numPr>
        <w:rPr/>
      </w:pPr>
      <w:bookmarkStart w:id="57" w:name="__RefHeading___Toc1156591_3650668749"/>
      <w:bookmarkStart w:id="58" w:name="_Toc21"/>
      <w:bookmarkEnd w:id="57"/>
      <w:r>
        <w:rPr/>
        <w:t>17</w:t>
      </w:r>
      <w:r>
        <w:rPr>
          <w:rtl w:val="true"/>
        </w:rPr>
        <w:t xml:space="preserve">- </w:t>
      </w:r>
      <w:r>
        <w:rPr>
          <w:rtl w:val="true"/>
        </w:rPr>
        <w:t>حد مطاف‌</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است‌طواف بين‌كعبه‌ومقام ابراهيم عليه السلام انجام شود و اين مسافت كه 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است در همه اطراف كعبه مراعات شود ولى طواف خارج اين حد تا هر كجا كه طواف خانه صدق كند جايز است خصوصاً در مواردى كه طواف در محدوده مذكور ممكن نباشد يا مشقت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مراجع</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طواف در محدوده مذكور انجام</w:t>
      </w:r>
    </w:p>
    <w:p>
      <w:pPr>
        <w:pStyle w:val="BookText"/>
        <w:rPr/>
      </w:pPr>
      <w:r>
        <w:rPr>
          <w:rFonts w:ascii="IRNazanin" w:hAnsi="IRNazanin" w:eastAsia="IRNazanin"/>
          <w:color w:val="111111"/>
          <w:sz w:val="28"/>
          <w:sz w:val="28"/>
          <w:szCs w:val="28"/>
          <w:rtl w:val="true"/>
          <w:lang w:bidi="fa-IR"/>
        </w:rPr>
        <w:t>شود مگر در صورتيكه حتى در وقت خلوت نتواند در اين محدوده طواف كند كه در اين صورت طواف خارج از اين حد با مراعات الاقرب فالاقرب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فاضل</w:t>
      </w:r>
    </w:p>
    <w:p>
      <w:pPr>
        <w:pStyle w:val="BookText"/>
        <w:rPr/>
      </w:pPr>
      <w:r>
        <w:rPr>
          <w:rFonts w:ascii="IRNazanin" w:hAnsi="IRNazanin" w:eastAsia="IRNazanin"/>
          <w:color w:val="111111"/>
          <w:sz w:val="28"/>
          <w:sz w:val="28"/>
          <w:szCs w:val="28"/>
          <w:rtl w:val="true"/>
          <w:lang w:bidi="fa-IR"/>
        </w:rPr>
        <w:t>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ضرورت عرفى اقتضاء كند كه خارج از محدوده طواف 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 مقدار فاصله مقام و كعبه است و اين مقدار در طرف حجر اسماعيل از بيرون ديوار محاسبه مى‌شود و كسى كه نمى‌تواند يا براى او مشقت شديد دارد، نائب بگيرد و اگر از نائب گرفتن هم معذور است مى‌تواند در فاصله دورتر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w:t>
      </w:r>
      <w:bookmarkStart w:id="59" w:name="pg1641_12356"/>
    </w:p>
    <w:p>
      <w:pPr>
        <w:pStyle w:val="Heading3"/>
        <w:numPr>
          <w:ilvl w:val="2"/>
          <w:numId w:val="1"/>
        </w:numPr>
        <w:rPr/>
      </w:pPr>
      <w:bookmarkStart w:id="60" w:name="__RefHeading___Toc1156593_3650668749"/>
      <w:bookmarkStart w:id="61" w:name="_Toc22"/>
      <w:bookmarkEnd w:id="59"/>
      <w:bookmarkEnd w:id="60"/>
      <w:r>
        <w:rPr/>
        <w:t>18</w:t>
      </w:r>
      <w:r>
        <w:rPr>
          <w:rtl w:val="true"/>
        </w:rPr>
        <w:t xml:space="preserve">- </w:t>
      </w:r>
      <w:r>
        <w:rPr/>
        <w:t>5</w:t>
      </w:r>
      <w:r>
        <w:rPr>
          <w:rtl w:val="true"/>
        </w:rPr>
        <w:t xml:space="preserve"> </w:t>
      </w:r>
      <w:r>
        <w:rPr>
          <w:rtl w:val="true"/>
        </w:rPr>
        <w:t>تذكر راجع به طواف‌</w:t>
      </w:r>
      <w:bookmarkEnd w:id="61"/>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امام خمينى و آية اللَّه فاضل اگر شخصى در طواف از محدوده لازم خارج شد بايد آن مقدار را اعاده كند و همين‌طور بنابر نظر آيةاللَّه گلپايگانى و آيةاللَّه صافى اگر در محدوده‌اى طواف كند كه اتصال به جمعيت نداشته باشد بايد آن مقدار را اعاده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اگر به جهت نظافت مسجد و مانند آن از انجام طواف در محدوده ممانعت شود اگرامكان دارد كه در محدوده طواف كند بايد صبر نمايد و در محدوده طواف كند و اگر خارج آن طواف كند صحيح نيست 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حالاتى ضرورت عرفيه اقتضاء كند كه خارج از محدوده</w:t>
      </w:r>
    </w:p>
    <w:p>
      <w:pPr>
        <w:pStyle w:val="BookText"/>
        <w:rPr/>
      </w:pPr>
      <w:r>
        <w:rPr>
          <w:rFonts w:ascii="Amiri" w:hAnsi="Amiri" w:eastAsia="Amiri" w:cs="Amiri"/>
          <w:color w:val="111111"/>
          <w:sz w:val="28"/>
          <w:sz w:val="28"/>
          <w:szCs w:val="28"/>
          <w:rtl w:val="true"/>
          <w:lang w:bidi="ar-SA"/>
        </w:rPr>
        <w:t>طواف كند و صبر كردن براى طواف در محدوده مستلزم عسر و حرج باشد در خارج حد با رعايت الاقرب فالاقرب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زنى كه قادر به طواف كردن نيست اگر كسى حتى نامحرم حاضر شود او را بدوش بگيرد و در محدوده طواف دهد نمى‌تواند به طواف با تخت روان در خارج از محدوده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محدوده طواف است اگر شك كند كه از محدوده خارج شده يا نه؟ طوافش صحيح است ولى اگر در ابتدا طواف شك كند كه طوافش در محدوده است يا نه؟ نمى‌تواند به آن اكتفا نمايد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اين كه در حال طواف او را</w:t>
      </w:r>
      <w:bookmarkStart w:id="62" w:name="pg1641_12358"/>
    </w:p>
    <w:p>
      <w:pPr>
        <w:pStyle w:val="BookText"/>
        <w:rPr/>
      </w:pPr>
      <w:bookmarkEnd w:id="62"/>
      <w:r>
        <w:rPr>
          <w:rFonts w:ascii="Amiri" w:hAnsi="Amiri" w:eastAsia="Amiri" w:cs="Amiri"/>
          <w:color w:val="111111"/>
          <w:sz w:val="28"/>
          <w:sz w:val="28"/>
          <w:szCs w:val="28"/>
          <w:rtl w:val="true"/>
          <w:lang w:bidi="ar-SA"/>
        </w:rPr>
        <w:t>بى‌اختيار مى‌برند مجوز طواف در خارج حد نيست و بايد همان مقدار را كه بى‌اختيار شده تدارك كند، و همينطور يقين به برخورد با نامحرم براى طواف خارج محدوده عذر محسوب نمى‌شود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56595_3650668749"/>
      <w:bookmarkStart w:id="64" w:name="_Toc23"/>
      <w:bookmarkEnd w:id="63"/>
      <w:r>
        <w:rPr/>
        <w:t>19</w:t>
      </w:r>
      <w:r>
        <w:rPr>
          <w:rtl w:val="true"/>
        </w:rPr>
        <w:t xml:space="preserve">- </w:t>
      </w:r>
      <w:r>
        <w:rPr>
          <w:rtl w:val="true"/>
        </w:rPr>
        <w:t>طواف طبقه دوّم براى معذورين‌</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ولو در فضاى ما بين زمين تا محاذى پشت بام كعبه باشد و چنانچه بالاتر از اين باشد طواف از طبقه دوم صحيح و مجزى نيست و كسانى كه نمى‌توانند در صحن مسجدالحرام ولو به وسيله حمل توسط شخص ديگر طواف كنند وظيفه‌شان نايب گرفتن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نمى‌تواند نايب بگيرد يا مشقت</w:t>
      </w:r>
      <w:bookmarkStart w:id="65" w:name="pg1641_12359"/>
    </w:p>
    <w:p>
      <w:pPr>
        <w:pStyle w:val="BookText"/>
        <w:rPr/>
      </w:pPr>
      <w:bookmarkEnd w:id="65"/>
      <w:r>
        <w:rPr>
          <w:rFonts w:ascii="Amiri" w:hAnsi="Amiri" w:eastAsia="Amiri" w:cs="Amiri"/>
          <w:color w:val="111111"/>
          <w:sz w:val="28"/>
          <w:sz w:val="28"/>
          <w:szCs w:val="28"/>
          <w:rtl w:val="true"/>
          <w:lang w:bidi="ar-SA"/>
        </w:rPr>
        <w:t>شديد دارد طواف در طبقه دوم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زنجانى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كه راهى جز اين نيست طواف در طبقه بالا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مكارم</w:t>
      </w:r>
      <w:r>
        <w:rPr>
          <w:rFonts w:eastAsia="IRNazanin" w:cs="IRNazanin"/>
          <w:color w:val="111111"/>
          <w:sz w:val="28"/>
          <w:szCs w:val="28"/>
          <w:rtl w:val="true"/>
          <w:lang w:bidi="fa-IR"/>
        </w:rPr>
        <w:t>.</w:t>
      </w:r>
    </w:p>
    <w:p>
      <w:pPr>
        <w:pStyle w:val="Heading3"/>
        <w:numPr>
          <w:ilvl w:val="2"/>
          <w:numId w:val="1"/>
        </w:numPr>
        <w:rPr/>
      </w:pPr>
      <w:bookmarkStart w:id="66" w:name="__RefHeading___Toc1156597_3650668749"/>
      <w:bookmarkStart w:id="67" w:name="_Toc24"/>
      <w:bookmarkEnd w:id="66"/>
      <w:r>
        <w:rPr/>
        <w:t>20</w:t>
      </w:r>
      <w:r>
        <w:rPr>
          <w:rtl w:val="true"/>
        </w:rPr>
        <w:t xml:space="preserve">- </w:t>
      </w:r>
      <w:r>
        <w:rPr>
          <w:rtl w:val="true"/>
        </w:rPr>
        <w:t>گذاردن دست روى حجر اسماعيل در حال طواف‌</w:t>
      </w:r>
      <w:bookmarkEnd w:id="67"/>
    </w:p>
    <w:p>
      <w:pPr>
        <w:pStyle w:val="BookText"/>
        <w:rPr/>
      </w:pPr>
      <w:r>
        <w:rPr>
          <w:rFonts w:ascii="IRNazanin" w:hAnsi="IRNazanin" w:eastAsia="IRNazanin"/>
          <w:color w:val="111111"/>
          <w:sz w:val="28"/>
          <w:sz w:val="28"/>
          <w:szCs w:val="28"/>
          <w:rtl w:val="true"/>
          <w:lang w:bidi="fa-IR"/>
        </w:rPr>
        <w:t>در حال طواف، دست گذاشتن روى ديوار حجر اسماعيل عليه السلام جايز است و به طواف ضرر نمى‌رساند گرچه احتياط مستحب در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نورى</w:t>
      </w:r>
      <w:bookmarkStart w:id="68" w:name="pg1641_12360"/>
    </w:p>
    <w:p>
      <w:pPr>
        <w:pStyle w:val="Heading3"/>
        <w:numPr>
          <w:ilvl w:val="2"/>
          <w:numId w:val="1"/>
        </w:numPr>
        <w:rPr/>
      </w:pPr>
      <w:bookmarkStart w:id="69" w:name="__RefHeading___Toc1156599_3650668749"/>
      <w:bookmarkStart w:id="70" w:name="_Toc25"/>
      <w:bookmarkEnd w:id="68"/>
      <w:bookmarkEnd w:id="69"/>
      <w:r>
        <w:rPr/>
        <w:t>21</w:t>
      </w:r>
      <w:r>
        <w:rPr>
          <w:rtl w:val="true"/>
        </w:rPr>
        <w:t xml:space="preserve">- </w:t>
      </w:r>
      <w:r>
        <w:rPr>
          <w:rtl w:val="true"/>
        </w:rPr>
        <w:t>حكم نجاساتى كه در نماز عفو شده و محمول متنجس در طواف‌</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كسى كه مى‌خواهد طواف كند واجب است پاك باشد حتى از خون كمتر از درهم نيز بايد اجتناب شود بلى نجس بودن چيزهايى كه نمى‌تواند به تنهايى ساتر در نماز باشد مانند جوراب و عرقچين و انگشتر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Heading3"/>
        <w:numPr>
          <w:ilvl w:val="2"/>
          <w:numId w:val="1"/>
        </w:numPr>
        <w:rPr/>
      </w:pPr>
      <w:bookmarkStart w:id="71" w:name="__RefHeading___Toc1156601_3650668749"/>
      <w:bookmarkStart w:id="72" w:name="_Toc26"/>
      <w:bookmarkEnd w:id="71"/>
      <w:r>
        <w:rPr/>
        <w:t>22</w:t>
      </w:r>
      <w:r>
        <w:rPr>
          <w:rtl w:val="true"/>
        </w:rPr>
        <w:t xml:space="preserve">- </w:t>
      </w:r>
      <w:r>
        <w:rPr>
          <w:rtl w:val="true"/>
        </w:rPr>
        <w:t>قطع طواف بدون عذر</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يعنى رها كردن آن به طورى كه موالات عرفيه فوت شود بدون عذر در طواف مستحب جايز و در طواف واجب مكروه است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مراجع عظام</w:t>
      </w:r>
      <w:bookmarkStart w:id="73" w:name="pg1641_12361"/>
    </w:p>
    <w:p>
      <w:pPr>
        <w:pStyle w:val="BookText"/>
        <w:rPr/>
      </w:pPr>
      <w:bookmarkEnd w:id="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واجب بدون عذر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گلپايگانى، زنجانى، صافى</w:t>
      </w:r>
      <w:r>
        <w:rPr>
          <w:rFonts w:eastAsia="IRNazanin" w:cs="IRNazanin"/>
          <w:color w:val="111111"/>
          <w:sz w:val="28"/>
          <w:szCs w:val="28"/>
          <w:rtl w:val="true"/>
          <w:lang w:bidi="fa-IR"/>
        </w:rPr>
        <w:t>.</w:t>
      </w:r>
    </w:p>
    <w:p>
      <w:pPr>
        <w:pStyle w:val="Heading3"/>
        <w:numPr>
          <w:ilvl w:val="2"/>
          <w:numId w:val="1"/>
        </w:numPr>
        <w:rPr/>
      </w:pPr>
      <w:bookmarkStart w:id="74" w:name="__RefHeading___Toc1156603_3650668749"/>
      <w:bookmarkStart w:id="75" w:name="_Toc27"/>
      <w:bookmarkEnd w:id="74"/>
      <w:r>
        <w:rPr/>
        <w:t>23</w:t>
      </w:r>
      <w:r>
        <w:rPr>
          <w:rtl w:val="true"/>
        </w:rPr>
        <w:t xml:space="preserve">- </w:t>
      </w:r>
      <w:r>
        <w:rPr>
          <w:rtl w:val="true"/>
        </w:rPr>
        <w:t>وظيفه كسى كه نتوانسته قرائت يا ذكرهاى واجب را ياد بگيرد</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و ذكرهاى واجب نماز را ياد بگيرد هر مقدار كه خود مى‌تواند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جماعت بخواند عمل به وظيفه نمازهاى يوميّه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w:t>
      </w:r>
    </w:p>
    <w:p>
      <w:pPr>
        <w:pStyle w:val="Heading3"/>
        <w:numPr>
          <w:ilvl w:val="2"/>
          <w:numId w:val="1"/>
        </w:numPr>
        <w:rPr/>
      </w:pPr>
      <w:bookmarkStart w:id="76" w:name="__RefHeading___Toc1156605_3650668749"/>
      <w:bookmarkStart w:id="77" w:name="_Toc28"/>
      <w:bookmarkEnd w:id="76"/>
      <w:r>
        <w:rPr/>
        <w:t>24</w:t>
      </w:r>
      <w:r>
        <w:rPr>
          <w:rtl w:val="true"/>
        </w:rPr>
        <w:t xml:space="preserve">- </w:t>
      </w:r>
      <w:r>
        <w:rPr>
          <w:rtl w:val="true"/>
        </w:rPr>
        <w:t>خروج از مكّه بين عمره و حج تمتّع‌</w:t>
      </w:r>
      <w:bookmarkEnd w:id="7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تمتع بجا آورده اگر مطمئن است كه با خارج شدن از مكه حج از او فوت نمى‌شود و مى‌تواند به موقع برگردد و براى حج</w:t>
      </w:r>
    </w:p>
    <w:p>
      <w:pPr>
        <w:pStyle w:val="BookText"/>
        <w:rPr/>
      </w:pPr>
      <w:r>
        <w:rPr>
          <w:rFonts w:ascii="IRNazanin" w:hAnsi="IRNazanin" w:eastAsia="IRNazanin"/>
          <w:color w:val="111111"/>
          <w:sz w:val="28"/>
          <w:sz w:val="28"/>
          <w:szCs w:val="28"/>
          <w:rtl w:val="true"/>
          <w:lang w:bidi="fa-IR"/>
        </w:rPr>
        <w:t>محرم شود جايز است بدون احرام از مكه خارج شود و در غير اين صورت جايز نيست خارج شود مگر براى ضرورت يا حاجتى كه در اين فرض بايد براى حج تمتع محرم شود و سپس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ذكر شد وظيفه خدمه كاروانها و كارگزاران حج كه عمره تمتع انجام داده‌اند و مى‌خواهند براى انجام وظائف به منى و عرفات و امثال آن بروند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جايز نيست مگر آنكه براى حاجتى باشد و بيم آن نرود كه اعمال حجش فوت گردد كه در اين صورت واجب است براى حج خود از مكه احرام حج را بسته و براى كارى كه دارد از مكه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گلپايگانى، تبريزى</w:t>
      </w:r>
      <w:bookmarkStart w:id="78" w:name="pg1641_12363"/>
    </w:p>
    <w:p>
      <w:pPr>
        <w:pStyle w:val="Heading3"/>
        <w:numPr>
          <w:ilvl w:val="2"/>
          <w:numId w:val="1"/>
        </w:numPr>
        <w:rPr/>
      </w:pPr>
      <w:bookmarkStart w:id="79" w:name="__RefHeading___Toc1156607_3650668749"/>
      <w:bookmarkStart w:id="80" w:name="_Toc29"/>
      <w:bookmarkEnd w:id="78"/>
      <w:bookmarkEnd w:id="79"/>
      <w:r>
        <w:rPr/>
        <w:t>25</w:t>
      </w:r>
      <w:r>
        <w:rPr>
          <w:rtl w:val="true"/>
        </w:rPr>
        <w:t xml:space="preserve">- </w:t>
      </w:r>
      <w:r>
        <w:rPr>
          <w:rtl w:val="true"/>
        </w:rPr>
        <w:t>سعى از مسعاى جديد</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مسعاى جديد صحيح و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56609_3650668749"/>
      <w:bookmarkStart w:id="82" w:name="_Toc30"/>
      <w:bookmarkEnd w:id="81"/>
      <w:r>
        <w:rPr/>
        <w:t>26</w:t>
      </w:r>
      <w:r>
        <w:rPr>
          <w:rtl w:val="true"/>
        </w:rPr>
        <w:t xml:space="preserve">- </w:t>
      </w:r>
      <w:r>
        <w:rPr>
          <w:rtl w:val="true"/>
        </w:rPr>
        <w:t>محل احرام حج‌</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تمتع شهر مكّه است و در تمام مناطق شهر مى‌توان محرم شد مگر اينكه خارج حرم باشد مثل تنعيم، و افضل آن است كه در مسجد الحرام نزد مقام ابراهيم عليه السلام يا در حجر اسماعيل عليه السلام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Heading3"/>
        <w:numPr>
          <w:ilvl w:val="2"/>
          <w:numId w:val="1"/>
        </w:numPr>
        <w:rPr/>
      </w:pPr>
      <w:bookmarkStart w:id="83" w:name="__RefHeading___Toc1156611_3650668749"/>
      <w:bookmarkStart w:id="84" w:name="_Toc31"/>
      <w:bookmarkEnd w:id="83"/>
      <w:r>
        <w:rPr/>
        <w:t>27</w:t>
      </w:r>
      <w:r>
        <w:rPr>
          <w:rtl w:val="true"/>
        </w:rPr>
        <w:t xml:space="preserve">- </w:t>
      </w:r>
      <w:r>
        <w:rPr>
          <w:rtl w:val="true"/>
        </w:rPr>
        <w:t>كوچ از مشعر الحرام براى بانوان و معذورين و همراه آنان‌</w:t>
      </w:r>
      <w:bookmarkEnd w:id="8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بچه‌ها و پيرمردان و اشخاص ضعيف و بيماران و ديگر معذورين و كسانى كه لازم است</w:t>
      </w:r>
      <w:bookmarkStart w:id="85" w:name="pg1641_12364"/>
    </w:p>
    <w:p>
      <w:pPr>
        <w:pStyle w:val="BookText"/>
        <w:rPr/>
      </w:pPr>
      <w:bookmarkEnd w:id="85"/>
      <w:r>
        <w:rPr>
          <w:rFonts w:ascii="IRNazanin" w:hAnsi="IRNazanin" w:eastAsia="IRNazanin"/>
          <w:color w:val="111111"/>
          <w:sz w:val="28"/>
          <w:sz w:val="28"/>
          <w:szCs w:val="28"/>
          <w:rtl w:val="true"/>
          <w:lang w:bidi="fa-IR"/>
        </w:rPr>
        <w:t>همراه آنان باشند جايز است قدرى از شب عيد را در مشعر وقوف كنند و سپس به سوى منى حركت كنند هر چند قبل از نيمه‌شب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همراه معذورين هستند بايد قبل از طلوع آفتاب به مشعر برگردند و اگر اتفاقاً نتوانستند تا قبل از طلوع آفتاب برگردند، قبل از ظهر روز عيد به آنجا برگردند و لحظاتى قصد وقوف اضطرارى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خوئى، آية اللَّه تبريزى‌</w:t>
      </w:r>
    </w:p>
    <w:p>
      <w:pPr>
        <w:pStyle w:val="Heading3"/>
        <w:numPr>
          <w:ilvl w:val="2"/>
          <w:numId w:val="1"/>
        </w:numPr>
        <w:rPr/>
      </w:pPr>
      <w:bookmarkStart w:id="86" w:name="__RefHeading___Toc1156613_3650668749"/>
      <w:bookmarkStart w:id="87" w:name="_Toc32"/>
      <w:bookmarkEnd w:id="86"/>
      <w:r>
        <w:rPr/>
        <w:t>28</w:t>
      </w:r>
      <w:r>
        <w:rPr>
          <w:rtl w:val="true"/>
        </w:rPr>
        <w:t xml:space="preserve">- </w:t>
      </w:r>
      <w:r>
        <w:rPr>
          <w:rtl w:val="true"/>
        </w:rPr>
        <w:t>شرط ايمان در ذابح‌</w:t>
      </w:r>
      <w:bookmarkEnd w:id="8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اگر مسلمان باشد كافى است و لازم نيست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ايمان در ذابح خالى از قوّت نيست بنابراين اگر قربانى به دست غير شيعه انجام گيرد بايد دو مرتبه قربانى كند هرچند در وقت قربانى متوجه نشود كه ذابح شيعه نيست يا جاهل به مسأله باشد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خامنه‌اى، نورى اضافه فرمودند كه اين در صورتى است كه ذابح را در انجام قربانى نائب كرده باشد و اما اگر از او خصوص ذبح را خواسته باشد لازم نيست مؤمن باشد و خودش بايد قصد قربانى و قربت را انجام دهد و اگر بعد از قربانى و اعمال مترتبه بفهمد كه ذابح مؤمن نبوده فقط ذبح را اعاده نمايد و اعمال مترتبه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فاضل، خامنه‌اى، نورى</w:t>
      </w:r>
      <w:bookmarkStart w:id="88" w:name="pg1641_12366"/>
    </w:p>
    <w:p>
      <w:pPr>
        <w:pStyle w:val="Heading3"/>
        <w:numPr>
          <w:ilvl w:val="2"/>
          <w:numId w:val="1"/>
        </w:numPr>
        <w:rPr/>
      </w:pPr>
      <w:bookmarkStart w:id="89" w:name="__RefHeading___Toc1156615_3650668749"/>
      <w:bookmarkStart w:id="90" w:name="_Toc33"/>
      <w:bookmarkEnd w:id="88"/>
      <w:bookmarkEnd w:id="89"/>
      <w:r>
        <w:rPr/>
        <w:t>29</w:t>
      </w:r>
      <w:r>
        <w:rPr>
          <w:rtl w:val="true"/>
        </w:rPr>
        <w:t xml:space="preserve">- </w:t>
      </w:r>
      <w:r>
        <w:rPr>
          <w:rtl w:val="true"/>
        </w:rPr>
        <w:t>تأخير ذبح از روز عيد</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از روز عيد تا آخر روز سيزدهم جايز است و احتياط مستحب آن است كه از روز عيد تأخير نيندازد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ذبح تا پايان روز دوازدهم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زنجانى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ذبح در روز عيد باشد، ولى اگر تأخير انداخت، پس تا آخر ذى‌حجه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بهجت‌</w:t>
      </w:r>
    </w:p>
    <w:p>
      <w:pPr>
        <w:pStyle w:val="Heading3"/>
        <w:numPr>
          <w:ilvl w:val="2"/>
          <w:numId w:val="1"/>
        </w:numPr>
        <w:rPr/>
      </w:pPr>
      <w:bookmarkStart w:id="91" w:name="__RefHeading___Toc1156617_3650668749"/>
      <w:bookmarkStart w:id="92" w:name="_Toc34"/>
      <w:bookmarkEnd w:id="91"/>
      <w:r>
        <w:rPr/>
        <w:t>30</w:t>
      </w:r>
      <w:r>
        <w:rPr>
          <w:rtl w:val="true"/>
        </w:rPr>
        <w:t xml:space="preserve">- </w:t>
      </w:r>
      <w:r>
        <w:rPr>
          <w:rtl w:val="true"/>
        </w:rPr>
        <w:t>قربانى در شب‌</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شب كفايت نمى‌كند مگر براى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را از روز عيد عمداً يا جهلًا تأخير</w:t>
      </w:r>
      <w:bookmarkStart w:id="93" w:name="pg1641_12367"/>
    </w:p>
    <w:p>
      <w:pPr>
        <w:pStyle w:val="BookText"/>
        <w:rPr/>
      </w:pPr>
      <w:bookmarkEnd w:id="93"/>
      <w:r>
        <w:rPr>
          <w:rFonts w:ascii="Amiri" w:hAnsi="Amiri" w:eastAsia="Amiri" w:cs="Amiri"/>
          <w:color w:val="111111"/>
          <w:sz w:val="28"/>
          <w:sz w:val="28"/>
          <w:szCs w:val="28"/>
          <w:rtl w:val="true"/>
          <w:lang w:bidi="ar-SA"/>
        </w:rPr>
        <w:t>انداخت ذبح در شب 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دلائلى نتواند تا مغرب قربانى كند بعد از اذان مغرب هم مى‌تواند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p>
    <w:p>
      <w:pPr>
        <w:pStyle w:val="Heading3"/>
        <w:numPr>
          <w:ilvl w:val="2"/>
          <w:numId w:val="1"/>
        </w:numPr>
        <w:rPr/>
      </w:pPr>
      <w:bookmarkStart w:id="94" w:name="__RefHeading___Toc1156619_3650668749"/>
      <w:bookmarkStart w:id="95" w:name="_Toc35"/>
      <w:bookmarkEnd w:id="94"/>
      <w:r>
        <w:rPr/>
        <w:t>31</w:t>
      </w:r>
      <w:r>
        <w:rPr>
          <w:rtl w:val="true"/>
        </w:rPr>
        <w:t xml:space="preserve">- </w:t>
      </w:r>
      <w:r>
        <w:rPr>
          <w:rtl w:val="true"/>
        </w:rPr>
        <w:t>تثليث قربانى‌</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مقدارى از قربانى را به فقير مؤمن صدقه دهد و مستحب است قسمتى از آن را هديه بدهد و قدرى از آن را خودش بخورد و بهتر است هر يك از صدقه و هديه كمتر از ثلث قربانى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واجب نيست بلكه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فاضل، خامنه‌اى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 فعلى خصوصاً كه مسؤولين نظام</w:t>
      </w:r>
      <w:bookmarkStart w:id="96" w:name="pg1641_12368"/>
    </w:p>
    <w:p>
      <w:pPr>
        <w:pStyle w:val="BookText"/>
        <w:rPr/>
      </w:pPr>
      <w:bookmarkEnd w:id="96"/>
      <w:r>
        <w:rPr>
          <w:rFonts w:ascii="IRNazanin" w:hAnsi="IRNazanin" w:eastAsia="IRNazanin"/>
          <w:color w:val="111111"/>
          <w:sz w:val="28"/>
          <w:sz w:val="28"/>
          <w:szCs w:val="28"/>
          <w:rtl w:val="true"/>
          <w:lang w:bidi="fa-IR"/>
        </w:rPr>
        <w:t>جمهورى اسلامى مى‌گويند به مصرف مى‌رسانند تكليف ساقط است</w:t>
      </w:r>
      <w:r>
        <w:rPr>
          <w:rFonts w:eastAsia="IRNazanin" w:cs="IRNazanin"/>
          <w:color w:val="111111"/>
          <w:sz w:val="28"/>
          <w:szCs w:val="28"/>
          <w:rtl w:val="true"/>
          <w:lang w:bidi="fa-IR"/>
        </w:rPr>
        <w:t>.</w:t>
      </w:r>
    </w:p>
    <w:p>
      <w:pPr>
        <w:pStyle w:val="Heading3"/>
        <w:numPr>
          <w:ilvl w:val="2"/>
          <w:numId w:val="1"/>
        </w:numPr>
        <w:rPr/>
      </w:pPr>
      <w:bookmarkStart w:id="97" w:name="__RefHeading___Toc1156621_3650668749"/>
      <w:bookmarkStart w:id="98" w:name="_Toc36"/>
      <w:bookmarkEnd w:id="97"/>
      <w:r>
        <w:rPr/>
        <w:t>32</w:t>
      </w:r>
      <w:r>
        <w:rPr>
          <w:rtl w:val="true"/>
        </w:rPr>
        <w:t xml:space="preserve">- </w:t>
      </w:r>
      <w:r>
        <w:rPr>
          <w:rtl w:val="true"/>
        </w:rPr>
        <w:t>حلق در سفر اوّل‌</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مكلّفى مختار است كه بعد از ذبح كردن يا سر بتراشد و يا از ناخن يا موى خود قدرى بچيند گرچه حلق مستحب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مرديكه حجة الاسلام خود را انجام مى‌دهد، حلق واجب است، گر چه سفر اوّل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زنجانى‌</w:t>
      </w:r>
    </w:p>
    <w:p>
      <w:pPr>
        <w:pStyle w:val="Heading3"/>
        <w:numPr>
          <w:ilvl w:val="2"/>
          <w:numId w:val="1"/>
        </w:numPr>
        <w:rPr/>
      </w:pPr>
      <w:bookmarkStart w:id="99" w:name="__RefHeading___Toc1156623_3650668749"/>
      <w:bookmarkStart w:id="100" w:name="_Toc37"/>
      <w:bookmarkEnd w:id="99"/>
      <w:r>
        <w:rPr/>
        <w:t>33</w:t>
      </w:r>
      <w:r>
        <w:rPr>
          <w:rtl w:val="true"/>
        </w:rPr>
        <w:t xml:space="preserve">- </w:t>
      </w:r>
      <w:r>
        <w:rPr>
          <w:rtl w:val="true"/>
        </w:rPr>
        <w:t>تأخير حلق يا تقصير تا آخر ايام تشريق‌</w:t>
      </w:r>
      <w:bookmarkEnd w:id="10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حلق يا تقصير از روز عيد تا پايان روز سيزدهم است گر چه احتياط استحبابى آن است</w:t>
      </w:r>
      <w:bookmarkStart w:id="101" w:name="pg1641_12369"/>
    </w:p>
    <w:p>
      <w:pPr>
        <w:pStyle w:val="BookText"/>
        <w:rPr/>
      </w:pPr>
      <w:bookmarkEnd w:id="101"/>
      <w:r>
        <w:rPr>
          <w:rFonts w:ascii="IRNazanin" w:hAnsi="IRNazanin" w:eastAsia="IRNazanin"/>
          <w:color w:val="111111"/>
          <w:sz w:val="28"/>
          <w:sz w:val="28"/>
          <w:szCs w:val="28"/>
          <w:rtl w:val="true"/>
          <w:lang w:bidi="fa-IR"/>
        </w:rPr>
        <w:t>كه روز عيد باشد و همچنين حلق و تقصير در شب نيز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Heading3"/>
        <w:numPr>
          <w:ilvl w:val="2"/>
          <w:numId w:val="1"/>
        </w:numPr>
        <w:rPr/>
      </w:pPr>
      <w:bookmarkStart w:id="102" w:name="__RefHeading___Toc1156625_3650668749"/>
      <w:bookmarkStart w:id="103" w:name="_Toc38"/>
      <w:bookmarkEnd w:id="102"/>
      <w:r>
        <w:rPr/>
        <w:t>34</w:t>
      </w:r>
      <w:r>
        <w:rPr>
          <w:rtl w:val="true"/>
        </w:rPr>
        <w:t xml:space="preserve">- </w:t>
      </w:r>
      <w:r>
        <w:rPr>
          <w:rtl w:val="true"/>
        </w:rPr>
        <w:t>حلق و تقصير در شب‌</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 را مى‌توان در شب يازدهم و دوازدهم و سيزدهم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تقليد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عيد جايز نيست مگر براى خائف و به احتياط مستحب از روز عيد تأخير نشود ولى بعد از عيد در شب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w:t>
      </w:r>
    </w:p>
    <w:p>
      <w:pPr>
        <w:pStyle w:val="Heading3"/>
        <w:numPr>
          <w:ilvl w:val="2"/>
          <w:numId w:val="1"/>
        </w:numPr>
        <w:rPr/>
      </w:pPr>
      <w:bookmarkStart w:id="104" w:name="__RefHeading___Toc1156627_3650668749"/>
      <w:bookmarkStart w:id="105" w:name="_Toc39"/>
      <w:bookmarkEnd w:id="104"/>
      <w:r>
        <w:rPr/>
        <w:t>35</w:t>
      </w:r>
      <w:r>
        <w:rPr>
          <w:rtl w:val="true"/>
        </w:rPr>
        <w:t xml:space="preserve">- </w:t>
      </w:r>
      <w:r>
        <w:rPr>
          <w:rtl w:val="true"/>
        </w:rPr>
        <w:t>رمى جمرات در طبقه فوقانى‌</w:t>
      </w:r>
      <w:bookmarkEnd w:id="10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رمى‌در طبقه دوّم‌جمرات نيز كافى است و لازم نيست در طبقه اوّل رمى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bookmarkStart w:id="106" w:name="pg1641_12370"/>
    </w:p>
    <w:p>
      <w:pPr>
        <w:pStyle w:val="Heading3"/>
        <w:numPr>
          <w:ilvl w:val="2"/>
          <w:numId w:val="1"/>
        </w:numPr>
        <w:rPr/>
      </w:pPr>
      <w:bookmarkStart w:id="107" w:name="__RefHeading___Toc1156629_3650668749"/>
      <w:bookmarkStart w:id="108" w:name="_Toc40"/>
      <w:bookmarkEnd w:id="106"/>
      <w:bookmarkEnd w:id="107"/>
      <w:r>
        <w:rPr/>
        <w:t>36</w:t>
      </w:r>
      <w:r>
        <w:rPr>
          <w:rtl w:val="true"/>
        </w:rPr>
        <w:t xml:space="preserve">- </w:t>
      </w:r>
      <w:r>
        <w:rPr>
          <w:rtl w:val="true"/>
        </w:rPr>
        <w:t>رمى جمره جديد</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موقعيت فعلى كه جمرات توسعه يافته به هر جاى آن رمى شود 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p>
    <w:p>
      <w:pPr>
        <w:pStyle w:val="Heading3"/>
        <w:numPr>
          <w:ilvl w:val="2"/>
          <w:numId w:val="1"/>
        </w:numPr>
        <w:rPr/>
      </w:pPr>
      <w:bookmarkStart w:id="109" w:name="__RefHeading___Toc1156631_3650668749"/>
      <w:bookmarkStart w:id="110" w:name="_Toc41"/>
      <w:bookmarkEnd w:id="109"/>
      <w:r>
        <w:rPr/>
        <w:t>37</w:t>
      </w:r>
      <w:r>
        <w:rPr>
          <w:rtl w:val="true"/>
        </w:rPr>
        <w:t xml:space="preserve">- </w:t>
      </w:r>
      <w:r>
        <w:rPr>
          <w:rtl w:val="true"/>
        </w:rPr>
        <w:t>اگر به هر دليلى ذبح در روز عيد را نتوانست انجام دهد آيا مى‌تواند حلق يا تقصير كند و از احرام خارج شود</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جهت قربانى را از روز عيدتأخير انداخت مى‌تواند در روز عيد حلق يا تقصير نمايد و با اين كار از احرام خارج مى‌گردد ولى اعمال مكّه را بايد پس از قربانى كردن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قربانى را در منى تهيّه كرده</w:t>
      </w:r>
      <w:bookmarkStart w:id="111" w:name="pg1641_12371"/>
    </w:p>
    <w:p>
      <w:pPr>
        <w:pStyle w:val="BookText"/>
        <w:rPr/>
      </w:pPr>
      <w:bookmarkEnd w:id="111"/>
      <w:r>
        <w:rPr>
          <w:rFonts w:ascii="Amiri" w:hAnsi="Amiri" w:eastAsia="Amiri" w:cs="Amiri"/>
          <w:color w:val="111111"/>
          <w:sz w:val="28"/>
          <w:sz w:val="28"/>
          <w:szCs w:val="28"/>
          <w:rtl w:val="true"/>
          <w:lang w:bidi="ar-SA"/>
        </w:rPr>
        <w:t>مى‌تواند قبل از ذبح حلق يا تقصير كند ولى تا ذبح نكند مُحل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سيستانى‌</w:t>
      </w:r>
    </w:p>
    <w:p>
      <w:pPr>
        <w:pStyle w:val="Heading3"/>
        <w:numPr>
          <w:ilvl w:val="2"/>
          <w:numId w:val="1"/>
        </w:numPr>
        <w:rPr/>
      </w:pPr>
      <w:bookmarkStart w:id="112" w:name="__RefHeading___Toc1156633_3650668749"/>
      <w:bookmarkStart w:id="113" w:name="_Toc42"/>
      <w:bookmarkEnd w:id="112"/>
      <w:r>
        <w:rPr/>
        <w:t>38</w:t>
      </w:r>
      <w:r>
        <w:rPr>
          <w:rtl w:val="true"/>
        </w:rPr>
        <w:t xml:space="preserve">- </w:t>
      </w:r>
      <w:r>
        <w:rPr>
          <w:rtl w:val="true"/>
        </w:rPr>
        <w:t>زمان بيتوته در منا</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بايد شب يازدهم و شب دوازدهم ذى‌الحجّه را در منى بيتوته نمايد يعنى از اوّل شب تا بعد از نيمه شب يا قبل از نيمه شب تا طلوع فجر در منى بماند و اين بيتوته از عبادات است و بايد با قصد قربت و با نيت خالص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منا از غروب آفتاب است تا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امام خمينى، گلپايگانى، صافى، نورى</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يازدهم حاجى مخيّر است كه از</w:t>
      </w:r>
      <w:bookmarkStart w:id="114" w:name="pg1641_12372"/>
    </w:p>
    <w:p>
      <w:pPr>
        <w:pStyle w:val="BookText"/>
        <w:rPr/>
      </w:pPr>
      <w:bookmarkEnd w:id="114"/>
      <w:r>
        <w:rPr>
          <w:rFonts w:ascii="IRNazanin" w:hAnsi="IRNazanin" w:eastAsia="IRNazanin"/>
          <w:color w:val="111111"/>
          <w:sz w:val="28"/>
          <w:sz w:val="28"/>
          <w:szCs w:val="28"/>
          <w:rtl w:val="true"/>
          <w:lang w:bidi="fa-IR"/>
        </w:rPr>
        <w:t xml:space="preserve">غروب شب يازدهم تا نيمه شب در منا بماند يا هنگام طلوع فجر فقط در منى حضور داشته باشد ولى مقدار بيوته شب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سيزدهم بر كسانى كه بايد اين شب را در منى 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تا طلوع آفتاب روز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زنجانى</w:t>
      </w:r>
      <w:r>
        <w:rPr>
          <w:rFonts w:eastAsia="IRNazanin" w:cs="IRNazanin"/>
          <w:color w:val="111111"/>
          <w:sz w:val="28"/>
          <w:szCs w:val="28"/>
          <w:rtl w:val="true"/>
          <w:lang w:bidi="fa-IR"/>
        </w:rPr>
        <w:t>.</w:t>
      </w:r>
    </w:p>
    <w:p>
      <w:pPr>
        <w:pStyle w:val="Heading3"/>
        <w:numPr>
          <w:ilvl w:val="2"/>
          <w:numId w:val="1"/>
        </w:numPr>
        <w:rPr/>
      </w:pPr>
      <w:bookmarkStart w:id="115" w:name="__RefHeading___Toc1156635_3650668749"/>
      <w:bookmarkStart w:id="116" w:name="_Toc43"/>
      <w:bookmarkEnd w:id="115"/>
      <w:r>
        <w:rPr/>
        <w:t>39</w:t>
      </w:r>
      <w:r>
        <w:rPr>
          <w:rtl w:val="true"/>
        </w:rPr>
        <w:t xml:space="preserve">- </w:t>
      </w:r>
      <w:r>
        <w:rPr>
          <w:rtl w:val="true"/>
        </w:rPr>
        <w:t>فاصله دو عمره‌</w:t>
      </w:r>
      <w:bookmarkEnd w:id="11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عمره مفرده انجام دهد در يك ماه قمرى نمى‌تواند بيش از يك عمره براى خود يا ديگرى انجام دهد ولى انجام بيش از يك عمره در يك ماه به صورتى كه هر عمره براى يك نفر باشد جايز است مثل اين كه يك عمره براى خود و يكى براى ديگرى يا دو عمره براى دو نفر متفاوت</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اگر از طرف ديگران اجير بر عمره مفرده شده باشد مستحق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 دو عمره مفرده لازم نيست بلكه در يك روز مى‌تواند چند عمره مفرده بجاآورد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بهجت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افضل در عمره ثانيه آن است كه در ماه ديگرى غير ماه عمره سابقه باشد يا فاصله ده روز بين دو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بهجت، زنجانى و نورى</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بيش از يك عمره در يك ماه براى خود يا ديگرى به قصد رجاء و اميد مطلوبيت اشكال ندارد</w:t>
      </w:r>
      <w:r>
        <w:rPr>
          <w:rFonts w:eastAsia="IRNazanin" w:cs="IRNazanin"/>
          <w:color w:val="111111"/>
          <w:sz w:val="28"/>
          <w:szCs w:val="28"/>
          <w:rtl w:val="true"/>
          <w:lang w:bidi="fa-IR"/>
        </w:rPr>
        <w:t>.</w:t>
      </w:r>
      <w:bookmarkStart w:id="117" w:name="pg1641_12374"/>
    </w:p>
    <w:p>
      <w:pPr>
        <w:pStyle w:val="Heading3"/>
        <w:numPr>
          <w:ilvl w:val="2"/>
          <w:numId w:val="1"/>
        </w:numPr>
        <w:rPr/>
      </w:pPr>
      <w:bookmarkStart w:id="118" w:name="__RefHeading___Toc1156637_3650668749"/>
      <w:bookmarkStart w:id="119" w:name="_Toc44"/>
      <w:bookmarkEnd w:id="117"/>
      <w:bookmarkEnd w:id="118"/>
      <w:r>
        <w:rPr/>
        <w:t>40</w:t>
      </w:r>
      <w:r>
        <w:rPr>
          <w:rtl w:val="true"/>
        </w:rPr>
        <w:t xml:space="preserve">- </w:t>
      </w:r>
      <w:r>
        <w:rPr>
          <w:rtl w:val="true"/>
        </w:rPr>
        <w:t>فاصله بين عمره تمتع با عمره مفرده‌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حج تمتع به جا آورد مى‌تواند قبل از عمره تمتع و يا بعد از اتمام اعمال حج تمتع عمره مفرده به جا آورد اگرچه اين عمره با عمره تمتع از يك نفر بوده و در يك ماه قمرى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براى خود انجام مى‌دهد در عمره مفرد بعد از حج تمتع قصد رجاء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صافى، مكارم‌</w:t>
      </w:r>
    </w:p>
    <w:p>
      <w:pPr>
        <w:pStyle w:val="Heading3"/>
        <w:numPr>
          <w:ilvl w:val="2"/>
          <w:numId w:val="1"/>
        </w:numPr>
        <w:rPr/>
      </w:pPr>
      <w:bookmarkStart w:id="120" w:name="__RefHeading___Toc1156639_3650668749"/>
      <w:bookmarkStart w:id="121" w:name="_Toc45"/>
      <w:bookmarkEnd w:id="120"/>
      <w:r>
        <w:rPr/>
        <w:t>41</w:t>
      </w:r>
      <w:r>
        <w:rPr>
          <w:rtl w:val="true"/>
        </w:rPr>
        <w:t xml:space="preserve">- </w:t>
      </w:r>
      <w:r>
        <w:rPr>
          <w:rtl w:val="true"/>
        </w:rPr>
        <w:t>نيابت معذور با عذر طارى</w:t>
      </w:r>
      <w:bookmarkEnd w:id="12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عذرى كه در بين اعمال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طارى كه با انجام وظيفه معذور حج</w:t>
      </w:r>
    </w:p>
    <w:p>
      <w:pPr>
        <w:pStyle w:val="BookText"/>
        <w:rPr/>
      </w:pPr>
      <w:r>
        <w:rPr>
          <w:rFonts w:ascii="IRNazanin" w:hAnsi="IRNazanin" w:eastAsia="IRNazanin"/>
          <w:color w:val="111111"/>
          <w:sz w:val="28"/>
          <w:sz w:val="28"/>
          <w:szCs w:val="28"/>
          <w:rtl w:val="true"/>
          <w:lang w:bidi="fa-IR"/>
        </w:rPr>
        <w:t>صحيح است نيابت او نيز صحيح مى‌باشد هر چند عذر او قبل از احرام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مراجع عظام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نيز نيابت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عذر منجر به نقص در اعمال شود نيابت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ورود به مسجد الحرام مستحب است غسل كند و اين استحباب در خصوص دفعه اوّل نيست بلكه براى هر مرتبه ورود غسل 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 در مساجد، نماز است ولى در مسجدالحرام تحيت آن با طواف است</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نوع استفاده از قرآن‌هاى مسجد الحرام در خارج از مسجد بدون اجازه متصدى ذى‌ربط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 اجازه آنها 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شوط را نادرست انجام دهد و در وقتى كه مى‌خواهد تدارك كند محل دقيق آن مشخص نباشد، براى تدارك بايد از چند قدم جلوتر شروع كند با اين قصد كه طواف او از همانجايى كه نادرست بوده ادامه پيدا كند و بقيه مقدمه علميه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4410</Words>
  <Characters>16240</Characters>
  <CharactersWithSpaces>20359</CharactersWithSpaces>
  <Paragraphs>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2026-08-16T17:28:55Z</dcterms:created>
  <dc:creator>ghaemiyeh.com</dc:creator>
  <dc:description/>
  <dc:language>en-US</dc:language>
  <cp:lastModifiedBy/>
  <dcterms:modified xsi:type="dcterms:W3CDTF">2026-08-16T20:58:57Z</dcterms:modified>
  <cp:revision>1</cp:revision>
  <dc:subject/>
  <dc:title>گزیده جامع الفتاوی</dc:title>
</cp:coreProperties>
</file>

<file path=docProps/custom.xml><?xml version="1.0" encoding="utf-8"?>
<Properties xmlns="http://schemas.openxmlformats.org/officeDocument/2006/custom-properties" xmlns:vt="http://schemas.openxmlformats.org/officeDocument/2006/docPropsVTypes"/>
</file>