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اندیشه های کلامی شیخ طوسی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12084_3381743652">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7812086_3381743652">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7812088_3381743652">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7812090_3381743652">
            <w:r>
              <w:rPr>
                <w:webHidden/>
                <w:rStyle w:val="IndexLink"/>
                <w:rtl w:val="true"/>
              </w:rPr>
              <w:t>مقدمه</w:t>
            </w:r>
            <w:r>
              <w:rPr>
                <w:rStyle w:val="IndexLink"/>
                <w:rtl w:val="true"/>
              </w:rPr>
              <w:t xml:space="preserve">: </w:t>
            </w:r>
            <w:r>
              <w:rPr>
                <w:rStyle w:val="IndexLink"/>
                <w:rtl w:val="true"/>
              </w:rPr>
              <w:t>شیخ طوسی، فقیه و مفری خردگرای</w:t>
            </w:r>
            <w:r>
              <w:rPr>
                <w:rStyle w:val="IndexLink"/>
                <w:rtl w:val="true"/>
              </w:rPr>
              <w:tab/>
            </w:r>
            <w:r>
              <w:rPr>
                <w:rStyle w:val="IndexLink"/>
              </w:rPr>
              <w:t>27</w:t>
            </w:r>
          </w:hyperlink>
        </w:p>
        <w:p>
          <w:pPr>
            <w:pStyle w:val="Contents2"/>
            <w:tabs>
              <w:tab w:val="clear" w:pos="8743"/>
              <w:tab w:val="right" w:pos="9026" w:leader="dot"/>
            </w:tabs>
            <w:rPr/>
          </w:pPr>
          <w:hyperlink w:anchor="__RefHeading___Toc7812092_3381743652">
            <w:r>
              <w:rPr>
                <w:webHidden/>
                <w:rStyle w:val="IndexLink"/>
                <w:rtl w:val="true"/>
              </w:rPr>
              <w:t>ایمان و کفر</w:t>
            </w:r>
            <w:r>
              <w:rPr>
                <w:rStyle w:val="IndexLink"/>
                <w:rtl w:val="true"/>
              </w:rPr>
              <w:tab/>
            </w:r>
            <w:r>
              <w:rPr>
                <w:rStyle w:val="IndexLink"/>
              </w:rPr>
              <w:t>35</w:t>
            </w:r>
          </w:hyperlink>
        </w:p>
        <w:p>
          <w:pPr>
            <w:pStyle w:val="Contents3"/>
            <w:tabs>
              <w:tab w:val="clear" w:pos="8459"/>
              <w:tab w:val="right" w:pos="9026" w:leader="dot"/>
            </w:tabs>
            <w:rPr/>
          </w:pPr>
          <w:hyperlink w:anchor="__RefHeading___Toc7812094_3381743652">
            <w:r>
              <w:rPr>
                <w:webHidden/>
                <w:rStyle w:val="IndexLink"/>
                <w:rtl w:val="true"/>
              </w:rPr>
              <w:t>مقدمه</w:t>
            </w:r>
            <w:r>
              <w:rPr>
                <w:rStyle w:val="IndexLink"/>
                <w:rtl w:val="true"/>
              </w:rPr>
              <w:tab/>
            </w:r>
            <w:r>
              <w:rPr>
                <w:rStyle w:val="IndexLink"/>
              </w:rPr>
              <w:t>35</w:t>
            </w:r>
          </w:hyperlink>
        </w:p>
        <w:p>
          <w:pPr>
            <w:pStyle w:val="Contents3"/>
            <w:tabs>
              <w:tab w:val="clear" w:pos="8459"/>
              <w:tab w:val="right" w:pos="9026" w:leader="dot"/>
            </w:tabs>
            <w:rPr/>
          </w:pPr>
          <w:hyperlink w:anchor="__RefHeading___Toc7812096_3381743652">
            <w:r>
              <w:rPr>
                <w:webHidden/>
                <w:rStyle w:val="IndexLink"/>
                <w:rtl w:val="true"/>
              </w:rPr>
              <w:t>معنای ایمان در لغت</w:t>
            </w:r>
            <w:r>
              <w:rPr>
                <w:rStyle w:val="IndexLink"/>
                <w:rtl w:val="true"/>
              </w:rPr>
              <w:tab/>
            </w:r>
            <w:r>
              <w:rPr>
                <w:rStyle w:val="IndexLink"/>
              </w:rPr>
              <w:t>36</w:t>
            </w:r>
          </w:hyperlink>
        </w:p>
        <w:p>
          <w:pPr>
            <w:pStyle w:val="Contents3"/>
            <w:tabs>
              <w:tab w:val="clear" w:pos="8459"/>
              <w:tab w:val="right" w:pos="9026" w:leader="dot"/>
            </w:tabs>
            <w:rPr/>
          </w:pPr>
          <w:hyperlink w:anchor="__RefHeading___Toc7812098_3381743652">
            <w:r>
              <w:rPr>
                <w:webHidden/>
                <w:rStyle w:val="IndexLink"/>
                <w:rtl w:val="true"/>
              </w:rPr>
              <w:t>معنای کفر در لغت</w:t>
            </w:r>
            <w:r>
              <w:rPr>
                <w:rStyle w:val="IndexLink"/>
                <w:rtl w:val="true"/>
              </w:rPr>
              <w:tab/>
            </w:r>
            <w:r>
              <w:rPr>
                <w:rStyle w:val="IndexLink"/>
              </w:rPr>
              <w:t>37</w:t>
            </w:r>
          </w:hyperlink>
        </w:p>
        <w:p>
          <w:pPr>
            <w:pStyle w:val="Contents3"/>
            <w:tabs>
              <w:tab w:val="clear" w:pos="8459"/>
              <w:tab w:val="right" w:pos="9026" w:leader="dot"/>
            </w:tabs>
            <w:rPr/>
          </w:pPr>
          <w:hyperlink w:anchor="__RefHeading___Toc7812100_3381743652">
            <w:r>
              <w:rPr>
                <w:webHidden/>
                <w:rStyle w:val="IndexLink"/>
                <w:rtl w:val="true"/>
              </w:rPr>
              <w:t>تطورکلامی مفهوم ایمان</w:t>
            </w:r>
            <w:r>
              <w:rPr>
                <w:rStyle w:val="IndexLink"/>
                <w:rtl w:val="true"/>
              </w:rPr>
              <w:tab/>
            </w:r>
            <w:r>
              <w:rPr>
                <w:rStyle w:val="IndexLink"/>
              </w:rPr>
              <w:t>37</w:t>
            </w:r>
          </w:hyperlink>
        </w:p>
        <w:p>
          <w:pPr>
            <w:pStyle w:val="Contents3"/>
            <w:tabs>
              <w:tab w:val="clear" w:pos="8459"/>
              <w:tab w:val="right" w:pos="9026" w:leader="dot"/>
            </w:tabs>
            <w:rPr/>
          </w:pPr>
          <w:hyperlink w:anchor="__RefHeading___Toc7812102_3381743652">
            <w:r>
              <w:rPr>
                <w:webHidden/>
                <w:rStyle w:val="IndexLink"/>
                <w:rtl w:val="true"/>
              </w:rPr>
              <w:t>ساختار معنی شناختی ایمان</w:t>
            </w:r>
            <w:r>
              <w:rPr>
                <w:rStyle w:val="IndexLink"/>
                <w:rtl w:val="true"/>
              </w:rPr>
              <w:tab/>
            </w:r>
            <w:r>
              <w:rPr>
                <w:rStyle w:val="IndexLink"/>
              </w:rPr>
              <w:t>40</w:t>
            </w:r>
          </w:hyperlink>
        </w:p>
        <w:p>
          <w:pPr>
            <w:pStyle w:val="Contents3"/>
            <w:tabs>
              <w:tab w:val="clear" w:pos="8459"/>
              <w:tab w:val="right" w:pos="9026" w:leader="dot"/>
            </w:tabs>
            <w:rPr/>
          </w:pPr>
          <w:hyperlink w:anchor="__RefHeading___Toc7812104_3381743652">
            <w:r>
              <w:rPr>
                <w:webHidden/>
                <w:rStyle w:val="IndexLink"/>
                <w:rtl w:val="true"/>
              </w:rPr>
              <w:t>حقیقت ایمان</w:t>
            </w:r>
            <w:r>
              <w:rPr>
                <w:rStyle w:val="IndexLink"/>
                <w:rtl w:val="true"/>
              </w:rPr>
              <w:tab/>
            </w:r>
            <w:r>
              <w:rPr>
                <w:rStyle w:val="IndexLink"/>
              </w:rPr>
              <w:t>40</w:t>
            </w:r>
          </w:hyperlink>
        </w:p>
        <w:p>
          <w:pPr>
            <w:pStyle w:val="Contents3"/>
            <w:tabs>
              <w:tab w:val="clear" w:pos="8459"/>
              <w:tab w:val="right" w:pos="9026" w:leader="dot"/>
            </w:tabs>
            <w:rPr/>
          </w:pPr>
          <w:hyperlink w:anchor="__RefHeading___Toc7812106_3381743652">
            <w:r>
              <w:rPr>
                <w:webHidden/>
                <w:rStyle w:val="IndexLink"/>
                <w:rtl w:val="true"/>
              </w:rPr>
              <w:t>تمایز معرفت و تصدیق</w:t>
            </w:r>
            <w:r>
              <w:rPr>
                <w:rStyle w:val="IndexLink"/>
                <w:rtl w:val="true"/>
              </w:rPr>
              <w:tab/>
            </w:r>
            <w:r>
              <w:rPr>
                <w:rStyle w:val="IndexLink"/>
              </w:rPr>
              <w:t>41</w:t>
            </w:r>
          </w:hyperlink>
        </w:p>
        <w:p>
          <w:pPr>
            <w:pStyle w:val="Contents3"/>
            <w:tabs>
              <w:tab w:val="clear" w:pos="8459"/>
              <w:tab w:val="right" w:pos="9026" w:leader="dot"/>
            </w:tabs>
            <w:rPr/>
          </w:pPr>
          <w:hyperlink w:anchor="__RefHeading___Toc7812108_3381743652">
            <w:r>
              <w:rPr>
                <w:webHidden/>
                <w:rStyle w:val="IndexLink"/>
                <w:rtl w:val="true"/>
              </w:rPr>
              <w:t>طاعت انگاری ایمان</w:t>
            </w:r>
            <w:r>
              <w:rPr>
                <w:rStyle w:val="IndexLink"/>
                <w:rtl w:val="true"/>
              </w:rPr>
              <w:tab/>
            </w:r>
            <w:r>
              <w:rPr>
                <w:rStyle w:val="IndexLink"/>
              </w:rPr>
              <w:t>42</w:t>
            </w:r>
          </w:hyperlink>
        </w:p>
        <w:p>
          <w:pPr>
            <w:pStyle w:val="Contents3"/>
            <w:tabs>
              <w:tab w:val="clear" w:pos="8459"/>
              <w:tab w:val="right" w:pos="9026" w:leader="dot"/>
            </w:tabs>
            <w:rPr/>
          </w:pPr>
          <w:hyperlink w:anchor="__RefHeading___Toc7812110_3381743652">
            <w:r>
              <w:rPr>
                <w:webHidden/>
                <w:rStyle w:val="IndexLink"/>
                <w:rtl w:val="true"/>
              </w:rPr>
              <w:t>روی آورد خوارج</w:t>
            </w:r>
            <w:r>
              <w:rPr>
                <w:rStyle w:val="IndexLink"/>
                <w:rtl w:val="true"/>
              </w:rPr>
              <w:tab/>
            </w:r>
            <w:r>
              <w:rPr>
                <w:rStyle w:val="IndexLink"/>
              </w:rPr>
              <w:t>42</w:t>
            </w:r>
          </w:hyperlink>
        </w:p>
        <w:p>
          <w:pPr>
            <w:pStyle w:val="Contents3"/>
            <w:tabs>
              <w:tab w:val="clear" w:pos="8459"/>
              <w:tab w:val="right" w:pos="9026" w:leader="dot"/>
            </w:tabs>
            <w:rPr/>
          </w:pPr>
          <w:hyperlink w:anchor="__RefHeading___Toc7812112_3381743652">
            <w:r>
              <w:rPr>
                <w:webHidden/>
                <w:rStyle w:val="IndexLink"/>
                <w:rtl w:val="true"/>
              </w:rPr>
              <w:t>روی آورد معتزله</w:t>
            </w:r>
            <w:r>
              <w:rPr>
                <w:rStyle w:val="IndexLink"/>
                <w:rtl w:val="true"/>
              </w:rPr>
              <w:tab/>
            </w:r>
            <w:r>
              <w:rPr>
                <w:rStyle w:val="IndexLink"/>
              </w:rPr>
              <w:t>43</w:t>
            </w:r>
          </w:hyperlink>
        </w:p>
        <w:p>
          <w:pPr>
            <w:pStyle w:val="Contents3"/>
            <w:tabs>
              <w:tab w:val="clear" w:pos="8459"/>
              <w:tab w:val="right" w:pos="9026" w:leader="dot"/>
            </w:tabs>
            <w:rPr/>
          </w:pPr>
          <w:hyperlink w:anchor="__RefHeading___Toc7812114_3381743652">
            <w:r>
              <w:rPr>
                <w:webHidden/>
                <w:rStyle w:val="IndexLink"/>
                <w:rtl w:val="true"/>
              </w:rPr>
              <w:t>معنای کفر از دید معتزله</w:t>
            </w:r>
            <w:r>
              <w:rPr>
                <w:rStyle w:val="IndexLink"/>
                <w:rtl w:val="true"/>
              </w:rPr>
              <w:tab/>
            </w:r>
            <w:r>
              <w:rPr>
                <w:rStyle w:val="IndexLink"/>
              </w:rPr>
              <w:t>44</w:t>
            </w:r>
          </w:hyperlink>
        </w:p>
        <w:p>
          <w:pPr>
            <w:pStyle w:val="Contents3"/>
            <w:tabs>
              <w:tab w:val="clear" w:pos="8459"/>
              <w:tab w:val="right" w:pos="9026" w:leader="dot"/>
            </w:tabs>
            <w:rPr/>
          </w:pPr>
          <w:hyperlink w:anchor="__RefHeading___Toc7812116_3381743652">
            <w:r>
              <w:rPr>
                <w:webHidden/>
                <w:rStyle w:val="IndexLink"/>
                <w:rtl w:val="true"/>
              </w:rPr>
              <w:t>روی آورد مرجئه</w:t>
            </w:r>
            <w:r>
              <w:rPr>
                <w:rStyle w:val="IndexLink"/>
                <w:rtl w:val="true"/>
              </w:rPr>
              <w:tab/>
            </w:r>
            <w:r>
              <w:rPr>
                <w:rStyle w:val="IndexLink"/>
              </w:rPr>
              <w:t>45</w:t>
            </w:r>
          </w:hyperlink>
        </w:p>
        <w:p>
          <w:pPr>
            <w:pStyle w:val="Contents4"/>
            <w:tabs>
              <w:tab w:val="clear" w:pos="8176"/>
              <w:tab w:val="right" w:pos="9026" w:leader="dot"/>
            </w:tabs>
            <w:rPr/>
          </w:pPr>
          <w:hyperlink w:anchor="__RefHeading___Toc7812118_3381743652">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7812120_3381743652">
            <w:r>
              <w:rPr>
                <w:webHidden/>
                <w:rStyle w:val="IndexLink"/>
              </w:rPr>
              <w:t>١</w:t>
            </w:r>
            <w:r>
              <w:rPr>
                <w:rStyle w:val="IndexLink"/>
                <w:rtl w:val="true"/>
              </w:rPr>
              <w:t xml:space="preserve">. </w:t>
            </w:r>
            <w:r>
              <w:rPr>
                <w:rStyle w:val="IndexLink"/>
                <w:rtl w:val="true"/>
              </w:rPr>
              <w:t xml:space="preserve">معرفت انگاری ایمان </w:t>
            </w:r>
            <w:r>
              <w:rPr>
                <w:rStyle w:val="IndexLink"/>
                <w:rtl w:val="true"/>
              </w:rPr>
              <w:t>(</w:t>
            </w:r>
            <w:r>
              <w:rPr>
                <w:rStyle w:val="IndexLink"/>
                <w:rtl w:val="true"/>
              </w:rPr>
              <w:t>روی آورد جهمیه</w:t>
            </w:r>
            <w:r>
              <w:rPr>
                <w:rStyle w:val="IndexLink"/>
                <w:rtl w:val="true"/>
              </w:rPr>
              <w:t>)</w:t>
              <w:tab/>
            </w:r>
            <w:r>
              <w:rPr>
                <w:rStyle w:val="IndexLink"/>
              </w:rPr>
              <w:t>45</w:t>
            </w:r>
          </w:hyperlink>
        </w:p>
        <w:p>
          <w:pPr>
            <w:pStyle w:val="Contents4"/>
            <w:tabs>
              <w:tab w:val="clear" w:pos="8176"/>
              <w:tab w:val="right" w:pos="9026" w:leader="dot"/>
            </w:tabs>
            <w:rPr/>
          </w:pPr>
          <w:hyperlink w:anchor="__RefHeading___Toc7812122_3381743652">
            <w:r>
              <w:rPr>
                <w:webHidden/>
                <w:rStyle w:val="IndexLink"/>
              </w:rPr>
              <w:t>٢</w:t>
            </w:r>
            <w:r>
              <w:rPr>
                <w:rStyle w:val="IndexLink"/>
                <w:rtl w:val="true"/>
              </w:rPr>
              <w:t xml:space="preserve">. </w:t>
            </w:r>
            <w:r>
              <w:rPr>
                <w:rStyle w:val="IndexLink"/>
                <w:rtl w:val="true"/>
              </w:rPr>
              <w:t xml:space="preserve">اقرارانگاری ایمان </w:t>
            </w:r>
            <w:r>
              <w:rPr>
                <w:rStyle w:val="IndexLink"/>
                <w:rtl w:val="true"/>
              </w:rPr>
              <w:t>(</w:t>
            </w:r>
            <w:r>
              <w:rPr>
                <w:rStyle w:val="IndexLink"/>
                <w:rtl w:val="true"/>
              </w:rPr>
              <w:t>روی آورد کرامیه</w:t>
            </w:r>
            <w:r>
              <w:rPr>
                <w:rStyle w:val="IndexLink"/>
                <w:rtl w:val="true"/>
              </w:rPr>
              <w:t>)</w:t>
              <w:tab/>
            </w:r>
            <w:r>
              <w:rPr>
                <w:rStyle w:val="IndexLink"/>
              </w:rPr>
              <w:t>45</w:t>
            </w:r>
          </w:hyperlink>
        </w:p>
        <w:p>
          <w:pPr>
            <w:pStyle w:val="Contents3"/>
            <w:tabs>
              <w:tab w:val="clear" w:pos="8459"/>
              <w:tab w:val="right" w:pos="9026" w:leader="dot"/>
            </w:tabs>
            <w:rPr/>
          </w:pPr>
          <w:hyperlink w:anchor="__RefHeading___Toc7812124_3381743652">
            <w:r>
              <w:rPr>
                <w:webHidden/>
                <w:rStyle w:val="IndexLink"/>
                <w:rtl w:val="true"/>
              </w:rPr>
              <w:t>تصدیق انگاری ایمان</w:t>
            </w:r>
            <w:r>
              <w:rPr>
                <w:rStyle w:val="IndexLink"/>
                <w:rtl w:val="true"/>
              </w:rPr>
              <w:tab/>
            </w:r>
            <w:r>
              <w:rPr>
                <w:rStyle w:val="IndexLink"/>
              </w:rPr>
              <w:t>46</w:t>
            </w:r>
          </w:hyperlink>
        </w:p>
        <w:p>
          <w:pPr>
            <w:pStyle w:val="Contents4"/>
            <w:tabs>
              <w:tab w:val="clear" w:pos="8176"/>
              <w:tab w:val="right" w:pos="9026" w:leader="dot"/>
            </w:tabs>
            <w:rPr/>
          </w:pPr>
          <w:hyperlink w:anchor="__RefHeading___Toc7812126_3381743652">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7812128_3381743652">
            <w:r>
              <w:rPr>
                <w:webHidden/>
                <w:rStyle w:val="IndexLink"/>
                <w:rtl w:val="true"/>
              </w:rPr>
              <w:t>رویکرد اشعری ها</w:t>
            </w:r>
            <w:r>
              <w:rPr>
                <w:rStyle w:val="IndexLink"/>
                <w:rtl w:val="true"/>
              </w:rPr>
              <w:tab/>
            </w:r>
            <w:r>
              <w:rPr>
                <w:rStyle w:val="IndexLink"/>
              </w:rPr>
              <w:t>46</w:t>
            </w:r>
          </w:hyperlink>
        </w:p>
        <w:p>
          <w:pPr>
            <w:pStyle w:val="Contents4"/>
            <w:tabs>
              <w:tab w:val="clear" w:pos="8176"/>
              <w:tab w:val="right" w:pos="9026" w:leader="dot"/>
            </w:tabs>
            <w:rPr/>
          </w:pPr>
          <w:hyperlink w:anchor="__RefHeading___Toc7812130_3381743652">
            <w:r>
              <w:rPr>
                <w:webHidden/>
                <w:rStyle w:val="IndexLink"/>
                <w:rtl w:val="true"/>
              </w:rPr>
              <w:t>روی آورد امامیه</w:t>
            </w:r>
            <w:r>
              <w:rPr>
                <w:rStyle w:val="IndexLink"/>
                <w:rtl w:val="true"/>
              </w:rPr>
              <w:tab/>
            </w:r>
            <w:r>
              <w:rPr>
                <w:rStyle w:val="IndexLink"/>
              </w:rPr>
              <w:t>47</w:t>
            </w:r>
          </w:hyperlink>
        </w:p>
        <w:p>
          <w:pPr>
            <w:pStyle w:val="Contents4"/>
            <w:tabs>
              <w:tab w:val="clear" w:pos="8176"/>
              <w:tab w:val="right" w:pos="9026" w:leader="dot"/>
            </w:tabs>
            <w:rPr/>
          </w:pPr>
          <w:hyperlink w:anchor="__RefHeading___Toc7812132_3381743652">
            <w:r>
              <w:rPr>
                <w:webHidden/>
                <w:rStyle w:val="IndexLink"/>
                <w:rtl w:val="true"/>
              </w:rPr>
              <w:t>روی آورد شیخ</w:t>
            </w:r>
            <w:r>
              <w:rPr>
                <w:rStyle w:val="IndexLink"/>
                <w:rtl w:val="true"/>
              </w:rPr>
              <w:tab/>
            </w:r>
            <w:r>
              <w:rPr>
                <w:rStyle w:val="IndexLink"/>
              </w:rPr>
              <w:t>50</w:t>
            </w:r>
          </w:hyperlink>
        </w:p>
        <w:p>
          <w:pPr>
            <w:pStyle w:val="Contents4"/>
            <w:tabs>
              <w:tab w:val="clear" w:pos="8176"/>
              <w:tab w:val="right" w:pos="9026" w:leader="dot"/>
            </w:tabs>
            <w:rPr/>
          </w:pPr>
          <w:hyperlink w:anchor="__RefHeading___Toc7812134_3381743652">
            <w:r>
              <w:rPr>
                <w:webHidden/>
                <w:rStyle w:val="IndexLink"/>
                <w:rtl w:val="true"/>
              </w:rPr>
              <w:t>تعریف فسق</w:t>
            </w:r>
            <w:r>
              <w:rPr>
                <w:rStyle w:val="IndexLink"/>
                <w:rtl w:val="true"/>
              </w:rPr>
              <w:tab/>
            </w:r>
            <w:r>
              <w:rPr>
                <w:rStyle w:val="IndexLink"/>
              </w:rPr>
              <w:t>50</w:t>
            </w:r>
          </w:hyperlink>
        </w:p>
        <w:p>
          <w:pPr>
            <w:pStyle w:val="Contents4"/>
            <w:tabs>
              <w:tab w:val="clear" w:pos="8176"/>
              <w:tab w:val="right" w:pos="9026" w:leader="dot"/>
            </w:tabs>
            <w:rPr/>
          </w:pPr>
          <w:hyperlink w:anchor="__RefHeading___Toc7812136_3381743652">
            <w:r>
              <w:rPr>
                <w:webHidden/>
                <w:rStyle w:val="IndexLink"/>
                <w:rtl w:val="true"/>
              </w:rPr>
              <w:t>تعریف نفاق</w:t>
            </w:r>
            <w:r>
              <w:rPr>
                <w:rStyle w:val="IndexLink"/>
                <w:rtl w:val="true"/>
              </w:rPr>
              <w:tab/>
            </w:r>
            <w:r>
              <w:rPr>
                <w:rStyle w:val="IndexLink"/>
              </w:rPr>
              <w:t>50</w:t>
            </w:r>
          </w:hyperlink>
        </w:p>
        <w:p>
          <w:pPr>
            <w:pStyle w:val="Contents4"/>
            <w:tabs>
              <w:tab w:val="clear" w:pos="8176"/>
              <w:tab w:val="right" w:pos="9026" w:leader="dot"/>
            </w:tabs>
            <w:rPr/>
          </w:pPr>
          <w:hyperlink w:anchor="__RefHeading___Toc7812138_3381743652">
            <w:r>
              <w:rPr>
                <w:webHidden/>
                <w:rStyle w:val="IndexLink"/>
                <w:rtl w:val="true"/>
              </w:rPr>
              <w:t>ادله شیخ</w:t>
            </w:r>
            <w:r>
              <w:rPr>
                <w:rStyle w:val="IndexLink"/>
                <w:rtl w:val="true"/>
              </w:rPr>
              <w:tab/>
            </w:r>
            <w:r>
              <w:rPr>
                <w:rStyle w:val="IndexLink"/>
              </w:rPr>
              <w:t>53</w:t>
            </w:r>
          </w:hyperlink>
        </w:p>
        <w:p>
          <w:pPr>
            <w:pStyle w:val="Contents4"/>
            <w:tabs>
              <w:tab w:val="clear" w:pos="8176"/>
              <w:tab w:val="right" w:pos="9026" w:leader="dot"/>
            </w:tabs>
            <w:rPr/>
          </w:pPr>
          <w:hyperlink w:anchor="__RefHeading___Toc7812140_3381743652">
            <w:r>
              <w:rPr>
                <w:webHidden/>
                <w:rStyle w:val="IndexLink"/>
                <w:rtl w:val="true"/>
              </w:rPr>
              <w:t>شبهات و پاسخها</w:t>
            </w:r>
            <w:r>
              <w:rPr>
                <w:rStyle w:val="IndexLink"/>
                <w:rtl w:val="true"/>
              </w:rPr>
              <w:tab/>
            </w:r>
            <w:r>
              <w:rPr>
                <w:rStyle w:val="IndexLink"/>
              </w:rPr>
              <w:t>55</w:t>
            </w:r>
          </w:hyperlink>
        </w:p>
        <w:p>
          <w:pPr>
            <w:pStyle w:val="Contents3"/>
            <w:tabs>
              <w:tab w:val="clear" w:pos="8459"/>
              <w:tab w:val="right" w:pos="9026" w:leader="dot"/>
            </w:tabs>
            <w:rPr/>
          </w:pPr>
          <w:hyperlink w:anchor="__RefHeading___Toc7812142_3381743652">
            <w:r>
              <w:rPr>
                <w:webHidden/>
                <w:rStyle w:val="IndexLink"/>
                <w:rtl w:val="true"/>
              </w:rPr>
              <w:t>متعلق ایمان</w:t>
            </w:r>
            <w:r>
              <w:rPr>
                <w:rStyle w:val="IndexLink"/>
                <w:rtl w:val="true"/>
              </w:rPr>
              <w:tab/>
            </w:r>
            <w:r>
              <w:rPr>
                <w:rStyle w:val="IndexLink"/>
              </w:rPr>
              <w:t>56</w:t>
            </w:r>
          </w:hyperlink>
        </w:p>
        <w:p>
          <w:pPr>
            <w:pStyle w:val="Contents3"/>
            <w:tabs>
              <w:tab w:val="clear" w:pos="8459"/>
              <w:tab w:val="right" w:pos="9026" w:leader="dot"/>
            </w:tabs>
            <w:rPr/>
          </w:pPr>
          <w:hyperlink w:anchor="__RefHeading___Toc7812144_3381743652">
            <w:r>
              <w:rPr>
                <w:webHidden/>
                <w:rStyle w:val="IndexLink"/>
                <w:rtl w:val="true"/>
              </w:rPr>
              <w:t>جایگاه ایمان</w:t>
            </w:r>
            <w:r>
              <w:rPr>
                <w:rStyle w:val="IndexLink"/>
                <w:rtl w:val="true"/>
              </w:rPr>
              <w:tab/>
            </w:r>
            <w:r>
              <w:rPr>
                <w:rStyle w:val="IndexLink"/>
              </w:rPr>
              <w:t>57</w:t>
            </w:r>
          </w:hyperlink>
        </w:p>
        <w:p>
          <w:pPr>
            <w:pStyle w:val="Contents3"/>
            <w:tabs>
              <w:tab w:val="clear" w:pos="8459"/>
              <w:tab w:val="right" w:pos="9026" w:leader="dot"/>
            </w:tabs>
            <w:rPr/>
          </w:pPr>
          <w:hyperlink w:anchor="__RefHeading___Toc7812146_3381743652">
            <w:r>
              <w:rPr>
                <w:webHidden/>
                <w:rStyle w:val="IndexLink"/>
                <w:rtl w:val="true"/>
              </w:rPr>
              <w:t>خلق ایمان</w:t>
            </w:r>
            <w:r>
              <w:rPr>
                <w:rStyle w:val="IndexLink"/>
                <w:rtl w:val="true"/>
              </w:rPr>
              <w:tab/>
            </w:r>
            <w:r>
              <w:rPr>
                <w:rStyle w:val="IndexLink"/>
              </w:rPr>
              <w:t>58</w:t>
            </w:r>
          </w:hyperlink>
        </w:p>
        <w:p>
          <w:pPr>
            <w:pStyle w:val="Contents3"/>
            <w:tabs>
              <w:tab w:val="clear" w:pos="8459"/>
              <w:tab w:val="right" w:pos="9026" w:leader="dot"/>
            </w:tabs>
            <w:rPr/>
          </w:pPr>
          <w:hyperlink w:anchor="__RefHeading___Toc7812148_3381743652">
            <w:r>
              <w:rPr>
                <w:webHidden/>
                <w:rStyle w:val="IndexLink"/>
                <w:rtl w:val="true"/>
              </w:rPr>
              <w:t>حقیقت کفر</w:t>
            </w:r>
            <w:r>
              <w:rPr>
                <w:rStyle w:val="IndexLink"/>
                <w:rtl w:val="true"/>
              </w:rPr>
              <w:tab/>
            </w:r>
            <w:r>
              <w:rPr>
                <w:rStyle w:val="IndexLink"/>
              </w:rPr>
              <w:t>59</w:t>
            </w:r>
          </w:hyperlink>
        </w:p>
        <w:p>
          <w:pPr>
            <w:pStyle w:val="Contents4"/>
            <w:tabs>
              <w:tab w:val="clear" w:pos="8176"/>
              <w:tab w:val="right" w:pos="9026" w:leader="dot"/>
            </w:tabs>
            <w:rPr/>
          </w:pPr>
          <w:hyperlink w:anchor="__RefHeading___Toc7812150_3381743652">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7812152_3381743652">
            <w:r>
              <w:rPr>
                <w:webHidden/>
                <w:rStyle w:val="IndexLink"/>
                <w:rtl w:val="true"/>
              </w:rPr>
              <w:t>احکام مؤمنان و کافران</w:t>
            </w:r>
            <w:r>
              <w:rPr>
                <w:rStyle w:val="IndexLink"/>
                <w:rtl w:val="true"/>
              </w:rPr>
              <w:tab/>
            </w:r>
            <w:r>
              <w:rPr>
                <w:rStyle w:val="IndexLink"/>
              </w:rPr>
              <w:t>60</w:t>
            </w:r>
          </w:hyperlink>
        </w:p>
        <w:p>
          <w:pPr>
            <w:pStyle w:val="Contents3"/>
            <w:tabs>
              <w:tab w:val="clear" w:pos="8459"/>
              <w:tab w:val="right" w:pos="9026" w:leader="dot"/>
            </w:tabs>
            <w:rPr/>
          </w:pPr>
          <w:hyperlink w:anchor="__RefHeading___Toc7812154_3381743652">
            <w:r>
              <w:rPr>
                <w:webHidden/>
                <w:rStyle w:val="IndexLink"/>
                <w:rtl w:val="true"/>
              </w:rPr>
              <w:t>مرتکب کبیره</w:t>
            </w:r>
            <w:r>
              <w:rPr>
                <w:rStyle w:val="IndexLink"/>
                <w:rtl w:val="true"/>
              </w:rPr>
              <w:tab/>
            </w:r>
            <w:r>
              <w:rPr>
                <w:rStyle w:val="IndexLink"/>
              </w:rPr>
              <w:t>61</w:t>
            </w:r>
          </w:hyperlink>
        </w:p>
        <w:p>
          <w:pPr>
            <w:pStyle w:val="Contents4"/>
            <w:tabs>
              <w:tab w:val="clear" w:pos="8176"/>
              <w:tab w:val="right" w:pos="9026" w:leader="dot"/>
            </w:tabs>
            <w:rPr/>
          </w:pPr>
          <w:hyperlink w:anchor="__RefHeading___Toc7812156_3381743652">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7812158_3381743652">
            <w:r>
              <w:rPr>
                <w:webHidden/>
                <w:rStyle w:val="IndexLink"/>
                <w:rtl w:val="true"/>
              </w:rPr>
              <w:t>مرتکب کبیره، مؤمن است یا کافر</w:t>
            </w:r>
            <w:r>
              <w:rPr>
                <w:rStyle w:val="IndexLink"/>
                <w:rtl w:val="true"/>
              </w:rPr>
              <w:tab/>
            </w:r>
            <w:r>
              <w:rPr>
                <w:rStyle w:val="IndexLink"/>
              </w:rPr>
              <w:t>63</w:t>
            </w:r>
          </w:hyperlink>
        </w:p>
        <w:p>
          <w:pPr>
            <w:pStyle w:val="Contents4"/>
            <w:tabs>
              <w:tab w:val="clear" w:pos="8176"/>
              <w:tab w:val="right" w:pos="9026" w:leader="dot"/>
            </w:tabs>
            <w:rPr/>
          </w:pPr>
          <w:hyperlink w:anchor="__RefHeading___Toc7812160_3381743652">
            <w:r>
              <w:rPr>
                <w:webHidden/>
                <w:rStyle w:val="IndexLink"/>
                <w:rtl w:val="true"/>
              </w:rPr>
              <w:t>دیدگاه خوارج و پاسخ شیخ</w:t>
            </w:r>
            <w:r>
              <w:rPr>
                <w:rStyle w:val="IndexLink"/>
                <w:rtl w:val="true"/>
              </w:rPr>
              <w:tab/>
            </w:r>
            <w:r>
              <w:rPr>
                <w:rStyle w:val="IndexLink"/>
              </w:rPr>
              <w:t>63</w:t>
            </w:r>
          </w:hyperlink>
        </w:p>
        <w:p>
          <w:pPr>
            <w:pStyle w:val="Contents4"/>
            <w:tabs>
              <w:tab w:val="clear" w:pos="8176"/>
              <w:tab w:val="right" w:pos="9026" w:leader="dot"/>
            </w:tabs>
            <w:rPr/>
          </w:pPr>
          <w:hyperlink w:anchor="__RefHeading___Toc7812162_3381743652">
            <w:r>
              <w:rPr>
                <w:webHidden/>
                <w:rStyle w:val="IndexLink"/>
                <w:rtl w:val="true"/>
              </w:rPr>
              <w:t>ادله نقلی خوارج بر کافر انگاشتن مرتکب کبیره</w:t>
            </w:r>
            <w:r>
              <w:rPr>
                <w:rStyle w:val="IndexLink"/>
                <w:rtl w:val="true"/>
              </w:rPr>
              <w:tab/>
            </w:r>
            <w:r>
              <w:rPr>
                <w:rStyle w:val="IndexLink"/>
              </w:rPr>
              <w:t>64</w:t>
            </w:r>
          </w:hyperlink>
        </w:p>
        <w:p>
          <w:pPr>
            <w:pStyle w:val="Contents3"/>
            <w:tabs>
              <w:tab w:val="clear" w:pos="8459"/>
              <w:tab w:val="right" w:pos="9026" w:leader="dot"/>
            </w:tabs>
            <w:rPr/>
          </w:pPr>
          <w:hyperlink w:anchor="__RefHeading___Toc7812164_3381743652">
            <w:r>
              <w:rPr>
                <w:webHidden/>
                <w:rStyle w:val="IndexLink"/>
                <w:rtl w:val="true"/>
              </w:rPr>
              <w:t>اصل منزلة بین المنزلتین و پاسخ شیخ</w:t>
            </w:r>
            <w:r>
              <w:rPr>
                <w:rStyle w:val="IndexLink"/>
                <w:rtl w:val="true"/>
              </w:rPr>
              <w:tab/>
            </w:r>
            <w:r>
              <w:rPr>
                <w:rStyle w:val="IndexLink"/>
              </w:rPr>
              <w:t>66</w:t>
            </w:r>
          </w:hyperlink>
        </w:p>
        <w:p>
          <w:pPr>
            <w:pStyle w:val="Contents4"/>
            <w:tabs>
              <w:tab w:val="clear" w:pos="8176"/>
              <w:tab w:val="right" w:pos="9026" w:leader="dot"/>
            </w:tabs>
            <w:rPr/>
          </w:pPr>
          <w:hyperlink w:anchor="__RefHeading___Toc7812166_3381743652">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7812168_3381743652">
            <w:r>
              <w:rPr>
                <w:webHidden/>
                <w:rStyle w:val="IndexLink"/>
                <w:rtl w:val="true"/>
              </w:rPr>
              <w:t>حکم مخالفان اصل منزلة بین المنزلتین</w:t>
            </w:r>
            <w:r>
              <w:rPr>
                <w:rStyle w:val="IndexLink"/>
                <w:rtl w:val="true"/>
              </w:rPr>
              <w:tab/>
            </w:r>
            <w:r>
              <w:rPr>
                <w:rStyle w:val="IndexLink"/>
              </w:rPr>
              <w:t>67</w:t>
            </w:r>
          </w:hyperlink>
        </w:p>
        <w:p>
          <w:pPr>
            <w:pStyle w:val="Contents4"/>
            <w:tabs>
              <w:tab w:val="clear" w:pos="8176"/>
              <w:tab w:val="right" w:pos="9026" w:leader="dot"/>
            </w:tabs>
            <w:rPr/>
          </w:pPr>
          <w:hyperlink w:anchor="__RefHeading___Toc7812170_3381743652">
            <w:r>
              <w:rPr>
                <w:webHidden/>
                <w:rStyle w:val="IndexLink"/>
                <w:rtl w:val="true"/>
              </w:rPr>
              <w:t>ادله اصل منزلة بین المنزلتین</w:t>
            </w:r>
            <w:r>
              <w:rPr>
                <w:rStyle w:val="IndexLink"/>
                <w:rtl w:val="true"/>
              </w:rPr>
              <w:tab/>
            </w:r>
            <w:r>
              <w:rPr>
                <w:rStyle w:val="IndexLink"/>
              </w:rPr>
              <w:t>67</w:t>
            </w:r>
          </w:hyperlink>
        </w:p>
        <w:p>
          <w:pPr>
            <w:pStyle w:val="Contents4"/>
            <w:tabs>
              <w:tab w:val="clear" w:pos="8176"/>
              <w:tab w:val="right" w:pos="9026" w:leader="dot"/>
            </w:tabs>
            <w:rPr/>
          </w:pPr>
          <w:hyperlink w:anchor="__RefHeading___Toc7812172_3381743652">
            <w:r>
              <w:rPr>
                <w:webHidden/>
                <w:rStyle w:val="IndexLink"/>
                <w:rtl w:val="true"/>
              </w:rPr>
              <w:t>نقد شیخ</w:t>
            </w:r>
            <w:r>
              <w:rPr>
                <w:rStyle w:val="IndexLink"/>
                <w:rtl w:val="true"/>
              </w:rPr>
              <w:tab/>
            </w:r>
            <w:r>
              <w:rPr>
                <w:rStyle w:val="IndexLink"/>
              </w:rPr>
              <w:t>68</w:t>
            </w:r>
          </w:hyperlink>
        </w:p>
        <w:p>
          <w:pPr>
            <w:pStyle w:val="Contents4"/>
            <w:tabs>
              <w:tab w:val="clear" w:pos="8176"/>
              <w:tab w:val="right" w:pos="9026" w:leader="dot"/>
            </w:tabs>
            <w:rPr/>
          </w:pPr>
          <w:hyperlink w:anchor="__RefHeading___Toc7812174_3381743652">
            <w:r>
              <w:rPr>
                <w:webHidden/>
                <w:rStyle w:val="IndexLink"/>
                <w:rtl w:val="true"/>
              </w:rPr>
              <w:t>نقد نظریه حسن بصری</w:t>
            </w:r>
            <w:r>
              <w:rPr>
                <w:rStyle w:val="IndexLink"/>
                <w:rtl w:val="true"/>
              </w:rPr>
              <w:tab/>
            </w:r>
            <w:r>
              <w:rPr>
                <w:rStyle w:val="IndexLink"/>
              </w:rPr>
              <w:t>68</w:t>
            </w:r>
          </w:hyperlink>
        </w:p>
        <w:p>
          <w:pPr>
            <w:pStyle w:val="Contents4"/>
            <w:tabs>
              <w:tab w:val="clear" w:pos="8176"/>
              <w:tab w:val="right" w:pos="9026" w:leader="dot"/>
            </w:tabs>
            <w:rPr/>
          </w:pPr>
          <w:hyperlink w:anchor="__RefHeading___Toc7812176_3381743652">
            <w:r>
              <w:rPr>
                <w:webHidden/>
                <w:rStyle w:val="IndexLink"/>
                <w:rtl w:val="true"/>
              </w:rPr>
              <w:t>نقد نظریه زیدیه</w:t>
            </w:r>
            <w:r>
              <w:rPr>
                <w:rStyle w:val="IndexLink"/>
                <w:rtl w:val="true"/>
              </w:rPr>
              <w:tab/>
            </w:r>
            <w:r>
              <w:rPr>
                <w:rStyle w:val="IndexLink"/>
              </w:rPr>
              <w:t>69</w:t>
            </w:r>
          </w:hyperlink>
        </w:p>
        <w:p>
          <w:pPr>
            <w:pStyle w:val="Contents3"/>
            <w:tabs>
              <w:tab w:val="clear" w:pos="8459"/>
              <w:tab w:val="right" w:pos="9026" w:leader="dot"/>
            </w:tabs>
            <w:rPr/>
          </w:pPr>
          <w:hyperlink w:anchor="__RefHeading___Toc7812178_3381743652">
            <w:r>
              <w:rPr>
                <w:webHidden/>
                <w:rStyle w:val="IndexLink"/>
                <w:rtl w:val="true"/>
              </w:rPr>
              <w:t>اسلام و ایمان</w:t>
            </w:r>
            <w:r>
              <w:rPr>
                <w:rStyle w:val="IndexLink"/>
                <w:rtl w:val="true"/>
              </w:rPr>
              <w:tab/>
            </w:r>
            <w:r>
              <w:rPr>
                <w:rStyle w:val="IndexLink"/>
              </w:rPr>
              <w:t>69</w:t>
            </w:r>
          </w:hyperlink>
        </w:p>
        <w:p>
          <w:pPr>
            <w:pStyle w:val="Contents4"/>
            <w:tabs>
              <w:tab w:val="clear" w:pos="8176"/>
              <w:tab w:val="right" w:pos="9026" w:leader="dot"/>
            </w:tabs>
            <w:rPr/>
          </w:pPr>
          <w:hyperlink w:anchor="__RefHeading___Toc7812180_3381743652">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7812182_3381743652">
            <w:r>
              <w:rPr>
                <w:webHidden/>
                <w:rStyle w:val="IndexLink"/>
                <w:rtl w:val="true"/>
              </w:rPr>
              <w:t>دیدگاه شیخ</w:t>
            </w:r>
            <w:r>
              <w:rPr>
                <w:rStyle w:val="IndexLink"/>
                <w:rtl w:val="true"/>
              </w:rPr>
              <w:tab/>
            </w:r>
            <w:r>
              <w:rPr>
                <w:rStyle w:val="IndexLink"/>
              </w:rPr>
              <w:t>70</w:t>
            </w:r>
          </w:hyperlink>
        </w:p>
        <w:p>
          <w:pPr>
            <w:pStyle w:val="Contents3"/>
            <w:tabs>
              <w:tab w:val="clear" w:pos="8459"/>
              <w:tab w:val="right" w:pos="9026" w:leader="dot"/>
            </w:tabs>
            <w:rPr/>
          </w:pPr>
          <w:hyperlink w:anchor="__RefHeading___Toc7812184_3381743652">
            <w:r>
              <w:rPr>
                <w:webHidden/>
                <w:rStyle w:val="IndexLink"/>
                <w:rtl w:val="true"/>
              </w:rPr>
              <w:t>افزایش و کاهش ایمان</w:t>
            </w:r>
            <w:r>
              <w:rPr>
                <w:rStyle w:val="IndexLink"/>
                <w:rtl w:val="true"/>
              </w:rPr>
              <w:tab/>
            </w:r>
            <w:r>
              <w:rPr>
                <w:rStyle w:val="IndexLink"/>
              </w:rPr>
              <w:t>72</w:t>
            </w:r>
          </w:hyperlink>
        </w:p>
        <w:p>
          <w:pPr>
            <w:pStyle w:val="Contents4"/>
            <w:tabs>
              <w:tab w:val="clear" w:pos="8176"/>
              <w:tab w:val="right" w:pos="9026" w:leader="dot"/>
            </w:tabs>
            <w:rPr/>
          </w:pPr>
          <w:hyperlink w:anchor="__RefHeading___Toc7812186_3381743652">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7812188_3381743652">
            <w:r>
              <w:rPr>
                <w:webHidden/>
                <w:rStyle w:val="IndexLink"/>
                <w:rtl w:val="true"/>
              </w:rPr>
              <w:t>قرآن و مسئله افزایش و کاهش ایمان</w:t>
            </w:r>
            <w:r>
              <w:rPr>
                <w:rStyle w:val="IndexLink"/>
                <w:rtl w:val="true"/>
              </w:rPr>
              <w:tab/>
            </w:r>
            <w:r>
              <w:rPr>
                <w:rStyle w:val="IndexLink"/>
              </w:rPr>
              <w:t>74</w:t>
            </w:r>
          </w:hyperlink>
        </w:p>
        <w:p>
          <w:pPr>
            <w:pStyle w:val="Contents3"/>
            <w:tabs>
              <w:tab w:val="clear" w:pos="8459"/>
              <w:tab w:val="right" w:pos="9026" w:leader="dot"/>
            </w:tabs>
            <w:rPr/>
          </w:pPr>
          <w:hyperlink w:anchor="__RefHeading___Toc7812190_3381743652">
            <w:r>
              <w:rPr>
                <w:webHidden/>
                <w:rStyle w:val="IndexLink"/>
                <w:rtl w:val="true"/>
              </w:rPr>
              <w:t>آثار و فواید ایمان</w:t>
            </w:r>
            <w:r>
              <w:rPr>
                <w:rStyle w:val="IndexLink"/>
                <w:rtl w:val="true"/>
              </w:rPr>
              <w:tab/>
            </w:r>
            <w:r>
              <w:rPr>
                <w:rStyle w:val="IndexLink"/>
              </w:rPr>
              <w:t>75</w:t>
            </w:r>
          </w:hyperlink>
        </w:p>
        <w:p>
          <w:pPr>
            <w:pStyle w:val="Contents2"/>
            <w:tabs>
              <w:tab w:val="clear" w:pos="8743"/>
              <w:tab w:val="right" w:pos="9026" w:leader="dot"/>
            </w:tabs>
            <w:rPr/>
          </w:pPr>
          <w:hyperlink w:anchor="__RefHeading___Toc7812192_3381743652">
            <w:r>
              <w:rPr>
                <w:webHidden/>
                <w:rStyle w:val="IndexLink"/>
                <w:rtl w:val="true"/>
              </w:rPr>
              <w:t>امر به معروف و نهی از منکر</w:t>
            </w:r>
            <w:r>
              <w:rPr>
                <w:rStyle w:val="IndexLink"/>
                <w:rtl w:val="true"/>
              </w:rPr>
              <w:tab/>
            </w:r>
            <w:r>
              <w:rPr>
                <w:rStyle w:val="IndexLink"/>
              </w:rPr>
              <w:t>77</w:t>
            </w:r>
          </w:hyperlink>
        </w:p>
        <w:p>
          <w:pPr>
            <w:pStyle w:val="Contents3"/>
            <w:tabs>
              <w:tab w:val="clear" w:pos="8459"/>
              <w:tab w:val="right" w:pos="9026" w:leader="dot"/>
            </w:tabs>
            <w:rPr/>
          </w:pPr>
          <w:hyperlink w:anchor="__RefHeading___Toc7812194_3381743652">
            <w:r>
              <w:rPr>
                <w:webHidden/>
                <w:rStyle w:val="IndexLink"/>
                <w:rtl w:val="true"/>
              </w:rPr>
              <w:t>پیشگفتار</w:t>
            </w:r>
            <w:r>
              <w:rPr>
                <w:rStyle w:val="IndexLink"/>
                <w:rtl w:val="true"/>
              </w:rPr>
              <w:tab/>
            </w:r>
            <w:r>
              <w:rPr>
                <w:rStyle w:val="IndexLink"/>
              </w:rPr>
              <w:t>77</w:t>
            </w:r>
          </w:hyperlink>
        </w:p>
        <w:p>
          <w:pPr>
            <w:pStyle w:val="Contents3"/>
            <w:tabs>
              <w:tab w:val="clear" w:pos="8459"/>
              <w:tab w:val="right" w:pos="9026" w:leader="dot"/>
            </w:tabs>
            <w:rPr/>
          </w:pPr>
          <w:hyperlink w:anchor="__RefHeading___Toc7812196_3381743652">
            <w:r>
              <w:rPr>
                <w:webHidden/>
                <w:rStyle w:val="IndexLink"/>
                <w:rtl w:val="true"/>
              </w:rPr>
              <w:t>کلیات</w:t>
            </w:r>
            <w:r>
              <w:rPr>
                <w:rStyle w:val="IndexLink"/>
                <w:rtl w:val="true"/>
              </w:rPr>
              <w:tab/>
            </w:r>
            <w:r>
              <w:rPr>
                <w:rStyle w:val="IndexLink"/>
              </w:rPr>
              <w:t>78</w:t>
            </w:r>
          </w:hyperlink>
        </w:p>
        <w:p>
          <w:pPr>
            <w:pStyle w:val="Contents4"/>
            <w:tabs>
              <w:tab w:val="clear" w:pos="8176"/>
              <w:tab w:val="right" w:pos="9026" w:leader="dot"/>
            </w:tabs>
            <w:rPr/>
          </w:pPr>
          <w:hyperlink w:anchor="__RefHeading___Toc7812198_3381743652">
            <w:r>
              <w:rPr>
                <w:webHidden/>
                <w:rStyle w:val="IndexLink"/>
                <w:rtl w:val="true"/>
              </w:rPr>
              <w:t>پیشینه تاریخی</w:t>
            </w:r>
            <w:r>
              <w:rPr>
                <w:rStyle w:val="IndexLink"/>
                <w:rtl w:val="true"/>
              </w:rPr>
              <w:tab/>
            </w:r>
            <w:r>
              <w:rPr>
                <w:rStyle w:val="IndexLink"/>
              </w:rPr>
              <w:t>78</w:t>
            </w:r>
          </w:hyperlink>
        </w:p>
        <w:p>
          <w:pPr>
            <w:pStyle w:val="Contents4"/>
            <w:tabs>
              <w:tab w:val="clear" w:pos="8176"/>
              <w:tab w:val="right" w:pos="9026" w:leader="dot"/>
            </w:tabs>
            <w:rPr/>
          </w:pPr>
          <w:hyperlink w:anchor="__RefHeading___Toc7812200_3381743652">
            <w:r>
              <w:rPr>
                <w:webHidden/>
                <w:rStyle w:val="IndexLink"/>
                <w:rtl w:val="true"/>
              </w:rPr>
              <w:t>اهمیت امر به معروف و نهی از منکر</w:t>
            </w:r>
            <w:r>
              <w:rPr>
                <w:rStyle w:val="IndexLink"/>
                <w:rtl w:val="true"/>
              </w:rPr>
              <w:tab/>
            </w:r>
            <w:r>
              <w:rPr>
                <w:rStyle w:val="IndexLink"/>
              </w:rPr>
              <w:t>81</w:t>
            </w:r>
          </w:hyperlink>
        </w:p>
        <w:p>
          <w:pPr>
            <w:pStyle w:val="Contents4"/>
            <w:tabs>
              <w:tab w:val="clear" w:pos="8176"/>
              <w:tab w:val="right" w:pos="9026" w:leader="dot"/>
            </w:tabs>
            <w:rPr/>
          </w:pPr>
          <w:hyperlink w:anchor="__RefHeading___Toc7812202_3381743652">
            <w:r>
              <w:rPr>
                <w:webHidden/>
                <w:rStyle w:val="IndexLink"/>
                <w:rtl w:val="true"/>
              </w:rPr>
              <w:t>امر و نهی، شأنی از شؤون الهی</w:t>
            </w:r>
            <w:r>
              <w:rPr>
                <w:rStyle w:val="IndexLink"/>
                <w:rtl w:val="true"/>
              </w:rPr>
              <w:tab/>
            </w:r>
            <w:r>
              <w:rPr>
                <w:rStyle w:val="IndexLink"/>
              </w:rPr>
              <w:t>82</w:t>
            </w:r>
          </w:hyperlink>
        </w:p>
        <w:p>
          <w:pPr>
            <w:pStyle w:val="Contents4"/>
            <w:tabs>
              <w:tab w:val="clear" w:pos="8176"/>
              <w:tab w:val="right" w:pos="9026" w:leader="dot"/>
            </w:tabs>
            <w:rPr/>
          </w:pPr>
          <w:hyperlink w:anchor="__RefHeading___Toc7812204_3381743652">
            <w:r>
              <w:rPr>
                <w:webHidden/>
                <w:rStyle w:val="IndexLink"/>
                <w:rtl w:val="true"/>
              </w:rPr>
              <w:t>امر به معروف و ضرورت حکومت</w:t>
            </w:r>
            <w:r>
              <w:rPr>
                <w:rStyle w:val="IndexLink"/>
                <w:rtl w:val="true"/>
              </w:rPr>
              <w:tab/>
            </w:r>
            <w:r>
              <w:rPr>
                <w:rStyle w:val="IndexLink"/>
              </w:rPr>
              <w:t>83</w:t>
            </w:r>
          </w:hyperlink>
        </w:p>
        <w:p>
          <w:pPr>
            <w:pStyle w:val="Contents4"/>
            <w:tabs>
              <w:tab w:val="clear" w:pos="8176"/>
              <w:tab w:val="right" w:pos="9026" w:leader="dot"/>
            </w:tabs>
            <w:rPr/>
          </w:pPr>
          <w:hyperlink w:anchor="__RefHeading___Toc7812206_3381743652">
            <w:r>
              <w:rPr>
                <w:webHidden/>
                <w:rStyle w:val="IndexLink"/>
                <w:rtl w:val="true"/>
              </w:rPr>
              <w:t>امر به معروف و نهی از منکر، پایه فرایض دیگر</w:t>
            </w:r>
            <w:r>
              <w:rPr>
                <w:rStyle w:val="IndexLink"/>
                <w:rtl w:val="true"/>
              </w:rPr>
              <w:tab/>
            </w:r>
            <w:r>
              <w:rPr>
                <w:rStyle w:val="IndexLink"/>
              </w:rPr>
              <w:t>83</w:t>
            </w:r>
          </w:hyperlink>
        </w:p>
        <w:p>
          <w:pPr>
            <w:pStyle w:val="Contents4"/>
            <w:tabs>
              <w:tab w:val="clear" w:pos="8176"/>
              <w:tab w:val="right" w:pos="9026" w:leader="dot"/>
            </w:tabs>
            <w:rPr/>
          </w:pPr>
          <w:hyperlink w:anchor="__RefHeading___Toc7812208_3381743652">
            <w:r>
              <w:rPr>
                <w:webHidden/>
                <w:rStyle w:val="IndexLink"/>
                <w:rtl w:val="true"/>
              </w:rPr>
              <w:t>امر به معروف و نهی از منکر، غایت دین</w:t>
            </w:r>
            <w:r>
              <w:rPr>
                <w:rStyle w:val="IndexLink"/>
                <w:rtl w:val="true"/>
              </w:rPr>
              <w:tab/>
            </w:r>
            <w:r>
              <w:rPr>
                <w:rStyle w:val="IndexLink"/>
              </w:rPr>
              <w:t>84</w:t>
            </w:r>
          </w:hyperlink>
        </w:p>
        <w:p>
          <w:pPr>
            <w:pStyle w:val="Contents4"/>
            <w:tabs>
              <w:tab w:val="clear" w:pos="8176"/>
              <w:tab w:val="right" w:pos="9026" w:leader="dot"/>
            </w:tabs>
            <w:rPr/>
          </w:pPr>
          <w:hyperlink w:anchor="__RefHeading___Toc7812210_3381743652">
            <w:r>
              <w:rPr>
                <w:webHidden/>
                <w:rStyle w:val="IndexLink"/>
                <w:rtl w:val="true"/>
              </w:rPr>
              <w:t>آیا امر به معروف و نهی از منکر، از اصول دین است؟</w:t>
            </w:r>
            <w:r>
              <w:rPr>
                <w:rStyle w:val="IndexLink"/>
                <w:rtl w:val="true"/>
              </w:rPr>
              <w:tab/>
            </w:r>
            <w:r>
              <w:rPr>
                <w:rStyle w:val="IndexLink"/>
              </w:rPr>
              <w:t>85</w:t>
            </w:r>
          </w:hyperlink>
        </w:p>
        <w:p>
          <w:pPr>
            <w:pStyle w:val="Contents3"/>
            <w:tabs>
              <w:tab w:val="clear" w:pos="8459"/>
              <w:tab w:val="right" w:pos="9026" w:leader="dot"/>
            </w:tabs>
            <w:rPr/>
          </w:pPr>
          <w:hyperlink w:anchor="__RefHeading___Toc7812212_3381743652">
            <w:r>
              <w:rPr>
                <w:webHidden/>
                <w:rStyle w:val="IndexLink"/>
                <w:rtl w:val="true"/>
              </w:rPr>
              <w:t>مفهوم شناسی</w:t>
            </w:r>
            <w:r>
              <w:rPr>
                <w:rStyle w:val="IndexLink"/>
                <w:rtl w:val="true"/>
              </w:rPr>
              <w:tab/>
            </w:r>
            <w:r>
              <w:rPr>
                <w:rStyle w:val="IndexLink"/>
              </w:rPr>
              <w:t>87</w:t>
            </w:r>
          </w:hyperlink>
        </w:p>
        <w:p>
          <w:pPr>
            <w:pStyle w:val="Contents4"/>
            <w:tabs>
              <w:tab w:val="clear" w:pos="8176"/>
              <w:tab w:val="right" w:pos="9026" w:leader="dot"/>
            </w:tabs>
            <w:rPr/>
          </w:pPr>
          <w:hyperlink w:anchor="__RefHeading___Toc7812214_3381743652">
            <w:r>
              <w:rPr>
                <w:webHidden/>
                <w:rStyle w:val="IndexLink"/>
                <w:rtl w:val="true"/>
              </w:rPr>
              <w:t>امر و نهی در لغت</w:t>
            </w:r>
            <w:r>
              <w:rPr>
                <w:rStyle w:val="IndexLink"/>
                <w:rtl w:val="true"/>
              </w:rPr>
              <w:tab/>
            </w:r>
            <w:r>
              <w:rPr>
                <w:rStyle w:val="IndexLink"/>
              </w:rPr>
              <w:t>87</w:t>
            </w:r>
          </w:hyperlink>
        </w:p>
        <w:p>
          <w:pPr>
            <w:pStyle w:val="Contents4"/>
            <w:tabs>
              <w:tab w:val="clear" w:pos="8176"/>
              <w:tab w:val="right" w:pos="9026" w:leader="dot"/>
            </w:tabs>
            <w:rPr/>
          </w:pPr>
          <w:hyperlink w:anchor="__RefHeading___Toc7812216_3381743652">
            <w:r>
              <w:rPr>
                <w:webHidden/>
                <w:rStyle w:val="IndexLink"/>
                <w:rtl w:val="true"/>
              </w:rPr>
              <w:t>معروف و منکر در لغت</w:t>
            </w:r>
            <w:r>
              <w:rPr>
                <w:rStyle w:val="IndexLink"/>
                <w:rtl w:val="true"/>
              </w:rPr>
              <w:tab/>
            </w:r>
            <w:r>
              <w:rPr>
                <w:rStyle w:val="IndexLink"/>
              </w:rPr>
              <w:t>89</w:t>
            </w:r>
          </w:hyperlink>
        </w:p>
        <w:p>
          <w:pPr>
            <w:pStyle w:val="Contents4"/>
            <w:tabs>
              <w:tab w:val="clear" w:pos="8176"/>
              <w:tab w:val="right" w:pos="9026" w:leader="dot"/>
            </w:tabs>
            <w:rPr/>
          </w:pPr>
          <w:hyperlink w:anchor="__RefHeading___Toc7812218_3381743652">
            <w:r>
              <w:rPr>
                <w:webHidden/>
                <w:rStyle w:val="IndexLink"/>
                <w:rtl w:val="true"/>
              </w:rPr>
              <w:t>امر و نهی در اصطلاح</w:t>
            </w:r>
            <w:r>
              <w:rPr>
                <w:rStyle w:val="IndexLink"/>
                <w:rtl w:val="true"/>
              </w:rPr>
              <w:tab/>
            </w:r>
            <w:r>
              <w:rPr>
                <w:rStyle w:val="IndexLink"/>
              </w:rPr>
              <w:t>90</w:t>
            </w:r>
          </w:hyperlink>
        </w:p>
        <w:p>
          <w:pPr>
            <w:pStyle w:val="Contents5"/>
            <w:tabs>
              <w:tab w:val="clear" w:pos="7892"/>
              <w:tab w:val="right" w:pos="9026" w:leader="dot"/>
            </w:tabs>
            <w:rPr/>
          </w:pPr>
          <w:hyperlink w:anchor="__RefHeading___Toc7812220_3381743652">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7812222_3381743652">
            <w:r>
              <w:rPr>
                <w:webHidden/>
                <w:rStyle w:val="IndexLink"/>
                <w:rtl w:val="true"/>
              </w:rPr>
              <w:t>نظر شیخ طوسی درباره امر و نهی</w:t>
            </w:r>
            <w:r>
              <w:rPr>
                <w:rStyle w:val="IndexLink"/>
                <w:rtl w:val="true"/>
              </w:rPr>
              <w:tab/>
            </w:r>
            <w:r>
              <w:rPr>
                <w:rStyle w:val="IndexLink"/>
              </w:rPr>
              <w:t>91</w:t>
            </w:r>
          </w:hyperlink>
        </w:p>
        <w:p>
          <w:pPr>
            <w:pStyle w:val="Contents5"/>
            <w:tabs>
              <w:tab w:val="clear" w:pos="7892"/>
              <w:tab w:val="right" w:pos="9026" w:leader="dot"/>
            </w:tabs>
            <w:rPr/>
          </w:pPr>
          <w:hyperlink w:anchor="__RefHeading___Toc7812224_3381743652">
            <w:r>
              <w:rPr>
                <w:webHidden/>
                <w:rStyle w:val="IndexLink"/>
                <w:rtl w:val="true"/>
              </w:rPr>
              <w:t>اعتبار علو و استعلا</w:t>
            </w:r>
            <w:r>
              <w:rPr>
                <w:rStyle w:val="IndexLink"/>
                <w:rtl w:val="true"/>
              </w:rPr>
              <w:tab/>
            </w:r>
            <w:r>
              <w:rPr>
                <w:rStyle w:val="IndexLink"/>
              </w:rPr>
              <w:t>92</w:t>
            </w:r>
          </w:hyperlink>
        </w:p>
        <w:p>
          <w:pPr>
            <w:pStyle w:val="Contents4"/>
            <w:tabs>
              <w:tab w:val="clear" w:pos="8176"/>
              <w:tab w:val="right" w:pos="9026" w:leader="dot"/>
            </w:tabs>
            <w:rPr/>
          </w:pPr>
          <w:hyperlink w:anchor="__RefHeading___Toc7812226_3381743652">
            <w:r>
              <w:rPr>
                <w:webHidden/>
                <w:rStyle w:val="IndexLink"/>
                <w:rtl w:val="true"/>
              </w:rPr>
              <w:t>معروف و منکر در اصطلاح</w:t>
            </w:r>
            <w:r>
              <w:rPr>
                <w:rStyle w:val="IndexLink"/>
                <w:rtl w:val="true"/>
              </w:rPr>
              <w:tab/>
            </w:r>
            <w:r>
              <w:rPr>
                <w:rStyle w:val="IndexLink"/>
              </w:rPr>
              <w:t>92</w:t>
            </w:r>
          </w:hyperlink>
        </w:p>
        <w:p>
          <w:pPr>
            <w:pStyle w:val="Contents4"/>
            <w:tabs>
              <w:tab w:val="clear" w:pos="8176"/>
              <w:tab w:val="right" w:pos="9026" w:leader="dot"/>
            </w:tabs>
            <w:rPr/>
          </w:pPr>
          <w:hyperlink w:anchor="__RefHeading___Toc7812228_3381743652">
            <w:r>
              <w:rPr>
                <w:webHidden/>
                <w:rStyle w:val="IndexLink"/>
                <w:rtl w:val="true"/>
              </w:rPr>
              <w:t>سبب نامگذاری حسن و قبح، به معروف و منکر</w:t>
            </w:r>
            <w:r>
              <w:rPr>
                <w:rStyle w:val="IndexLink"/>
                <w:rtl w:val="true"/>
              </w:rPr>
              <w:tab/>
            </w:r>
            <w:r>
              <w:rPr>
                <w:rStyle w:val="IndexLink"/>
              </w:rPr>
              <w:t>94</w:t>
            </w:r>
          </w:hyperlink>
        </w:p>
        <w:p>
          <w:pPr>
            <w:pStyle w:val="Contents4"/>
            <w:tabs>
              <w:tab w:val="clear" w:pos="8176"/>
              <w:tab w:val="right" w:pos="9026" w:leader="dot"/>
            </w:tabs>
            <w:rPr/>
          </w:pPr>
          <w:hyperlink w:anchor="__RefHeading___Toc7812230_3381743652">
            <w:r>
              <w:rPr>
                <w:webHidden/>
                <w:rStyle w:val="IndexLink"/>
                <w:rtl w:val="true"/>
              </w:rPr>
              <w:t>مقصود از انجام امر به معروف و نهی از منکر</w:t>
            </w:r>
            <w:r>
              <w:rPr>
                <w:rStyle w:val="IndexLink"/>
                <w:rtl w:val="true"/>
              </w:rPr>
              <w:tab/>
            </w:r>
            <w:r>
              <w:rPr>
                <w:rStyle w:val="IndexLink"/>
              </w:rPr>
              <w:t>95</w:t>
            </w:r>
          </w:hyperlink>
        </w:p>
        <w:p>
          <w:pPr>
            <w:pStyle w:val="Contents4"/>
            <w:tabs>
              <w:tab w:val="clear" w:pos="8176"/>
              <w:tab w:val="right" w:pos="9026" w:leader="dot"/>
            </w:tabs>
            <w:rPr/>
          </w:pPr>
          <w:hyperlink w:anchor="__RefHeading___Toc7812232_3381743652">
            <w:r>
              <w:rPr>
                <w:webHidden/>
                <w:rStyle w:val="IndexLink"/>
                <w:rtl w:val="true"/>
              </w:rPr>
              <w:t>امر به معروف و نهی از منکر، پیمانی درونی</w:t>
            </w:r>
            <w:r>
              <w:rPr>
                <w:rStyle w:val="IndexLink"/>
                <w:rtl w:val="true"/>
              </w:rPr>
              <w:tab/>
            </w:r>
            <w:r>
              <w:rPr>
                <w:rStyle w:val="IndexLink"/>
              </w:rPr>
              <w:t>95</w:t>
            </w:r>
          </w:hyperlink>
        </w:p>
        <w:p>
          <w:pPr>
            <w:pStyle w:val="Contents3"/>
            <w:tabs>
              <w:tab w:val="clear" w:pos="8459"/>
              <w:tab w:val="right" w:pos="9026" w:leader="dot"/>
            </w:tabs>
            <w:rPr/>
          </w:pPr>
          <w:hyperlink w:anchor="__RefHeading___Toc7812234_3381743652">
            <w:r>
              <w:rPr>
                <w:webHidden/>
                <w:rStyle w:val="IndexLink"/>
                <w:rtl w:val="true"/>
              </w:rPr>
              <w:t>دیدگاهها درباره وجوب امر به معروف و نهی از منکر</w:t>
            </w:r>
            <w:r>
              <w:rPr>
                <w:rStyle w:val="IndexLink"/>
                <w:rtl w:val="true"/>
              </w:rPr>
              <w:tab/>
            </w:r>
            <w:r>
              <w:rPr>
                <w:rStyle w:val="IndexLink"/>
              </w:rPr>
              <w:t>96</w:t>
            </w:r>
          </w:hyperlink>
        </w:p>
        <w:p>
          <w:pPr>
            <w:pStyle w:val="Contents4"/>
            <w:tabs>
              <w:tab w:val="clear" w:pos="8176"/>
              <w:tab w:val="right" w:pos="9026" w:leader="dot"/>
            </w:tabs>
            <w:rPr/>
          </w:pPr>
          <w:hyperlink w:anchor="__RefHeading___Toc7812236_3381743652">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7812238_3381743652">
            <w:r>
              <w:rPr>
                <w:webHidden/>
                <w:rStyle w:val="IndexLink"/>
                <w:rtl w:val="true"/>
              </w:rPr>
              <w:t>اقسام امر به معروف و نهی از منکر</w:t>
            </w:r>
            <w:r>
              <w:rPr>
                <w:rStyle w:val="IndexLink"/>
                <w:rtl w:val="true"/>
              </w:rPr>
              <w:tab/>
            </w:r>
            <w:r>
              <w:rPr>
                <w:rStyle w:val="IndexLink"/>
              </w:rPr>
              <w:t>97</w:t>
            </w:r>
          </w:hyperlink>
        </w:p>
        <w:p>
          <w:pPr>
            <w:pStyle w:val="Contents5"/>
            <w:tabs>
              <w:tab w:val="clear" w:pos="7892"/>
              <w:tab w:val="right" w:pos="9026" w:leader="dot"/>
            </w:tabs>
            <w:rPr/>
          </w:pPr>
          <w:hyperlink w:anchor="__RefHeading___Toc7812240_3381743652">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7812242_3381743652">
            <w:r>
              <w:rPr>
                <w:webHidden/>
                <w:rStyle w:val="IndexLink"/>
                <w:rtl w:val="true"/>
              </w:rPr>
              <w:t>الف</w:t>
            </w:r>
            <w:r>
              <w:rPr>
                <w:rStyle w:val="IndexLink"/>
                <w:rtl w:val="true"/>
              </w:rPr>
              <w:t xml:space="preserve">) </w:t>
            </w:r>
            <w:r>
              <w:rPr>
                <w:rStyle w:val="IndexLink"/>
                <w:rtl w:val="true"/>
              </w:rPr>
              <w:t>تقسیم امر به معروف و نهی از منکر به اعتبار خود معروف و منکر</w:t>
            </w:r>
            <w:r>
              <w:rPr>
                <w:rStyle w:val="IndexLink"/>
                <w:rtl w:val="true"/>
              </w:rPr>
              <w:tab/>
            </w:r>
            <w:r>
              <w:rPr>
                <w:rStyle w:val="IndexLink"/>
              </w:rPr>
              <w:t>97</w:t>
            </w:r>
          </w:hyperlink>
        </w:p>
        <w:p>
          <w:pPr>
            <w:pStyle w:val="Contents5"/>
            <w:tabs>
              <w:tab w:val="clear" w:pos="7892"/>
              <w:tab w:val="right" w:pos="9026" w:leader="dot"/>
            </w:tabs>
            <w:rPr/>
          </w:pPr>
          <w:hyperlink w:anchor="__RefHeading___Toc7812244_3381743652">
            <w:r>
              <w:rPr>
                <w:webHidden/>
                <w:rStyle w:val="IndexLink"/>
                <w:rtl w:val="true"/>
              </w:rPr>
              <w:t>ب</w:t>
            </w:r>
            <w:r>
              <w:rPr>
                <w:rStyle w:val="IndexLink"/>
                <w:rtl w:val="true"/>
              </w:rPr>
              <w:t xml:space="preserve">) </w:t>
            </w:r>
            <w:r>
              <w:rPr>
                <w:rStyle w:val="IndexLink"/>
                <w:rtl w:val="true"/>
              </w:rPr>
              <w:t xml:space="preserve">تقسیم امر به معروف و نهی از منکر به اعتبار مجری </w:t>
            </w:r>
            <w:r>
              <w:rPr>
                <w:rStyle w:val="IndexLink"/>
                <w:rtl w:val="true"/>
              </w:rPr>
              <w:t>.</w:t>
              <w:tab/>
            </w:r>
            <w:r>
              <w:rPr>
                <w:rStyle w:val="IndexLink"/>
              </w:rPr>
              <w:t>98</w:t>
            </w:r>
          </w:hyperlink>
        </w:p>
        <w:p>
          <w:pPr>
            <w:pStyle w:val="Contents5"/>
            <w:tabs>
              <w:tab w:val="clear" w:pos="7892"/>
              <w:tab w:val="right" w:pos="9026" w:leader="dot"/>
            </w:tabs>
            <w:rPr/>
          </w:pPr>
          <w:hyperlink w:anchor="__RefHeading___Toc7812246_3381743652">
            <w:r>
              <w:rPr>
                <w:webHidden/>
                <w:rStyle w:val="IndexLink"/>
                <w:rtl w:val="true"/>
              </w:rPr>
              <w:t>ج</w:t>
            </w:r>
            <w:r>
              <w:rPr>
                <w:rStyle w:val="IndexLink"/>
                <w:rtl w:val="true"/>
              </w:rPr>
              <w:t xml:space="preserve">) </w:t>
            </w:r>
            <w:r>
              <w:rPr>
                <w:rStyle w:val="IndexLink"/>
                <w:rtl w:val="true"/>
              </w:rPr>
              <w:t>تقسیم امر به معروف و نهی از منکر، به اعتبار مراتب</w:t>
            </w:r>
            <w:r>
              <w:rPr>
                <w:rStyle w:val="IndexLink"/>
                <w:rtl w:val="true"/>
              </w:rPr>
              <w:tab/>
            </w:r>
            <w:r>
              <w:rPr>
                <w:rStyle w:val="IndexLink"/>
              </w:rPr>
              <w:t>99</w:t>
            </w:r>
          </w:hyperlink>
        </w:p>
        <w:p>
          <w:pPr>
            <w:pStyle w:val="Contents4"/>
            <w:tabs>
              <w:tab w:val="clear" w:pos="8176"/>
              <w:tab w:val="right" w:pos="9026" w:leader="dot"/>
            </w:tabs>
            <w:rPr/>
          </w:pPr>
          <w:hyperlink w:anchor="__RefHeading___Toc7812248_3381743652">
            <w:r>
              <w:rPr>
                <w:webHidden/>
                <w:rStyle w:val="IndexLink"/>
                <w:rtl w:val="true"/>
              </w:rPr>
              <w:t>د</w:t>
            </w:r>
            <w:r>
              <w:rPr>
                <w:rStyle w:val="IndexLink"/>
                <w:rtl w:val="true"/>
              </w:rPr>
              <w:t xml:space="preserve">) </w:t>
            </w:r>
            <w:r>
              <w:rPr>
                <w:rStyle w:val="IndexLink"/>
                <w:rtl w:val="true"/>
              </w:rPr>
              <w:t>تقسیم امر به معروف و نهی از منکر، به اعتبار متعلق</w:t>
            </w:r>
            <w:r>
              <w:rPr>
                <w:rStyle w:val="IndexLink"/>
                <w:rtl w:val="true"/>
              </w:rPr>
              <w:tab/>
            </w:r>
            <w:r>
              <w:rPr>
                <w:rStyle w:val="IndexLink"/>
              </w:rPr>
              <w:t>99</w:t>
            </w:r>
          </w:hyperlink>
        </w:p>
        <w:p>
          <w:pPr>
            <w:pStyle w:val="Contents4"/>
            <w:tabs>
              <w:tab w:val="clear" w:pos="8176"/>
              <w:tab w:val="right" w:pos="9026" w:leader="dot"/>
            </w:tabs>
            <w:rPr/>
          </w:pPr>
          <w:hyperlink w:anchor="__RefHeading___Toc7812250_3381743652">
            <w:r>
              <w:rPr>
                <w:webHidden/>
                <w:rStyle w:val="IndexLink"/>
                <w:rtl w:val="true"/>
              </w:rPr>
              <w:t>امر به معروف و نهی از منکر، واجب عقلی یا شرعی؟</w:t>
            </w:r>
            <w:r>
              <w:rPr>
                <w:rStyle w:val="IndexLink"/>
                <w:rtl w:val="true"/>
              </w:rPr>
              <w:tab/>
            </w:r>
            <w:r>
              <w:rPr>
                <w:rStyle w:val="IndexLink"/>
              </w:rPr>
              <w:t>100</w:t>
            </w:r>
          </w:hyperlink>
        </w:p>
        <w:p>
          <w:pPr>
            <w:pStyle w:val="Contents5"/>
            <w:tabs>
              <w:tab w:val="clear" w:pos="7892"/>
              <w:tab w:val="right" w:pos="9026" w:leader="dot"/>
            </w:tabs>
            <w:rPr/>
          </w:pPr>
          <w:hyperlink w:anchor="__RefHeading___Toc7812252_3381743652">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7812254_3381743652">
            <w:r>
              <w:rPr>
                <w:webHidden/>
                <w:rStyle w:val="IndexLink"/>
                <w:rtl w:val="true"/>
              </w:rPr>
              <w:t>ادله قائلان به وجوب شرعی امر به معروف و نهی از منکر</w:t>
            </w:r>
            <w:r>
              <w:rPr>
                <w:rStyle w:val="IndexLink"/>
                <w:rtl w:val="true"/>
              </w:rPr>
              <w:tab/>
            </w:r>
            <w:r>
              <w:rPr>
                <w:rStyle w:val="IndexLink"/>
              </w:rPr>
              <w:t>102</w:t>
            </w:r>
          </w:hyperlink>
        </w:p>
        <w:p>
          <w:pPr>
            <w:pStyle w:val="Contents5"/>
            <w:tabs>
              <w:tab w:val="clear" w:pos="7892"/>
              <w:tab w:val="right" w:pos="9026" w:leader="dot"/>
            </w:tabs>
            <w:rPr/>
          </w:pPr>
          <w:hyperlink w:anchor="__RefHeading___Toc7812256_3381743652">
            <w:r>
              <w:rPr>
                <w:webHidden/>
                <w:rStyle w:val="IndexLink"/>
                <w:rtl w:val="true"/>
              </w:rPr>
              <w:t>ادله قائلان به وجوب عقلی امر به معروف و نهی از منکر</w:t>
            </w:r>
            <w:r>
              <w:rPr>
                <w:rStyle w:val="IndexLink"/>
                <w:rtl w:val="true"/>
              </w:rPr>
              <w:tab/>
            </w:r>
            <w:r>
              <w:rPr>
                <w:rStyle w:val="IndexLink"/>
              </w:rPr>
              <w:t>103</w:t>
            </w:r>
          </w:hyperlink>
        </w:p>
        <w:p>
          <w:pPr>
            <w:pStyle w:val="Contents4"/>
            <w:tabs>
              <w:tab w:val="clear" w:pos="8176"/>
              <w:tab w:val="right" w:pos="9026" w:leader="dot"/>
            </w:tabs>
            <w:rPr/>
          </w:pPr>
          <w:hyperlink w:anchor="__RefHeading___Toc7812258_3381743652">
            <w:r>
              <w:rPr>
                <w:webHidden/>
                <w:rStyle w:val="IndexLink"/>
                <w:rtl w:val="true"/>
              </w:rPr>
              <w:t>امر به معروف و نهی از منکر، واجب کفایی یا عینی؟</w:t>
            </w:r>
            <w:r>
              <w:rPr>
                <w:rStyle w:val="IndexLink"/>
                <w:rtl w:val="true"/>
              </w:rPr>
              <w:tab/>
            </w:r>
            <w:r>
              <w:rPr>
                <w:rStyle w:val="IndexLink"/>
              </w:rPr>
              <w:t>104</w:t>
            </w:r>
          </w:hyperlink>
        </w:p>
        <w:p>
          <w:pPr>
            <w:pStyle w:val="Contents5"/>
            <w:tabs>
              <w:tab w:val="clear" w:pos="7892"/>
              <w:tab w:val="right" w:pos="9026" w:leader="dot"/>
            </w:tabs>
            <w:rPr/>
          </w:pPr>
          <w:hyperlink w:anchor="__RefHeading___Toc7812260_3381743652">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7812262_3381743652">
            <w:r>
              <w:rPr>
                <w:webHidden/>
                <w:rStyle w:val="IndexLink"/>
                <w:rtl w:val="true"/>
              </w:rPr>
              <w:t>دلیل عینی بودن</w:t>
            </w:r>
            <w:r>
              <w:rPr>
                <w:rStyle w:val="IndexLink"/>
                <w:rtl w:val="true"/>
              </w:rPr>
              <w:tab/>
            </w:r>
            <w:r>
              <w:rPr>
                <w:rStyle w:val="IndexLink"/>
              </w:rPr>
              <w:t>105</w:t>
            </w:r>
          </w:hyperlink>
        </w:p>
        <w:p>
          <w:pPr>
            <w:pStyle w:val="Contents5"/>
            <w:tabs>
              <w:tab w:val="clear" w:pos="7892"/>
              <w:tab w:val="right" w:pos="9026" w:leader="dot"/>
            </w:tabs>
            <w:rPr/>
          </w:pPr>
          <w:hyperlink w:anchor="__RefHeading___Toc7812264_3381743652">
            <w:r>
              <w:rPr>
                <w:webHidden/>
                <w:rStyle w:val="IndexLink"/>
                <w:rtl w:val="true"/>
              </w:rPr>
              <w:t>دلیل کفایی بودن</w:t>
            </w:r>
            <w:r>
              <w:rPr>
                <w:rStyle w:val="IndexLink"/>
                <w:rtl w:val="true"/>
              </w:rPr>
              <w:tab/>
            </w:r>
            <w:r>
              <w:rPr>
                <w:rStyle w:val="IndexLink"/>
              </w:rPr>
              <w:t>106</w:t>
            </w:r>
          </w:hyperlink>
        </w:p>
        <w:p>
          <w:pPr>
            <w:pStyle w:val="Contents4"/>
            <w:tabs>
              <w:tab w:val="clear" w:pos="8176"/>
              <w:tab w:val="right" w:pos="9026" w:leader="dot"/>
            </w:tabs>
            <w:rPr/>
          </w:pPr>
          <w:hyperlink w:anchor="__RefHeading___Toc7812266_3381743652">
            <w:r>
              <w:rPr>
                <w:webHidden/>
                <w:rStyle w:val="IndexLink"/>
                <w:rtl w:val="true"/>
              </w:rPr>
              <w:t>قلمرو امر به معروف و نهی از منکر</w:t>
            </w:r>
            <w:r>
              <w:rPr>
                <w:rStyle w:val="IndexLink"/>
                <w:rtl w:val="true"/>
              </w:rPr>
              <w:tab/>
            </w:r>
            <w:r>
              <w:rPr>
                <w:rStyle w:val="IndexLink"/>
              </w:rPr>
              <w:t>106</w:t>
            </w:r>
          </w:hyperlink>
        </w:p>
        <w:p>
          <w:pPr>
            <w:pStyle w:val="Contents4"/>
            <w:tabs>
              <w:tab w:val="clear" w:pos="8176"/>
              <w:tab w:val="right" w:pos="9026" w:leader="dot"/>
            </w:tabs>
            <w:rPr/>
          </w:pPr>
          <w:hyperlink w:anchor="__RefHeading___Toc7812268_3381743652">
            <w:r>
              <w:rPr>
                <w:webHidden/>
                <w:rStyle w:val="IndexLink"/>
                <w:rtl w:val="true"/>
              </w:rPr>
              <w:t>جامعه و نقش امر به معروف و نهی از منکر</w:t>
            </w:r>
            <w:r>
              <w:rPr>
                <w:rStyle w:val="IndexLink"/>
                <w:rtl w:val="true"/>
              </w:rPr>
              <w:tab/>
            </w:r>
            <w:r>
              <w:rPr>
                <w:rStyle w:val="IndexLink"/>
              </w:rPr>
              <w:t>107</w:t>
            </w:r>
          </w:hyperlink>
        </w:p>
        <w:p>
          <w:pPr>
            <w:pStyle w:val="Contents5"/>
            <w:tabs>
              <w:tab w:val="clear" w:pos="7892"/>
              <w:tab w:val="right" w:pos="9026" w:leader="dot"/>
            </w:tabs>
            <w:rPr/>
          </w:pPr>
          <w:hyperlink w:anchor="__RefHeading___Toc7812270_3381743652">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7812272_3381743652">
            <w:r>
              <w:rPr>
                <w:webHidden/>
                <w:rStyle w:val="IndexLink"/>
                <w:rtl w:val="true"/>
              </w:rPr>
              <w:t>امر به معروف و نهی از منکر، ملاک دینداری</w:t>
            </w:r>
            <w:r>
              <w:rPr>
                <w:rStyle w:val="IndexLink"/>
                <w:rtl w:val="true"/>
              </w:rPr>
              <w:tab/>
            </w:r>
            <w:r>
              <w:rPr>
                <w:rStyle w:val="IndexLink"/>
              </w:rPr>
              <w:t>108</w:t>
            </w:r>
          </w:hyperlink>
        </w:p>
        <w:p>
          <w:pPr>
            <w:pStyle w:val="Contents5"/>
            <w:tabs>
              <w:tab w:val="clear" w:pos="7892"/>
              <w:tab w:val="right" w:pos="9026" w:leader="dot"/>
            </w:tabs>
            <w:rPr/>
          </w:pPr>
          <w:hyperlink w:anchor="__RefHeading___Toc7812274_3381743652">
            <w:r>
              <w:rPr>
                <w:webHidden/>
                <w:rStyle w:val="IndexLink"/>
                <w:rtl w:val="true"/>
              </w:rPr>
              <w:t>نیاز جامعه به امر به معروف و نهی از منکر</w:t>
            </w:r>
            <w:r>
              <w:rPr>
                <w:rStyle w:val="IndexLink"/>
                <w:rtl w:val="true"/>
              </w:rPr>
              <w:tab/>
            </w:r>
            <w:r>
              <w:rPr>
                <w:rStyle w:val="IndexLink"/>
              </w:rPr>
              <w:t>109</w:t>
            </w:r>
          </w:hyperlink>
        </w:p>
        <w:p>
          <w:pPr>
            <w:pStyle w:val="Contents5"/>
            <w:tabs>
              <w:tab w:val="clear" w:pos="7892"/>
              <w:tab w:val="right" w:pos="9026" w:leader="dot"/>
            </w:tabs>
            <w:rPr/>
          </w:pPr>
          <w:hyperlink w:anchor="__RefHeading___Toc7812276_3381743652">
            <w:r>
              <w:rPr>
                <w:webHidden/>
                <w:rStyle w:val="IndexLink"/>
                <w:rtl w:val="true"/>
              </w:rPr>
              <w:t>آثار امر به معروف و نهی از منکر</w:t>
            </w:r>
            <w:r>
              <w:rPr>
                <w:rStyle w:val="IndexLink"/>
                <w:rtl w:val="true"/>
              </w:rPr>
              <w:tab/>
            </w:r>
            <w:r>
              <w:rPr>
                <w:rStyle w:val="IndexLink"/>
              </w:rPr>
              <w:t>111</w:t>
            </w:r>
          </w:hyperlink>
        </w:p>
        <w:p>
          <w:pPr>
            <w:pStyle w:val="Contents5"/>
            <w:tabs>
              <w:tab w:val="clear" w:pos="7892"/>
              <w:tab w:val="right" w:pos="9026" w:leader="dot"/>
            </w:tabs>
            <w:rPr/>
          </w:pPr>
          <w:hyperlink w:anchor="__RefHeading___Toc7812278_3381743652">
            <w:r>
              <w:rPr>
                <w:webHidden/>
                <w:rStyle w:val="IndexLink"/>
                <w:rtl w:val="true"/>
              </w:rPr>
              <w:t>پیامدهای ترک امر به معروف و نهی از منکر</w:t>
            </w:r>
            <w:r>
              <w:rPr>
                <w:rStyle w:val="IndexLink"/>
                <w:rtl w:val="true"/>
              </w:rPr>
              <w:tab/>
            </w:r>
            <w:r>
              <w:rPr>
                <w:rStyle w:val="IndexLink"/>
              </w:rPr>
              <w:t>113</w:t>
            </w:r>
          </w:hyperlink>
        </w:p>
        <w:p>
          <w:pPr>
            <w:pStyle w:val="Contents5"/>
            <w:tabs>
              <w:tab w:val="clear" w:pos="7892"/>
              <w:tab w:val="right" w:pos="9026" w:leader="dot"/>
            </w:tabs>
            <w:rPr/>
          </w:pPr>
          <w:hyperlink w:anchor="__RefHeading___Toc7812280_3381743652">
            <w:r>
              <w:rPr>
                <w:webHidden/>
                <w:rStyle w:val="IndexLink"/>
                <w:rtl w:val="true"/>
              </w:rPr>
              <w:t>اسباب ترک امر به معروف و نهی از منکر</w:t>
            </w:r>
            <w:r>
              <w:rPr>
                <w:rStyle w:val="IndexLink"/>
                <w:rtl w:val="true"/>
              </w:rPr>
              <w:tab/>
            </w:r>
            <w:r>
              <w:rPr>
                <w:rStyle w:val="IndexLink"/>
              </w:rPr>
              <w:t>114</w:t>
            </w:r>
          </w:hyperlink>
        </w:p>
        <w:p>
          <w:pPr>
            <w:pStyle w:val="Contents5"/>
            <w:tabs>
              <w:tab w:val="clear" w:pos="7892"/>
              <w:tab w:val="right" w:pos="9026" w:leader="dot"/>
            </w:tabs>
            <w:rPr/>
          </w:pPr>
          <w:hyperlink w:anchor="__RefHeading___Toc7812282_3381743652">
            <w:r>
              <w:rPr>
                <w:webHidden/>
                <w:rStyle w:val="IndexLink"/>
                <w:rtl w:val="true"/>
              </w:rPr>
              <w:t>تجهیزات لازم برای حضور در جبهه امر به معروف و نهی از منکر</w:t>
            </w:r>
            <w:r>
              <w:rPr>
                <w:rStyle w:val="IndexLink"/>
                <w:rtl w:val="true"/>
              </w:rPr>
              <w:tab/>
            </w:r>
            <w:r>
              <w:rPr>
                <w:rStyle w:val="IndexLink"/>
              </w:rPr>
              <w:t>116</w:t>
            </w:r>
          </w:hyperlink>
        </w:p>
        <w:p>
          <w:pPr>
            <w:pStyle w:val="Contents5"/>
            <w:tabs>
              <w:tab w:val="clear" w:pos="7892"/>
              <w:tab w:val="right" w:pos="9026" w:leader="dot"/>
            </w:tabs>
            <w:rPr/>
          </w:pPr>
          <w:hyperlink w:anchor="__RefHeading___Toc7812284_3381743652">
            <w:r>
              <w:rPr>
                <w:webHidden/>
                <w:rStyle w:val="IndexLink"/>
                <w:rtl w:val="true"/>
              </w:rPr>
              <w:t>آیا امر به معروف و نهی از منکر، یک وظیفه همگانی است؟</w:t>
            </w:r>
            <w:r>
              <w:rPr>
                <w:rStyle w:val="IndexLink"/>
                <w:rtl w:val="true"/>
              </w:rPr>
              <w:tab/>
            </w:r>
            <w:r>
              <w:rPr>
                <w:rStyle w:val="IndexLink"/>
              </w:rPr>
              <w:t>117</w:t>
            </w:r>
          </w:hyperlink>
        </w:p>
        <w:p>
          <w:pPr>
            <w:pStyle w:val="Contents5"/>
            <w:tabs>
              <w:tab w:val="clear" w:pos="7892"/>
              <w:tab w:val="right" w:pos="9026" w:leader="dot"/>
            </w:tabs>
            <w:rPr/>
          </w:pPr>
          <w:hyperlink w:anchor="__RefHeading___Toc7812286_3381743652">
            <w:r>
              <w:rPr>
                <w:webHidden/>
                <w:rStyle w:val="IndexLink"/>
                <w:rtl w:val="true"/>
              </w:rPr>
              <w:t>فاسق و امر به معروف و نهی از منکر</w:t>
            </w:r>
            <w:r>
              <w:rPr>
                <w:rStyle w:val="IndexLink"/>
                <w:rtl w:val="true"/>
              </w:rPr>
              <w:tab/>
            </w:r>
            <w:r>
              <w:rPr>
                <w:rStyle w:val="IndexLink"/>
              </w:rPr>
              <w:t>118</w:t>
            </w:r>
          </w:hyperlink>
        </w:p>
        <w:p>
          <w:pPr>
            <w:pStyle w:val="Contents4"/>
            <w:tabs>
              <w:tab w:val="clear" w:pos="8176"/>
              <w:tab w:val="right" w:pos="9026" w:leader="dot"/>
            </w:tabs>
            <w:rPr/>
          </w:pPr>
          <w:hyperlink w:anchor="__RefHeading___Toc7812288_3381743652">
            <w:r>
              <w:rPr>
                <w:webHidden/>
                <w:rStyle w:val="IndexLink"/>
                <w:rtl w:val="true"/>
              </w:rPr>
              <w:t>شرایط و مراتب امر به معروف و نهی از منکر</w:t>
            </w:r>
            <w:r>
              <w:rPr>
                <w:rStyle w:val="IndexLink"/>
                <w:rtl w:val="true"/>
              </w:rPr>
              <w:tab/>
            </w:r>
            <w:r>
              <w:rPr>
                <w:rStyle w:val="IndexLink"/>
              </w:rPr>
              <w:t>119</w:t>
            </w:r>
          </w:hyperlink>
        </w:p>
        <w:p>
          <w:pPr>
            <w:pStyle w:val="Contents5"/>
            <w:tabs>
              <w:tab w:val="clear" w:pos="7892"/>
              <w:tab w:val="right" w:pos="9026" w:leader="dot"/>
            </w:tabs>
            <w:rPr/>
          </w:pPr>
          <w:hyperlink w:anchor="__RefHeading___Toc7812290_3381743652">
            <w:r>
              <w:rPr>
                <w:webHidden/>
                <w:rStyle w:val="IndexLink"/>
                <w:rtl w:val="true"/>
              </w:rPr>
              <w:t>شرایط امر به معروف و نهی از منکر</w:t>
            </w:r>
            <w:r>
              <w:rPr>
                <w:rStyle w:val="IndexLink"/>
                <w:rtl w:val="true"/>
              </w:rPr>
              <w:tab/>
            </w:r>
            <w:r>
              <w:rPr>
                <w:rStyle w:val="IndexLink"/>
              </w:rPr>
              <w:t>119</w:t>
            </w:r>
          </w:hyperlink>
        </w:p>
        <w:p>
          <w:pPr>
            <w:pStyle w:val="Contents5"/>
            <w:tabs>
              <w:tab w:val="clear" w:pos="7892"/>
              <w:tab w:val="right" w:pos="9026" w:leader="dot"/>
            </w:tabs>
            <w:rPr/>
          </w:pPr>
          <w:hyperlink w:anchor="__RefHeading___Toc7812292_3381743652">
            <w:r>
              <w:rPr>
                <w:webHidden/>
                <w:rStyle w:val="IndexLink"/>
                <w:rtl w:val="true"/>
              </w:rPr>
              <w:t>پسندیده بودن امر به معروف با ترس بر جان</w:t>
            </w:r>
            <w:r>
              <w:rPr>
                <w:rStyle w:val="IndexLink"/>
                <w:rtl w:val="true"/>
              </w:rPr>
              <w:tab/>
            </w:r>
            <w:r>
              <w:rPr>
                <w:rStyle w:val="IndexLink"/>
              </w:rPr>
              <w:t>122</w:t>
            </w:r>
          </w:hyperlink>
        </w:p>
        <w:p>
          <w:pPr>
            <w:pStyle w:val="Contents5"/>
            <w:tabs>
              <w:tab w:val="clear" w:pos="7892"/>
              <w:tab w:val="right" w:pos="9026" w:leader="dot"/>
            </w:tabs>
            <w:rPr/>
          </w:pPr>
          <w:hyperlink w:anchor="__RefHeading___Toc7812294_3381743652">
            <w:r>
              <w:rPr>
                <w:webHidden/>
                <w:rStyle w:val="IndexLink"/>
                <w:rtl w:val="true"/>
              </w:rPr>
              <w:t>تفاوت امر به معروف و عبادات شرعیه</w:t>
            </w:r>
            <w:r>
              <w:rPr>
                <w:rStyle w:val="IndexLink"/>
                <w:rtl w:val="true"/>
              </w:rPr>
              <w:tab/>
            </w:r>
            <w:r>
              <w:rPr>
                <w:rStyle w:val="IndexLink"/>
              </w:rPr>
              <w:t>122</w:t>
            </w:r>
          </w:hyperlink>
        </w:p>
        <w:p>
          <w:pPr>
            <w:pStyle w:val="Contents4"/>
            <w:tabs>
              <w:tab w:val="clear" w:pos="8176"/>
              <w:tab w:val="right" w:pos="9026" w:leader="dot"/>
            </w:tabs>
            <w:rPr/>
          </w:pPr>
          <w:hyperlink w:anchor="__RefHeading___Toc7812296_3381743652">
            <w:r>
              <w:rPr>
                <w:webHidden/>
                <w:rStyle w:val="IndexLink"/>
                <w:rtl w:val="true"/>
              </w:rPr>
              <w:t>مراتب امر به معروف و نهی از منکر</w:t>
            </w:r>
            <w:r>
              <w:rPr>
                <w:rStyle w:val="IndexLink"/>
                <w:rtl w:val="true"/>
              </w:rPr>
              <w:tab/>
            </w:r>
            <w:r>
              <w:rPr>
                <w:rStyle w:val="IndexLink"/>
              </w:rPr>
              <w:t>123</w:t>
            </w:r>
          </w:hyperlink>
        </w:p>
        <w:p>
          <w:pPr>
            <w:pStyle w:val="Contents5"/>
            <w:tabs>
              <w:tab w:val="clear" w:pos="7892"/>
              <w:tab w:val="right" w:pos="9026" w:leader="dot"/>
            </w:tabs>
            <w:rPr/>
          </w:pPr>
          <w:hyperlink w:anchor="__RefHeading___Toc7812298_3381743652">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7812300_3381743652">
            <w:r>
              <w:rPr>
                <w:webHidden/>
                <w:rStyle w:val="IndexLink"/>
                <w:rtl w:val="true"/>
              </w:rPr>
              <w:t>سیر صعودی و نزولی در امر به معروف و نهی از منکر</w:t>
            </w:r>
            <w:r>
              <w:rPr>
                <w:rStyle w:val="IndexLink"/>
                <w:rtl w:val="true"/>
              </w:rPr>
              <w:tab/>
            </w:r>
            <w:r>
              <w:rPr>
                <w:rStyle w:val="IndexLink"/>
              </w:rPr>
              <w:t>124</w:t>
            </w:r>
          </w:hyperlink>
        </w:p>
        <w:p>
          <w:pPr>
            <w:pStyle w:val="Contents5"/>
            <w:tabs>
              <w:tab w:val="clear" w:pos="7892"/>
              <w:tab w:val="right" w:pos="9026" w:leader="dot"/>
            </w:tabs>
            <w:rPr/>
          </w:pPr>
          <w:hyperlink w:anchor="__RefHeading___Toc7812302_3381743652">
            <w:r>
              <w:rPr>
                <w:webHidden/>
                <w:rStyle w:val="IndexLink"/>
                <w:rtl w:val="true"/>
              </w:rPr>
              <w:t>لزوم حمل سلاح در انکار منکر</w:t>
            </w:r>
            <w:r>
              <w:rPr>
                <w:rStyle w:val="IndexLink"/>
                <w:rtl w:val="true"/>
              </w:rPr>
              <w:tab/>
            </w:r>
            <w:r>
              <w:rPr>
                <w:rStyle w:val="IndexLink"/>
              </w:rPr>
              <w:t>126</w:t>
            </w:r>
          </w:hyperlink>
        </w:p>
        <w:p>
          <w:pPr>
            <w:pStyle w:val="Contents5"/>
            <w:tabs>
              <w:tab w:val="clear" w:pos="7892"/>
              <w:tab w:val="right" w:pos="9026" w:leader="dot"/>
            </w:tabs>
            <w:rPr/>
          </w:pPr>
          <w:hyperlink w:anchor="__RefHeading___Toc7812304_3381743652">
            <w:r>
              <w:rPr>
                <w:webHidden/>
                <w:rStyle w:val="IndexLink"/>
                <w:rtl w:val="true"/>
              </w:rPr>
              <w:t>تفاوت انکار منکر به اعتبار موارد</w:t>
            </w:r>
            <w:r>
              <w:rPr>
                <w:rStyle w:val="IndexLink"/>
                <w:rtl w:val="true"/>
              </w:rPr>
              <w:tab/>
            </w:r>
            <w:r>
              <w:rPr>
                <w:rStyle w:val="IndexLink"/>
              </w:rPr>
              <w:t>126</w:t>
            </w:r>
          </w:hyperlink>
        </w:p>
        <w:p>
          <w:pPr>
            <w:pStyle w:val="Contents5"/>
            <w:tabs>
              <w:tab w:val="clear" w:pos="7892"/>
              <w:tab w:val="right" w:pos="9026" w:leader="dot"/>
            </w:tabs>
            <w:rPr/>
          </w:pPr>
          <w:hyperlink w:anchor="__RefHeading___Toc7812306_3381743652">
            <w:r>
              <w:rPr>
                <w:webHidden/>
                <w:rStyle w:val="IndexLink"/>
                <w:rtl w:val="true"/>
              </w:rPr>
              <w:t>سیر نزولی امر به معروف و نهی از منکر</w:t>
            </w:r>
            <w:r>
              <w:rPr>
                <w:rStyle w:val="IndexLink"/>
                <w:rtl w:val="true"/>
              </w:rPr>
              <w:tab/>
            </w:r>
            <w:r>
              <w:rPr>
                <w:rStyle w:val="IndexLink"/>
              </w:rPr>
              <w:t>127</w:t>
            </w:r>
          </w:hyperlink>
        </w:p>
        <w:p>
          <w:pPr>
            <w:pStyle w:val="Contents4"/>
            <w:tabs>
              <w:tab w:val="clear" w:pos="8176"/>
              <w:tab w:val="right" w:pos="9026" w:leader="dot"/>
            </w:tabs>
            <w:rPr/>
          </w:pPr>
          <w:hyperlink w:anchor="__RefHeading___Toc7812308_3381743652">
            <w:r>
              <w:rPr>
                <w:webHidden/>
                <w:rStyle w:val="IndexLink"/>
                <w:rtl w:val="true"/>
              </w:rPr>
              <w:t>چکیده</w:t>
            </w:r>
            <w:r>
              <w:rPr>
                <w:rStyle w:val="IndexLink"/>
                <w:rtl w:val="true"/>
              </w:rPr>
              <w:tab/>
            </w:r>
            <w:r>
              <w:rPr>
                <w:rStyle w:val="IndexLink"/>
              </w:rPr>
              <w:t>127</w:t>
            </w:r>
          </w:hyperlink>
        </w:p>
        <w:p>
          <w:pPr>
            <w:pStyle w:val="Contents2"/>
            <w:tabs>
              <w:tab w:val="clear" w:pos="8743"/>
              <w:tab w:val="right" w:pos="9026" w:leader="dot"/>
            </w:tabs>
            <w:rPr/>
          </w:pPr>
          <w:hyperlink w:anchor="__RefHeading___Toc7812310_3381743652">
            <w:r>
              <w:rPr>
                <w:webHidden/>
                <w:rStyle w:val="IndexLink"/>
                <w:rtl w:val="true"/>
              </w:rPr>
              <w:t>معاد</w:t>
            </w:r>
            <w:r>
              <w:rPr>
                <w:rStyle w:val="IndexLink"/>
                <w:rtl w:val="true"/>
              </w:rPr>
              <w:tab/>
            </w:r>
            <w:r>
              <w:rPr>
                <w:rStyle w:val="IndexLink"/>
              </w:rPr>
              <w:t>129</w:t>
            </w:r>
          </w:hyperlink>
        </w:p>
        <w:p>
          <w:pPr>
            <w:pStyle w:val="Contents3"/>
            <w:tabs>
              <w:tab w:val="clear" w:pos="8459"/>
              <w:tab w:val="right" w:pos="9026" w:leader="dot"/>
            </w:tabs>
            <w:rPr/>
          </w:pPr>
          <w:hyperlink w:anchor="__RefHeading___Toc7812312_3381743652">
            <w:r>
              <w:rPr>
                <w:webHidden/>
                <w:rStyle w:val="IndexLink"/>
                <w:rtl w:val="true"/>
              </w:rPr>
              <w:t>مقدمه</w:t>
            </w:r>
            <w:r>
              <w:rPr>
                <w:rStyle w:val="IndexLink"/>
                <w:rtl w:val="true"/>
              </w:rPr>
              <w:tab/>
            </w:r>
            <w:r>
              <w:rPr>
                <w:rStyle w:val="IndexLink"/>
              </w:rPr>
              <w:t>129</w:t>
            </w:r>
          </w:hyperlink>
        </w:p>
        <w:p>
          <w:pPr>
            <w:pStyle w:val="Contents3"/>
            <w:tabs>
              <w:tab w:val="clear" w:pos="8459"/>
              <w:tab w:val="right" w:pos="9026" w:leader="dot"/>
            </w:tabs>
            <w:rPr/>
          </w:pPr>
          <w:hyperlink w:anchor="__RefHeading___Toc7812314_3381743652">
            <w:r>
              <w:rPr>
                <w:webHidden/>
                <w:rStyle w:val="IndexLink"/>
                <w:rtl w:val="true"/>
              </w:rPr>
              <w:t>معاد در لغت و اصطلاح</w:t>
            </w:r>
            <w:r>
              <w:rPr>
                <w:rStyle w:val="IndexLink"/>
                <w:rtl w:val="true"/>
              </w:rPr>
              <w:tab/>
            </w:r>
            <w:r>
              <w:rPr>
                <w:rStyle w:val="IndexLink"/>
              </w:rPr>
              <w:t>131</w:t>
            </w:r>
          </w:hyperlink>
        </w:p>
        <w:p>
          <w:pPr>
            <w:pStyle w:val="Contents3"/>
            <w:tabs>
              <w:tab w:val="clear" w:pos="8459"/>
              <w:tab w:val="right" w:pos="9026" w:leader="dot"/>
            </w:tabs>
            <w:rPr/>
          </w:pPr>
          <w:hyperlink w:anchor="__RefHeading___Toc7812316_3381743652">
            <w:r>
              <w:rPr>
                <w:webHidden/>
                <w:rStyle w:val="IndexLink"/>
                <w:rtl w:val="true"/>
              </w:rPr>
              <w:t>دلایل امکان معاد در قرآن</w:t>
            </w:r>
            <w:r>
              <w:rPr>
                <w:rStyle w:val="IndexLink"/>
                <w:rtl w:val="true"/>
              </w:rPr>
              <w:tab/>
            </w:r>
            <w:r>
              <w:rPr>
                <w:rStyle w:val="IndexLink"/>
              </w:rPr>
              <w:t>132</w:t>
            </w:r>
          </w:hyperlink>
        </w:p>
        <w:p>
          <w:pPr>
            <w:pStyle w:val="Contents4"/>
            <w:tabs>
              <w:tab w:val="clear" w:pos="8176"/>
              <w:tab w:val="right" w:pos="9026" w:leader="dot"/>
            </w:tabs>
            <w:rPr/>
          </w:pPr>
          <w:hyperlink w:anchor="__RefHeading___Toc7812318_3381743652">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7812320_3381743652">
            <w:r>
              <w:rPr>
                <w:webHidden/>
                <w:rStyle w:val="IndexLink"/>
              </w:rPr>
              <w:t>۱</w:t>
            </w:r>
            <w:r>
              <w:rPr>
                <w:rStyle w:val="IndexLink"/>
                <w:rtl w:val="true"/>
              </w:rPr>
              <w:t xml:space="preserve">. </w:t>
            </w:r>
            <w:r>
              <w:rPr>
                <w:rStyle w:val="IndexLink"/>
                <w:rtl w:val="true"/>
              </w:rPr>
              <w:t>آفرینش نخستین</w:t>
            </w:r>
            <w:r>
              <w:rPr>
                <w:rStyle w:val="IndexLink"/>
                <w:rtl w:val="true"/>
              </w:rPr>
              <w:tab/>
            </w:r>
            <w:r>
              <w:rPr>
                <w:rStyle w:val="IndexLink"/>
              </w:rPr>
              <w:t>132</w:t>
            </w:r>
          </w:hyperlink>
        </w:p>
        <w:p>
          <w:pPr>
            <w:pStyle w:val="Contents4"/>
            <w:tabs>
              <w:tab w:val="clear" w:pos="8176"/>
              <w:tab w:val="right" w:pos="9026" w:leader="dot"/>
            </w:tabs>
            <w:rPr/>
          </w:pPr>
          <w:hyperlink w:anchor="__RefHeading___Toc7812322_3381743652">
            <w:r>
              <w:rPr>
                <w:webHidden/>
                <w:rStyle w:val="IndexLink"/>
              </w:rPr>
              <w:t>۲</w:t>
            </w:r>
            <w:r>
              <w:rPr>
                <w:rStyle w:val="IndexLink"/>
                <w:rtl w:val="true"/>
              </w:rPr>
              <w:t xml:space="preserve">. </w:t>
            </w:r>
            <w:r>
              <w:rPr>
                <w:rStyle w:val="IndexLink"/>
                <w:rtl w:val="true"/>
              </w:rPr>
              <w:t>قدرت مطلقه خداوند</w:t>
            </w:r>
            <w:r>
              <w:rPr>
                <w:rStyle w:val="IndexLink"/>
                <w:rtl w:val="true"/>
              </w:rPr>
              <w:tab/>
            </w:r>
            <w:r>
              <w:rPr>
                <w:rStyle w:val="IndexLink"/>
              </w:rPr>
              <w:t>133</w:t>
            </w:r>
          </w:hyperlink>
        </w:p>
        <w:p>
          <w:pPr>
            <w:pStyle w:val="Contents4"/>
            <w:tabs>
              <w:tab w:val="clear" w:pos="8176"/>
              <w:tab w:val="right" w:pos="9026" w:leader="dot"/>
            </w:tabs>
            <w:rPr/>
          </w:pPr>
          <w:hyperlink w:anchor="__RefHeading___Toc7812324_3381743652">
            <w:r>
              <w:rPr>
                <w:webHidden/>
                <w:rStyle w:val="IndexLink"/>
              </w:rPr>
              <w:t>٣</w:t>
            </w:r>
            <w:r>
              <w:rPr>
                <w:rStyle w:val="IndexLink"/>
                <w:rtl w:val="true"/>
              </w:rPr>
              <w:t xml:space="preserve">. </w:t>
            </w:r>
            <w:r>
              <w:rPr>
                <w:rStyle w:val="IndexLink"/>
                <w:rtl w:val="true"/>
              </w:rPr>
              <w:t>احیای ارض یا حیات و مرگ گیاهان</w:t>
            </w:r>
            <w:r>
              <w:rPr>
                <w:rStyle w:val="IndexLink"/>
                <w:rtl w:val="true"/>
              </w:rPr>
              <w:tab/>
            </w:r>
            <w:r>
              <w:rPr>
                <w:rStyle w:val="IndexLink"/>
              </w:rPr>
              <w:t>134</w:t>
            </w:r>
          </w:hyperlink>
        </w:p>
        <w:p>
          <w:pPr>
            <w:pStyle w:val="Contents4"/>
            <w:tabs>
              <w:tab w:val="clear" w:pos="8176"/>
              <w:tab w:val="right" w:pos="9026" w:leader="dot"/>
            </w:tabs>
            <w:rPr/>
          </w:pPr>
          <w:hyperlink w:anchor="__RefHeading___Toc7812326_3381743652">
            <w:r>
              <w:rPr>
                <w:webHidden/>
                <w:rStyle w:val="IndexLink"/>
              </w:rPr>
              <w:t>۴</w:t>
            </w:r>
            <w:r>
              <w:rPr>
                <w:rStyle w:val="IndexLink"/>
                <w:rtl w:val="true"/>
              </w:rPr>
              <w:t xml:space="preserve">. </w:t>
            </w:r>
            <w:r>
              <w:rPr>
                <w:rStyle w:val="IndexLink"/>
                <w:rtl w:val="true"/>
              </w:rPr>
              <w:t>سیر تکامل جنین</w:t>
            </w:r>
            <w:r>
              <w:rPr>
                <w:rStyle w:val="IndexLink"/>
                <w:rtl w:val="true"/>
              </w:rPr>
              <w:tab/>
            </w:r>
            <w:r>
              <w:rPr>
                <w:rStyle w:val="IndexLink"/>
              </w:rPr>
              <w:t>136</w:t>
            </w:r>
          </w:hyperlink>
        </w:p>
        <w:p>
          <w:pPr>
            <w:pStyle w:val="Contents4"/>
            <w:tabs>
              <w:tab w:val="clear" w:pos="8176"/>
              <w:tab w:val="right" w:pos="9026" w:leader="dot"/>
            </w:tabs>
            <w:rPr/>
          </w:pPr>
          <w:hyperlink w:anchor="__RefHeading___Toc7812328_3381743652">
            <w:r>
              <w:rPr>
                <w:webHidden/>
                <w:rStyle w:val="IndexLink"/>
              </w:rPr>
              <w:t>۵</w:t>
            </w:r>
            <w:r>
              <w:rPr>
                <w:rStyle w:val="IndexLink"/>
                <w:rtl w:val="true"/>
              </w:rPr>
              <w:t xml:space="preserve">. </w:t>
            </w:r>
            <w:r>
              <w:rPr>
                <w:rStyle w:val="IndexLink"/>
                <w:rtl w:val="true"/>
              </w:rPr>
              <w:t>نمونه های عینی و تاریخی معاد</w:t>
            </w:r>
            <w:r>
              <w:rPr>
                <w:rStyle w:val="IndexLink"/>
                <w:rtl w:val="true"/>
              </w:rPr>
              <w:tab/>
            </w:r>
            <w:r>
              <w:rPr>
                <w:rStyle w:val="IndexLink"/>
              </w:rPr>
              <w:t>137</w:t>
            </w:r>
          </w:hyperlink>
        </w:p>
        <w:p>
          <w:pPr>
            <w:pStyle w:val="Contents3"/>
            <w:tabs>
              <w:tab w:val="clear" w:pos="8459"/>
              <w:tab w:val="right" w:pos="9026" w:leader="dot"/>
            </w:tabs>
            <w:rPr/>
          </w:pPr>
          <w:hyperlink w:anchor="__RefHeading___Toc7812330_3381743652">
            <w:r>
              <w:rPr>
                <w:webHidden/>
                <w:rStyle w:val="IndexLink"/>
                <w:rtl w:val="true"/>
              </w:rPr>
              <w:t>امکان و امتناع اعاده معدوم</w:t>
            </w:r>
            <w:r>
              <w:rPr>
                <w:rStyle w:val="IndexLink"/>
                <w:rtl w:val="true"/>
              </w:rPr>
              <w:tab/>
            </w:r>
            <w:r>
              <w:rPr>
                <w:rStyle w:val="IndexLink"/>
              </w:rPr>
              <w:t>137</w:t>
            </w:r>
          </w:hyperlink>
        </w:p>
        <w:p>
          <w:pPr>
            <w:pStyle w:val="Contents3"/>
            <w:tabs>
              <w:tab w:val="clear" w:pos="8459"/>
              <w:tab w:val="right" w:pos="9026" w:leader="dot"/>
            </w:tabs>
            <w:rPr/>
          </w:pPr>
          <w:hyperlink w:anchor="__RefHeading___Toc7812332_3381743652">
            <w:r>
              <w:rPr>
                <w:webHidden/>
                <w:rStyle w:val="IndexLink"/>
                <w:rtl w:val="true"/>
              </w:rPr>
              <w:t>ادله قائلان به جواز</w:t>
            </w:r>
            <w:r>
              <w:rPr>
                <w:rStyle w:val="IndexLink"/>
                <w:rtl w:val="true"/>
              </w:rPr>
              <w:tab/>
            </w:r>
            <w:r>
              <w:rPr>
                <w:rStyle w:val="IndexLink"/>
              </w:rPr>
              <w:t>138</w:t>
            </w:r>
          </w:hyperlink>
        </w:p>
        <w:p>
          <w:pPr>
            <w:pStyle w:val="Contents3"/>
            <w:tabs>
              <w:tab w:val="clear" w:pos="8459"/>
              <w:tab w:val="right" w:pos="9026" w:leader="dot"/>
            </w:tabs>
            <w:rPr/>
          </w:pPr>
          <w:hyperlink w:anchor="__RefHeading___Toc7812334_3381743652">
            <w:r>
              <w:rPr>
                <w:webHidden/>
                <w:rStyle w:val="IndexLink"/>
                <w:rtl w:val="true"/>
              </w:rPr>
              <w:t>ادله قائلان به منع</w:t>
            </w:r>
            <w:r>
              <w:rPr>
                <w:rStyle w:val="IndexLink"/>
                <w:rtl w:val="true"/>
              </w:rPr>
              <w:tab/>
            </w:r>
            <w:r>
              <w:rPr>
                <w:rStyle w:val="IndexLink"/>
              </w:rPr>
              <w:t>138</w:t>
            </w:r>
          </w:hyperlink>
        </w:p>
        <w:p>
          <w:pPr>
            <w:pStyle w:val="Contents3"/>
            <w:tabs>
              <w:tab w:val="clear" w:pos="8459"/>
              <w:tab w:val="right" w:pos="9026" w:leader="dot"/>
            </w:tabs>
            <w:rPr/>
          </w:pPr>
          <w:hyperlink w:anchor="__RefHeading___Toc7812336_3381743652">
            <w:r>
              <w:rPr>
                <w:webHidden/>
                <w:rStyle w:val="IndexLink"/>
                <w:rtl w:val="true"/>
              </w:rPr>
              <w:t>فنای جواهر</w:t>
            </w:r>
            <w:r>
              <w:rPr>
                <w:rStyle w:val="IndexLink"/>
                <w:rtl w:val="true"/>
              </w:rPr>
              <w:tab/>
            </w:r>
            <w:r>
              <w:rPr>
                <w:rStyle w:val="IndexLink"/>
              </w:rPr>
              <w:t>139</w:t>
            </w:r>
          </w:hyperlink>
        </w:p>
        <w:p>
          <w:pPr>
            <w:pStyle w:val="Contents4"/>
            <w:tabs>
              <w:tab w:val="clear" w:pos="8176"/>
              <w:tab w:val="right" w:pos="9026" w:leader="dot"/>
            </w:tabs>
            <w:rPr/>
          </w:pPr>
          <w:hyperlink w:anchor="__RefHeading___Toc7812338_3381743652">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7812340_3381743652">
            <w:r>
              <w:rPr>
                <w:webHidden/>
                <w:rStyle w:val="IndexLink"/>
                <w:rtl w:val="true"/>
              </w:rPr>
              <w:t>معنای فنا</w:t>
            </w:r>
            <w:r>
              <w:rPr>
                <w:rStyle w:val="IndexLink"/>
                <w:rtl w:val="true"/>
              </w:rPr>
              <w:tab/>
            </w:r>
            <w:r>
              <w:rPr>
                <w:rStyle w:val="IndexLink"/>
              </w:rPr>
              <w:t>139</w:t>
            </w:r>
          </w:hyperlink>
        </w:p>
        <w:p>
          <w:pPr>
            <w:pStyle w:val="Contents4"/>
            <w:tabs>
              <w:tab w:val="clear" w:pos="8176"/>
              <w:tab w:val="right" w:pos="9026" w:leader="dot"/>
            </w:tabs>
            <w:rPr/>
          </w:pPr>
          <w:hyperlink w:anchor="__RefHeading___Toc7812342_3381743652">
            <w:r>
              <w:rPr>
                <w:webHidden/>
                <w:rStyle w:val="IndexLink"/>
                <w:rtl w:val="true"/>
              </w:rPr>
              <w:t>کیفیت فنا</w:t>
            </w:r>
            <w:r>
              <w:rPr>
                <w:rStyle w:val="IndexLink"/>
                <w:rtl w:val="true"/>
              </w:rPr>
              <w:tab/>
            </w:r>
            <w:r>
              <w:rPr>
                <w:rStyle w:val="IndexLink"/>
              </w:rPr>
              <w:t>139</w:t>
            </w:r>
          </w:hyperlink>
        </w:p>
        <w:p>
          <w:pPr>
            <w:pStyle w:val="Contents4"/>
            <w:tabs>
              <w:tab w:val="clear" w:pos="8176"/>
              <w:tab w:val="right" w:pos="9026" w:leader="dot"/>
            </w:tabs>
            <w:rPr/>
          </w:pPr>
          <w:hyperlink w:anchor="__RefHeading___Toc7812344_3381743652">
            <w:r>
              <w:rPr>
                <w:webHidden/>
                <w:rStyle w:val="IndexLink"/>
                <w:rtl w:val="true"/>
              </w:rPr>
              <w:t>ادله مثبتان و نافیان</w:t>
            </w:r>
            <w:r>
              <w:rPr>
                <w:rStyle w:val="IndexLink"/>
                <w:rtl w:val="true"/>
              </w:rPr>
              <w:tab/>
            </w:r>
            <w:r>
              <w:rPr>
                <w:rStyle w:val="IndexLink"/>
              </w:rPr>
              <w:t>141</w:t>
            </w:r>
          </w:hyperlink>
        </w:p>
        <w:p>
          <w:pPr>
            <w:pStyle w:val="Contents3"/>
            <w:tabs>
              <w:tab w:val="clear" w:pos="8459"/>
              <w:tab w:val="right" w:pos="9026" w:leader="dot"/>
            </w:tabs>
            <w:rPr/>
          </w:pPr>
          <w:hyperlink w:anchor="__RefHeading___Toc7812346_3381743652">
            <w:r>
              <w:rPr>
                <w:webHidden/>
                <w:rStyle w:val="IndexLink"/>
                <w:rtl w:val="true"/>
              </w:rPr>
              <w:t>قرآن و ضرورت معاد</w:t>
            </w:r>
            <w:r>
              <w:rPr>
                <w:rStyle w:val="IndexLink"/>
                <w:rtl w:val="true"/>
              </w:rPr>
              <w:tab/>
            </w:r>
            <w:r>
              <w:rPr>
                <w:rStyle w:val="IndexLink"/>
              </w:rPr>
              <w:t>142</w:t>
            </w:r>
          </w:hyperlink>
        </w:p>
        <w:p>
          <w:pPr>
            <w:pStyle w:val="Contents4"/>
            <w:tabs>
              <w:tab w:val="clear" w:pos="8176"/>
              <w:tab w:val="right" w:pos="9026" w:leader="dot"/>
            </w:tabs>
            <w:rPr/>
          </w:pPr>
          <w:hyperlink w:anchor="__RefHeading___Toc7812348_3381743652">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7812350_3381743652">
            <w:r>
              <w:rPr>
                <w:webHidden/>
                <w:rStyle w:val="IndexLink"/>
              </w:rPr>
              <w:t>١</w:t>
            </w:r>
            <w:r>
              <w:rPr>
                <w:rStyle w:val="IndexLink"/>
                <w:rtl w:val="true"/>
              </w:rPr>
              <w:t xml:space="preserve">. </w:t>
            </w:r>
            <w:r>
              <w:rPr>
                <w:rStyle w:val="IndexLink"/>
                <w:rtl w:val="true"/>
              </w:rPr>
              <w:t>برهان حکمت</w:t>
            </w:r>
            <w:r>
              <w:rPr>
                <w:rStyle w:val="IndexLink"/>
                <w:rtl w:val="true"/>
              </w:rPr>
              <w:tab/>
            </w:r>
            <w:r>
              <w:rPr>
                <w:rStyle w:val="IndexLink"/>
              </w:rPr>
              <w:t>142</w:t>
            </w:r>
          </w:hyperlink>
        </w:p>
        <w:p>
          <w:pPr>
            <w:pStyle w:val="Contents4"/>
            <w:tabs>
              <w:tab w:val="clear" w:pos="8176"/>
              <w:tab w:val="right" w:pos="9026" w:leader="dot"/>
            </w:tabs>
            <w:rPr/>
          </w:pPr>
          <w:hyperlink w:anchor="__RefHeading___Toc7812352_3381743652">
            <w:r>
              <w:rPr>
                <w:webHidden/>
                <w:rStyle w:val="IndexLink"/>
              </w:rPr>
              <w:t>۲</w:t>
            </w:r>
            <w:r>
              <w:rPr>
                <w:rStyle w:val="IndexLink"/>
                <w:rtl w:val="true"/>
              </w:rPr>
              <w:t xml:space="preserve">. </w:t>
            </w:r>
            <w:r>
              <w:rPr>
                <w:rStyle w:val="IndexLink"/>
                <w:rtl w:val="true"/>
              </w:rPr>
              <w:t>برهان عدالت</w:t>
            </w:r>
            <w:r>
              <w:rPr>
                <w:rStyle w:val="IndexLink"/>
                <w:rtl w:val="true"/>
              </w:rPr>
              <w:tab/>
            </w:r>
            <w:r>
              <w:rPr>
                <w:rStyle w:val="IndexLink"/>
              </w:rPr>
              <w:t>145</w:t>
            </w:r>
          </w:hyperlink>
        </w:p>
        <w:p>
          <w:pPr>
            <w:pStyle w:val="Contents3"/>
            <w:tabs>
              <w:tab w:val="clear" w:pos="8459"/>
              <w:tab w:val="right" w:pos="9026" w:leader="dot"/>
            </w:tabs>
            <w:rPr/>
          </w:pPr>
          <w:hyperlink w:anchor="__RefHeading___Toc7812354_3381743652">
            <w:r>
              <w:rPr>
                <w:webHidden/>
                <w:rStyle w:val="IndexLink"/>
                <w:rtl w:val="true"/>
              </w:rPr>
              <w:t>معاد، از ضروریات دین</w:t>
            </w:r>
            <w:r>
              <w:rPr>
                <w:rStyle w:val="IndexLink"/>
                <w:rtl w:val="true"/>
              </w:rPr>
              <w:tab/>
            </w:r>
            <w:r>
              <w:rPr>
                <w:rStyle w:val="IndexLink"/>
              </w:rPr>
              <w:t>146</w:t>
            </w:r>
          </w:hyperlink>
        </w:p>
        <w:p>
          <w:pPr>
            <w:pStyle w:val="Contents3"/>
            <w:tabs>
              <w:tab w:val="clear" w:pos="8459"/>
              <w:tab w:val="right" w:pos="9026" w:leader="dot"/>
            </w:tabs>
            <w:rPr/>
          </w:pPr>
          <w:hyperlink w:anchor="__RefHeading___Toc7812356_3381743652">
            <w:r>
              <w:rPr>
                <w:webHidden/>
                <w:rStyle w:val="IndexLink"/>
                <w:rtl w:val="true"/>
              </w:rPr>
              <w:t>کیفیت معاد، جسمانی یا روحانی؟</w:t>
            </w:r>
            <w:r>
              <w:rPr>
                <w:rStyle w:val="IndexLink"/>
                <w:rtl w:val="true"/>
              </w:rPr>
              <w:tab/>
            </w:r>
            <w:r>
              <w:rPr>
                <w:rStyle w:val="IndexLink"/>
              </w:rPr>
              <w:t>148</w:t>
            </w:r>
          </w:hyperlink>
        </w:p>
        <w:p>
          <w:pPr>
            <w:pStyle w:val="Contents4"/>
            <w:tabs>
              <w:tab w:val="clear" w:pos="8176"/>
              <w:tab w:val="right" w:pos="9026" w:leader="dot"/>
            </w:tabs>
            <w:rPr/>
          </w:pPr>
          <w:hyperlink w:anchor="__RefHeading___Toc7812358_3381743652">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7812360_3381743652">
            <w:r>
              <w:rPr>
                <w:webHidden/>
                <w:rStyle w:val="IndexLink"/>
              </w:rPr>
              <w:t>۱</w:t>
            </w:r>
            <w:r>
              <w:rPr>
                <w:rStyle w:val="IndexLink"/>
                <w:rtl w:val="true"/>
              </w:rPr>
              <w:t xml:space="preserve">. </w:t>
            </w:r>
            <w:r>
              <w:rPr>
                <w:rStyle w:val="IndexLink"/>
                <w:rtl w:val="true"/>
              </w:rPr>
              <w:t>هم جسمانی و هم روحانی</w:t>
            </w:r>
            <w:r>
              <w:rPr>
                <w:rStyle w:val="IndexLink"/>
                <w:rtl w:val="true"/>
              </w:rPr>
              <w:tab/>
            </w:r>
            <w:r>
              <w:rPr>
                <w:rStyle w:val="IndexLink"/>
              </w:rPr>
              <w:t>148</w:t>
            </w:r>
          </w:hyperlink>
        </w:p>
        <w:p>
          <w:pPr>
            <w:pStyle w:val="Contents5"/>
            <w:tabs>
              <w:tab w:val="clear" w:pos="7892"/>
              <w:tab w:val="right" w:pos="9026" w:leader="dot"/>
            </w:tabs>
            <w:rPr/>
          </w:pPr>
          <w:hyperlink w:anchor="__RefHeading___Toc7812362_3381743652">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7812364_3381743652">
            <w:r>
              <w:rPr>
                <w:webHidden/>
                <w:rStyle w:val="IndexLink"/>
                <w:rtl w:val="true"/>
              </w:rPr>
              <w:t>دلیل بر معاد روحانی و جسمانی</w:t>
            </w:r>
            <w:r>
              <w:rPr>
                <w:rStyle w:val="IndexLink"/>
                <w:rtl w:val="true"/>
              </w:rPr>
              <w:tab/>
            </w:r>
            <w:r>
              <w:rPr>
                <w:rStyle w:val="IndexLink"/>
              </w:rPr>
              <w:t>149</w:t>
            </w:r>
          </w:hyperlink>
        </w:p>
        <w:p>
          <w:pPr>
            <w:pStyle w:val="Contents4"/>
            <w:tabs>
              <w:tab w:val="clear" w:pos="8176"/>
              <w:tab w:val="right" w:pos="9026" w:leader="dot"/>
            </w:tabs>
            <w:rPr/>
          </w:pPr>
          <w:hyperlink w:anchor="__RefHeading___Toc7812366_3381743652">
            <w:r>
              <w:rPr>
                <w:webHidden/>
                <w:rStyle w:val="IndexLink"/>
              </w:rPr>
              <w:t>۲</w:t>
            </w:r>
            <w:r>
              <w:rPr>
                <w:rStyle w:val="IndexLink"/>
                <w:rtl w:val="true"/>
              </w:rPr>
              <w:t xml:space="preserve">. </w:t>
            </w:r>
            <w:r>
              <w:rPr>
                <w:rStyle w:val="IndexLink"/>
                <w:rtl w:val="true"/>
              </w:rPr>
              <w:t>فقط معاد جسمانی</w:t>
            </w:r>
            <w:r>
              <w:rPr>
                <w:rStyle w:val="IndexLink"/>
                <w:rtl w:val="true"/>
              </w:rPr>
              <w:tab/>
            </w:r>
            <w:r>
              <w:rPr>
                <w:rStyle w:val="IndexLink"/>
              </w:rPr>
              <w:t>149</w:t>
            </w:r>
          </w:hyperlink>
        </w:p>
        <w:p>
          <w:pPr>
            <w:pStyle w:val="Contents4"/>
            <w:tabs>
              <w:tab w:val="clear" w:pos="8176"/>
              <w:tab w:val="right" w:pos="9026" w:leader="dot"/>
            </w:tabs>
            <w:rPr/>
          </w:pPr>
          <w:hyperlink w:anchor="__RefHeading___Toc7812368_3381743652">
            <w:r>
              <w:rPr>
                <w:webHidden/>
                <w:rStyle w:val="IndexLink"/>
              </w:rPr>
              <w:t>٣</w:t>
            </w:r>
            <w:r>
              <w:rPr>
                <w:rStyle w:val="IndexLink"/>
                <w:rtl w:val="true"/>
              </w:rPr>
              <w:t xml:space="preserve">. </w:t>
            </w:r>
            <w:r>
              <w:rPr>
                <w:rStyle w:val="IndexLink"/>
                <w:rtl w:val="true"/>
              </w:rPr>
              <w:t>فقط معاد روحانی</w:t>
            </w:r>
            <w:r>
              <w:rPr>
                <w:rStyle w:val="IndexLink"/>
                <w:rtl w:val="true"/>
              </w:rPr>
              <w:tab/>
            </w:r>
            <w:r>
              <w:rPr>
                <w:rStyle w:val="IndexLink"/>
              </w:rPr>
              <w:t>150</w:t>
            </w:r>
          </w:hyperlink>
        </w:p>
        <w:p>
          <w:pPr>
            <w:pStyle w:val="Contents3"/>
            <w:tabs>
              <w:tab w:val="clear" w:pos="8459"/>
              <w:tab w:val="right" w:pos="9026" w:leader="dot"/>
            </w:tabs>
            <w:rPr/>
          </w:pPr>
          <w:hyperlink w:anchor="__RefHeading___Toc7812370_3381743652">
            <w:r>
              <w:rPr>
                <w:webHidden/>
                <w:rStyle w:val="IndexLink"/>
                <w:rtl w:val="true"/>
              </w:rPr>
              <w:t>شبهات معاد جسمانی</w:t>
            </w:r>
            <w:r>
              <w:rPr>
                <w:rStyle w:val="IndexLink"/>
                <w:rtl w:val="true"/>
              </w:rPr>
              <w:tab/>
            </w:r>
            <w:r>
              <w:rPr>
                <w:rStyle w:val="IndexLink"/>
              </w:rPr>
              <w:t>151</w:t>
            </w:r>
          </w:hyperlink>
        </w:p>
        <w:p>
          <w:pPr>
            <w:pStyle w:val="Contents3"/>
            <w:tabs>
              <w:tab w:val="clear" w:pos="8459"/>
              <w:tab w:val="right" w:pos="9026" w:leader="dot"/>
            </w:tabs>
            <w:rPr/>
          </w:pPr>
          <w:hyperlink w:anchor="__RefHeading___Toc7812372_3381743652">
            <w:r>
              <w:rPr>
                <w:webHidden/>
                <w:rStyle w:val="IndexLink"/>
                <w:rtl w:val="true"/>
              </w:rPr>
              <w:t>بدن اخروی یا کیفیت معاد جسمانی</w:t>
            </w:r>
            <w:r>
              <w:rPr>
                <w:rStyle w:val="IndexLink"/>
                <w:rtl w:val="true"/>
              </w:rPr>
              <w:tab/>
            </w:r>
            <w:r>
              <w:rPr>
                <w:rStyle w:val="IndexLink"/>
              </w:rPr>
              <w:t>153</w:t>
            </w:r>
          </w:hyperlink>
        </w:p>
        <w:p>
          <w:pPr>
            <w:pStyle w:val="Contents3"/>
            <w:tabs>
              <w:tab w:val="clear" w:pos="8459"/>
              <w:tab w:val="right" w:pos="9026" w:leader="dot"/>
            </w:tabs>
            <w:rPr/>
          </w:pPr>
          <w:hyperlink w:anchor="__RefHeading___Toc7812374_3381743652">
            <w:r>
              <w:rPr>
                <w:webHidden/>
                <w:rStyle w:val="IndexLink"/>
                <w:rtl w:val="true"/>
              </w:rPr>
              <w:t>حقیقت روح در نظر متکلمان</w:t>
            </w:r>
            <w:r>
              <w:rPr>
                <w:rStyle w:val="IndexLink"/>
                <w:rtl w:val="true"/>
              </w:rPr>
              <w:tab/>
            </w:r>
            <w:r>
              <w:rPr>
                <w:rStyle w:val="IndexLink"/>
              </w:rPr>
              <w:t>154</w:t>
            </w:r>
          </w:hyperlink>
        </w:p>
        <w:p>
          <w:pPr>
            <w:pStyle w:val="Contents3"/>
            <w:tabs>
              <w:tab w:val="clear" w:pos="8459"/>
              <w:tab w:val="right" w:pos="9026" w:leader="dot"/>
            </w:tabs>
            <w:rPr/>
          </w:pPr>
          <w:hyperlink w:anchor="__RefHeading___Toc7812376_3381743652">
            <w:r>
              <w:rPr>
                <w:webHidden/>
                <w:rStyle w:val="IndexLink"/>
                <w:rtl w:val="true"/>
              </w:rPr>
              <w:t>آیا نفس، بعد از موت، باقی است</w:t>
            </w:r>
            <w:r>
              <w:rPr>
                <w:rStyle w:val="IndexLink"/>
                <w:rtl w:val="true"/>
              </w:rPr>
              <w:tab/>
            </w:r>
            <w:r>
              <w:rPr>
                <w:rStyle w:val="IndexLink"/>
              </w:rPr>
              <w:t>155</w:t>
            </w:r>
          </w:hyperlink>
        </w:p>
        <w:p>
          <w:pPr>
            <w:pStyle w:val="Contents3"/>
            <w:tabs>
              <w:tab w:val="clear" w:pos="8459"/>
              <w:tab w:val="right" w:pos="9026" w:leader="dot"/>
            </w:tabs>
            <w:rPr/>
          </w:pPr>
          <w:hyperlink w:anchor="__RefHeading___Toc7812378_3381743652">
            <w:r>
              <w:rPr>
                <w:webHidden/>
                <w:rStyle w:val="IndexLink"/>
                <w:rtl w:val="true"/>
              </w:rPr>
              <w:t>عذاب قبر</w:t>
            </w:r>
            <w:r>
              <w:rPr>
                <w:rStyle w:val="IndexLink"/>
                <w:rtl w:val="true"/>
              </w:rPr>
              <w:tab/>
            </w:r>
            <w:r>
              <w:rPr>
                <w:rStyle w:val="IndexLink"/>
              </w:rPr>
              <w:t>156</w:t>
            </w:r>
          </w:hyperlink>
        </w:p>
        <w:p>
          <w:pPr>
            <w:pStyle w:val="Contents3"/>
            <w:tabs>
              <w:tab w:val="clear" w:pos="8459"/>
              <w:tab w:val="right" w:pos="9026" w:leader="dot"/>
            </w:tabs>
            <w:rPr/>
          </w:pPr>
          <w:hyperlink w:anchor="__RefHeading___Toc7812380_3381743652">
            <w:r>
              <w:rPr>
                <w:webHidden/>
                <w:rStyle w:val="IndexLink"/>
                <w:rtl w:val="true"/>
              </w:rPr>
              <w:t>بازگشت چه کسانی لازم است؟</w:t>
            </w:r>
            <w:r>
              <w:rPr>
                <w:rStyle w:val="IndexLink"/>
                <w:rtl w:val="true"/>
              </w:rPr>
              <w:tab/>
            </w:r>
            <w:r>
              <w:rPr>
                <w:rStyle w:val="IndexLink"/>
              </w:rPr>
              <w:t>157</w:t>
            </w:r>
          </w:hyperlink>
        </w:p>
        <w:p>
          <w:pPr>
            <w:pStyle w:val="Contents3"/>
            <w:tabs>
              <w:tab w:val="clear" w:pos="8459"/>
              <w:tab w:val="right" w:pos="9026" w:leader="dot"/>
            </w:tabs>
            <w:rPr/>
          </w:pPr>
          <w:hyperlink w:anchor="__RefHeading___Toc7812382_3381743652">
            <w:r>
              <w:rPr>
                <w:webHidden/>
                <w:rStyle w:val="IndexLink"/>
                <w:rtl w:val="true"/>
              </w:rPr>
              <w:t>محاسبه اعمال یا محکمه عدل الهی</w:t>
            </w:r>
            <w:r>
              <w:rPr>
                <w:rStyle w:val="IndexLink"/>
                <w:rtl w:val="true"/>
              </w:rPr>
              <w:tab/>
            </w:r>
            <w:r>
              <w:rPr>
                <w:rStyle w:val="IndexLink"/>
              </w:rPr>
              <w:t>158</w:t>
            </w:r>
          </w:hyperlink>
        </w:p>
        <w:p>
          <w:pPr>
            <w:pStyle w:val="Contents3"/>
            <w:tabs>
              <w:tab w:val="clear" w:pos="8459"/>
              <w:tab w:val="right" w:pos="9026" w:leader="dot"/>
            </w:tabs>
            <w:rPr/>
          </w:pPr>
          <w:hyperlink w:anchor="__RefHeading___Toc7812384_3381743652">
            <w:r>
              <w:rPr>
                <w:webHidden/>
                <w:rStyle w:val="IndexLink"/>
                <w:rtl w:val="true"/>
              </w:rPr>
              <w:t>تراوزی سنجش اعمال در قیامت</w:t>
            </w:r>
            <w:r>
              <w:rPr>
                <w:rStyle w:val="IndexLink"/>
                <w:rtl w:val="true"/>
              </w:rPr>
              <w:tab/>
            </w:r>
            <w:r>
              <w:rPr>
                <w:rStyle w:val="IndexLink"/>
              </w:rPr>
              <w:t>159</w:t>
            </w:r>
          </w:hyperlink>
        </w:p>
        <w:p>
          <w:pPr>
            <w:pStyle w:val="Contents3"/>
            <w:tabs>
              <w:tab w:val="clear" w:pos="8459"/>
              <w:tab w:val="right" w:pos="9026" w:leader="dot"/>
            </w:tabs>
            <w:rPr/>
          </w:pPr>
          <w:hyperlink w:anchor="__RefHeading___Toc7812386_3381743652">
            <w:r>
              <w:rPr>
                <w:webHidden/>
                <w:rStyle w:val="IndexLink"/>
                <w:rtl w:val="true"/>
              </w:rPr>
              <w:t>صراط</w:t>
            </w:r>
            <w:r>
              <w:rPr>
                <w:rStyle w:val="IndexLink"/>
                <w:rtl w:val="true"/>
              </w:rPr>
              <w:tab/>
            </w:r>
            <w:r>
              <w:rPr>
                <w:rStyle w:val="IndexLink"/>
              </w:rPr>
              <w:t>160</w:t>
            </w:r>
          </w:hyperlink>
        </w:p>
        <w:p>
          <w:pPr>
            <w:pStyle w:val="Contents3"/>
            <w:tabs>
              <w:tab w:val="clear" w:pos="8459"/>
              <w:tab w:val="right" w:pos="9026" w:leader="dot"/>
            </w:tabs>
            <w:rPr/>
          </w:pPr>
          <w:hyperlink w:anchor="__RefHeading___Toc7812388_3381743652">
            <w:r>
              <w:rPr>
                <w:webHidden/>
                <w:rStyle w:val="IndexLink"/>
                <w:rtl w:val="true"/>
              </w:rPr>
              <w:t>دوام ثواب و عقاب</w:t>
            </w:r>
            <w:r>
              <w:rPr>
                <w:rStyle w:val="IndexLink"/>
                <w:rtl w:val="true"/>
              </w:rPr>
              <w:tab/>
            </w:r>
            <w:r>
              <w:rPr>
                <w:rStyle w:val="IndexLink"/>
              </w:rPr>
              <w:t>160</w:t>
            </w:r>
          </w:hyperlink>
        </w:p>
        <w:p>
          <w:pPr>
            <w:pStyle w:val="Contents3"/>
            <w:tabs>
              <w:tab w:val="clear" w:pos="8459"/>
              <w:tab w:val="right" w:pos="9026" w:leader="dot"/>
            </w:tabs>
            <w:rPr/>
          </w:pPr>
          <w:hyperlink w:anchor="__RefHeading___Toc7812390_3381743652">
            <w:r>
              <w:rPr>
                <w:webHidden/>
                <w:rStyle w:val="IndexLink"/>
                <w:rtl w:val="true"/>
              </w:rPr>
              <w:t>چه معصیتی موجب عقاب همیشگی میشود؟</w:t>
            </w:r>
            <w:r>
              <w:rPr>
                <w:rStyle w:val="IndexLink"/>
                <w:rtl w:val="true"/>
              </w:rPr>
              <w:tab/>
            </w:r>
            <w:r>
              <w:rPr>
                <w:rStyle w:val="IndexLink"/>
              </w:rPr>
              <w:t>161</w:t>
            </w:r>
          </w:hyperlink>
        </w:p>
        <w:p>
          <w:pPr>
            <w:pStyle w:val="Contents3"/>
            <w:tabs>
              <w:tab w:val="clear" w:pos="8459"/>
              <w:tab w:val="right" w:pos="9026" w:leader="dot"/>
            </w:tabs>
            <w:rPr/>
          </w:pPr>
          <w:hyperlink w:anchor="__RefHeading___Toc7812392_3381743652">
            <w:r>
              <w:rPr>
                <w:webHidden/>
                <w:rStyle w:val="IndexLink"/>
                <w:rtl w:val="true"/>
              </w:rPr>
              <w:t>انقطاع تکلیف در آخرت</w:t>
            </w:r>
            <w:r>
              <w:rPr>
                <w:rStyle w:val="IndexLink"/>
                <w:rtl w:val="true"/>
              </w:rPr>
              <w:tab/>
            </w:r>
            <w:r>
              <w:rPr>
                <w:rStyle w:val="IndexLink"/>
              </w:rPr>
              <w:t>162</w:t>
            </w:r>
          </w:hyperlink>
        </w:p>
        <w:p>
          <w:pPr>
            <w:pStyle w:val="Contents2"/>
            <w:tabs>
              <w:tab w:val="clear" w:pos="8743"/>
              <w:tab w:val="right" w:pos="9026" w:leader="dot"/>
            </w:tabs>
            <w:rPr/>
          </w:pPr>
          <w:hyperlink w:anchor="__RefHeading___Toc7812394_3381743652">
            <w:r>
              <w:rPr>
                <w:webHidden/>
                <w:rStyle w:val="IndexLink"/>
                <w:rtl w:val="true"/>
              </w:rPr>
              <w:t>شفاعت</w:t>
            </w:r>
            <w:r>
              <w:rPr>
                <w:rStyle w:val="IndexLink"/>
                <w:rtl w:val="true"/>
              </w:rPr>
              <w:tab/>
            </w:r>
            <w:r>
              <w:rPr>
                <w:rStyle w:val="IndexLink"/>
              </w:rPr>
              <w:t>163</w:t>
            </w:r>
          </w:hyperlink>
        </w:p>
        <w:p>
          <w:pPr>
            <w:pStyle w:val="Contents3"/>
            <w:tabs>
              <w:tab w:val="clear" w:pos="8459"/>
              <w:tab w:val="right" w:pos="9026" w:leader="dot"/>
            </w:tabs>
            <w:rPr/>
          </w:pPr>
          <w:hyperlink w:anchor="__RefHeading___Toc7812396_3381743652">
            <w:r>
              <w:rPr>
                <w:webHidden/>
                <w:rStyle w:val="IndexLink"/>
                <w:rtl w:val="true"/>
              </w:rPr>
              <w:t>مقدمه</w:t>
            </w:r>
            <w:r>
              <w:rPr>
                <w:rStyle w:val="IndexLink"/>
                <w:rtl w:val="true"/>
              </w:rPr>
              <w:tab/>
            </w:r>
            <w:r>
              <w:rPr>
                <w:rStyle w:val="IndexLink"/>
              </w:rPr>
              <w:t>163</w:t>
            </w:r>
          </w:hyperlink>
        </w:p>
        <w:p>
          <w:pPr>
            <w:pStyle w:val="Contents4"/>
            <w:tabs>
              <w:tab w:val="clear" w:pos="8176"/>
              <w:tab w:val="right" w:pos="9026" w:leader="dot"/>
            </w:tabs>
            <w:rPr/>
          </w:pPr>
          <w:hyperlink w:anchor="__RefHeading___Toc7812398_3381743652">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7812400_3381743652">
            <w:r>
              <w:rPr>
                <w:webHidden/>
                <w:rStyle w:val="IndexLink"/>
                <w:rtl w:val="true"/>
              </w:rPr>
              <w:t>شفاعت در لغت و اصطلاح</w:t>
            </w:r>
            <w:r>
              <w:rPr>
                <w:rStyle w:val="IndexLink"/>
                <w:rtl w:val="true"/>
              </w:rPr>
              <w:tab/>
            </w:r>
            <w:r>
              <w:rPr>
                <w:rStyle w:val="IndexLink"/>
              </w:rPr>
              <w:t>164</w:t>
            </w:r>
          </w:hyperlink>
        </w:p>
        <w:p>
          <w:pPr>
            <w:pStyle w:val="Contents4"/>
            <w:tabs>
              <w:tab w:val="clear" w:pos="8176"/>
              <w:tab w:val="right" w:pos="9026" w:leader="dot"/>
            </w:tabs>
            <w:rPr/>
          </w:pPr>
          <w:hyperlink w:anchor="__RefHeading___Toc7812402_3381743652">
            <w:r>
              <w:rPr>
                <w:webHidden/>
                <w:rStyle w:val="IndexLink"/>
                <w:rtl w:val="true"/>
              </w:rPr>
              <w:t>معنای شفاعت در عرف و شرع</w:t>
            </w:r>
            <w:r>
              <w:rPr>
                <w:rStyle w:val="IndexLink"/>
                <w:rtl w:val="true"/>
              </w:rPr>
              <w:tab/>
            </w:r>
            <w:r>
              <w:rPr>
                <w:rStyle w:val="IndexLink"/>
              </w:rPr>
              <w:t>166</w:t>
            </w:r>
          </w:hyperlink>
        </w:p>
        <w:p>
          <w:pPr>
            <w:pStyle w:val="Contents3"/>
            <w:tabs>
              <w:tab w:val="clear" w:pos="8459"/>
              <w:tab w:val="right" w:pos="9026" w:leader="dot"/>
            </w:tabs>
            <w:rPr/>
          </w:pPr>
          <w:hyperlink w:anchor="__RefHeading___Toc7812404_3381743652">
            <w:r>
              <w:rPr>
                <w:webHidden/>
                <w:rStyle w:val="IndexLink"/>
                <w:rtl w:val="true"/>
              </w:rPr>
              <w:t>فرق شفاعت در اصطلاح عرف و شرع</w:t>
            </w:r>
            <w:r>
              <w:rPr>
                <w:rStyle w:val="IndexLink"/>
                <w:rtl w:val="true"/>
              </w:rPr>
              <w:tab/>
            </w:r>
            <w:r>
              <w:rPr>
                <w:rStyle w:val="IndexLink"/>
              </w:rPr>
              <w:t>169</w:t>
            </w:r>
          </w:hyperlink>
        </w:p>
        <w:p>
          <w:pPr>
            <w:pStyle w:val="Contents3"/>
            <w:tabs>
              <w:tab w:val="clear" w:pos="8459"/>
              <w:tab w:val="right" w:pos="9026" w:leader="dot"/>
            </w:tabs>
            <w:rPr/>
          </w:pPr>
          <w:hyperlink w:anchor="__RefHeading___Toc7812406_3381743652">
            <w:r>
              <w:rPr>
                <w:webHidden/>
                <w:rStyle w:val="IndexLink"/>
                <w:rtl w:val="true"/>
              </w:rPr>
              <w:t>شفاعت در آیات و روایات</w:t>
            </w:r>
            <w:r>
              <w:rPr>
                <w:rStyle w:val="IndexLink"/>
                <w:rtl w:val="true"/>
              </w:rPr>
              <w:tab/>
            </w:r>
            <w:r>
              <w:rPr>
                <w:rStyle w:val="IndexLink"/>
              </w:rPr>
              <w:t>169</w:t>
            </w:r>
          </w:hyperlink>
        </w:p>
        <w:p>
          <w:pPr>
            <w:pStyle w:val="Contents3"/>
            <w:tabs>
              <w:tab w:val="clear" w:pos="8459"/>
              <w:tab w:val="right" w:pos="9026" w:leader="dot"/>
            </w:tabs>
            <w:rPr/>
          </w:pPr>
          <w:hyperlink w:anchor="__RefHeading___Toc7812408_3381743652">
            <w:r>
              <w:rPr>
                <w:webHidden/>
                <w:rStyle w:val="IndexLink"/>
                <w:rtl w:val="true"/>
              </w:rPr>
              <w:t>آیات و روایاتی که بر اصل وجود شفاعت دلالت دارد</w:t>
            </w:r>
            <w:r>
              <w:rPr>
                <w:rStyle w:val="IndexLink"/>
                <w:rtl w:val="true"/>
              </w:rPr>
              <w:tab/>
            </w:r>
            <w:r>
              <w:rPr>
                <w:rStyle w:val="IndexLink"/>
              </w:rPr>
              <w:t>170</w:t>
            </w:r>
          </w:hyperlink>
        </w:p>
        <w:p>
          <w:pPr>
            <w:pStyle w:val="Contents4"/>
            <w:tabs>
              <w:tab w:val="clear" w:pos="8176"/>
              <w:tab w:val="right" w:pos="9026" w:leader="dot"/>
            </w:tabs>
            <w:rPr/>
          </w:pPr>
          <w:hyperlink w:anchor="__RefHeading___Toc7812410_3381743652">
            <w:r>
              <w:rPr>
                <w:webHidden/>
                <w:rStyle w:val="IndexLink"/>
                <w:rtl w:val="true"/>
              </w:rPr>
              <w:t>الف</w:t>
            </w:r>
            <w:r>
              <w:rPr>
                <w:rStyle w:val="IndexLink"/>
                <w:rtl w:val="true"/>
              </w:rPr>
              <w:t xml:space="preserve">) </w:t>
            </w:r>
            <w:r>
              <w:rPr>
                <w:rStyle w:val="IndexLink"/>
                <w:rtl w:val="true"/>
              </w:rPr>
              <w:t>آیات</w:t>
            </w:r>
            <w:r>
              <w:rPr>
                <w:rStyle w:val="IndexLink"/>
                <w:rtl w:val="true"/>
              </w:rPr>
              <w:tab/>
            </w:r>
            <w:r>
              <w:rPr>
                <w:rStyle w:val="IndexLink"/>
              </w:rPr>
              <w:t>170</w:t>
            </w:r>
          </w:hyperlink>
        </w:p>
        <w:p>
          <w:pPr>
            <w:pStyle w:val="Contents4"/>
            <w:tabs>
              <w:tab w:val="clear" w:pos="8176"/>
              <w:tab w:val="right" w:pos="9026" w:leader="dot"/>
            </w:tabs>
            <w:rPr/>
          </w:pPr>
          <w:hyperlink w:anchor="__RefHeading___Toc7812412_3381743652">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172</w:t>
            </w:r>
          </w:hyperlink>
        </w:p>
        <w:p>
          <w:pPr>
            <w:pStyle w:val="Contents3"/>
            <w:tabs>
              <w:tab w:val="clear" w:pos="8459"/>
              <w:tab w:val="right" w:pos="9026" w:leader="dot"/>
            </w:tabs>
            <w:rPr/>
          </w:pPr>
          <w:hyperlink w:anchor="__RefHeading___Toc7812414_3381743652">
            <w:r>
              <w:rPr>
                <w:webHidden/>
                <w:rStyle w:val="IndexLink"/>
                <w:rtl w:val="true"/>
              </w:rPr>
              <w:t>آیاتی که ظاهرا دلالت بر نفی شفاعت دارد</w:t>
            </w:r>
            <w:r>
              <w:rPr>
                <w:rStyle w:val="IndexLink"/>
                <w:rtl w:val="true"/>
              </w:rPr>
              <w:tab/>
            </w:r>
            <w:r>
              <w:rPr>
                <w:rStyle w:val="IndexLink"/>
              </w:rPr>
              <w:t>172</w:t>
            </w:r>
          </w:hyperlink>
        </w:p>
        <w:p>
          <w:pPr>
            <w:pStyle w:val="Contents3"/>
            <w:tabs>
              <w:tab w:val="clear" w:pos="8459"/>
              <w:tab w:val="right" w:pos="9026" w:leader="dot"/>
            </w:tabs>
            <w:rPr/>
          </w:pPr>
          <w:hyperlink w:anchor="__RefHeading___Toc7812416_3381743652">
            <w:r>
              <w:rPr>
                <w:webHidden/>
                <w:rStyle w:val="IndexLink"/>
                <w:rtl w:val="true"/>
              </w:rPr>
              <w:t>آیاتی که شفاعت را مختص خداوند می داند و از غیر او نفی می کند</w:t>
            </w:r>
            <w:r>
              <w:rPr>
                <w:rStyle w:val="IndexLink"/>
                <w:rtl w:val="true"/>
              </w:rPr>
              <w:tab/>
            </w:r>
            <w:r>
              <w:rPr>
                <w:rStyle w:val="IndexLink"/>
              </w:rPr>
              <w:t>173</w:t>
            </w:r>
          </w:hyperlink>
        </w:p>
        <w:p>
          <w:pPr>
            <w:pStyle w:val="Contents3"/>
            <w:tabs>
              <w:tab w:val="clear" w:pos="8459"/>
              <w:tab w:val="right" w:pos="9026" w:leader="dot"/>
            </w:tabs>
            <w:rPr/>
          </w:pPr>
          <w:hyperlink w:anchor="__RefHeading___Toc7812418_3381743652">
            <w:r>
              <w:rPr>
                <w:webHidden/>
                <w:rStyle w:val="IndexLink"/>
                <w:rtl w:val="true"/>
              </w:rPr>
              <w:t>آیاتی که در آنها شرایط خاصی برای شفاعت ذکر شده است</w:t>
            </w:r>
            <w:r>
              <w:rPr>
                <w:rStyle w:val="IndexLink"/>
                <w:rtl w:val="true"/>
              </w:rPr>
              <w:tab/>
            </w:r>
            <w:r>
              <w:rPr>
                <w:rStyle w:val="IndexLink"/>
              </w:rPr>
              <w:t>173</w:t>
            </w:r>
          </w:hyperlink>
        </w:p>
        <w:p>
          <w:pPr>
            <w:pStyle w:val="Contents4"/>
            <w:tabs>
              <w:tab w:val="clear" w:pos="8176"/>
              <w:tab w:val="right" w:pos="9026" w:leader="dot"/>
            </w:tabs>
            <w:rPr/>
          </w:pPr>
          <w:hyperlink w:anchor="__RefHeading___Toc7812420_3381743652">
            <w:r>
              <w:rPr>
                <w:webHidden/>
                <w:rStyle w:val="IndexLink"/>
                <w:rtl w:val="true"/>
              </w:rPr>
              <w:t>الف</w:t>
            </w:r>
            <w:r>
              <w:rPr>
                <w:rStyle w:val="IndexLink"/>
                <w:rtl w:val="true"/>
              </w:rPr>
              <w:t xml:space="preserve">) </w:t>
            </w:r>
            <w:r>
              <w:rPr>
                <w:rStyle w:val="IndexLink"/>
                <w:rtl w:val="true"/>
              </w:rPr>
              <w:t>اذن خداوند</w:t>
            </w:r>
            <w:r>
              <w:rPr>
                <w:rStyle w:val="IndexLink"/>
                <w:rtl w:val="true"/>
              </w:rPr>
              <w:tab/>
            </w:r>
            <w:r>
              <w:rPr>
                <w:rStyle w:val="IndexLink"/>
              </w:rPr>
              <w:t>173</w:t>
            </w:r>
          </w:hyperlink>
        </w:p>
        <w:p>
          <w:pPr>
            <w:pStyle w:val="Contents4"/>
            <w:tabs>
              <w:tab w:val="clear" w:pos="8176"/>
              <w:tab w:val="right" w:pos="9026" w:leader="dot"/>
            </w:tabs>
            <w:rPr/>
          </w:pPr>
          <w:hyperlink w:anchor="__RefHeading___Toc7812422_3381743652">
            <w:r>
              <w:rPr>
                <w:webHidden/>
                <w:rStyle w:val="IndexLink"/>
                <w:rtl w:val="true"/>
              </w:rPr>
              <w:t>ب</w:t>
            </w:r>
            <w:r>
              <w:rPr>
                <w:rStyle w:val="IndexLink"/>
                <w:rtl w:val="true"/>
              </w:rPr>
              <w:t xml:space="preserve">) </w:t>
            </w:r>
            <w:r>
              <w:rPr>
                <w:rStyle w:val="IndexLink"/>
                <w:rtl w:val="true"/>
              </w:rPr>
              <w:t>رضایت پروردگار</w:t>
            </w:r>
            <w:r>
              <w:rPr>
                <w:rStyle w:val="IndexLink"/>
                <w:rtl w:val="true"/>
              </w:rPr>
              <w:tab/>
            </w:r>
            <w:r>
              <w:rPr>
                <w:rStyle w:val="IndexLink"/>
              </w:rPr>
              <w:t>174</w:t>
            </w:r>
          </w:hyperlink>
        </w:p>
        <w:p>
          <w:pPr>
            <w:pStyle w:val="Contents3"/>
            <w:tabs>
              <w:tab w:val="clear" w:pos="8459"/>
              <w:tab w:val="right" w:pos="9026" w:leader="dot"/>
            </w:tabs>
            <w:rPr/>
          </w:pPr>
          <w:hyperlink w:anchor="__RefHeading___Toc7812424_3381743652">
            <w:r>
              <w:rPr>
                <w:webHidden/>
                <w:rStyle w:val="IndexLink"/>
                <w:rtl w:val="true"/>
              </w:rPr>
              <w:t>فسفه شفاعت</w:t>
            </w:r>
            <w:r>
              <w:rPr>
                <w:rStyle w:val="IndexLink"/>
                <w:rtl w:val="true"/>
              </w:rPr>
              <w:tab/>
            </w:r>
            <w:r>
              <w:rPr>
                <w:rStyle w:val="IndexLink"/>
              </w:rPr>
              <w:t>175</w:t>
            </w:r>
          </w:hyperlink>
        </w:p>
        <w:p>
          <w:pPr>
            <w:pStyle w:val="Contents3"/>
            <w:tabs>
              <w:tab w:val="clear" w:pos="8459"/>
              <w:tab w:val="right" w:pos="9026" w:leader="dot"/>
            </w:tabs>
            <w:rPr/>
          </w:pPr>
          <w:hyperlink w:anchor="__RefHeading___Toc7812426_3381743652">
            <w:r>
              <w:rPr>
                <w:webHidden/>
                <w:rStyle w:val="IndexLink"/>
                <w:rtl w:val="true"/>
              </w:rPr>
              <w:t>اقسام شفاعت و شفیعان</w:t>
            </w:r>
            <w:r>
              <w:rPr>
                <w:rStyle w:val="IndexLink"/>
                <w:rtl w:val="true"/>
              </w:rPr>
              <w:tab/>
            </w:r>
            <w:r>
              <w:rPr>
                <w:rStyle w:val="IndexLink"/>
              </w:rPr>
              <w:t>177</w:t>
            </w:r>
          </w:hyperlink>
        </w:p>
        <w:p>
          <w:pPr>
            <w:pStyle w:val="Contents3"/>
            <w:tabs>
              <w:tab w:val="clear" w:pos="8459"/>
              <w:tab w:val="right" w:pos="9026" w:leader="dot"/>
            </w:tabs>
            <w:rPr/>
          </w:pPr>
          <w:hyperlink w:anchor="__RefHeading___Toc7812428_3381743652">
            <w:r>
              <w:rPr>
                <w:webHidden/>
                <w:rStyle w:val="IndexLink"/>
                <w:rtl w:val="true"/>
              </w:rPr>
              <w:t>سخن پایانی و نتیجه بحث</w:t>
            </w:r>
            <w:r>
              <w:rPr>
                <w:rStyle w:val="IndexLink"/>
                <w:rtl w:val="true"/>
              </w:rPr>
              <w:tab/>
            </w:r>
            <w:r>
              <w:rPr>
                <w:rStyle w:val="IndexLink"/>
              </w:rPr>
              <w:t>180</w:t>
            </w:r>
          </w:hyperlink>
        </w:p>
        <w:p>
          <w:pPr>
            <w:pStyle w:val="Contents2"/>
            <w:tabs>
              <w:tab w:val="clear" w:pos="8743"/>
              <w:tab w:val="right" w:pos="9026" w:leader="dot"/>
            </w:tabs>
            <w:rPr/>
          </w:pPr>
          <w:hyperlink w:anchor="__RefHeading___Toc7812430_3381743652">
            <w:r>
              <w:rPr>
                <w:webHidden/>
                <w:rStyle w:val="IndexLink"/>
                <w:rtl w:val="true"/>
              </w:rPr>
              <w:t>وعد و وعید</w:t>
            </w:r>
            <w:r>
              <w:rPr>
                <w:rStyle w:val="IndexLink"/>
                <w:rtl w:val="true"/>
              </w:rPr>
              <w:tab/>
            </w:r>
            <w:r>
              <w:rPr>
                <w:rStyle w:val="IndexLink"/>
              </w:rPr>
              <w:t>181</w:t>
            </w:r>
          </w:hyperlink>
        </w:p>
        <w:p>
          <w:pPr>
            <w:pStyle w:val="Contents3"/>
            <w:tabs>
              <w:tab w:val="clear" w:pos="8459"/>
              <w:tab w:val="right" w:pos="9026" w:leader="dot"/>
            </w:tabs>
            <w:rPr/>
          </w:pPr>
          <w:hyperlink w:anchor="__RefHeading___Toc7812432_3381743652">
            <w:r>
              <w:rPr>
                <w:webHidden/>
                <w:rStyle w:val="IndexLink"/>
                <w:rtl w:val="true"/>
              </w:rPr>
              <w:t>مقدمه</w:t>
            </w:r>
            <w:r>
              <w:rPr>
                <w:rStyle w:val="IndexLink"/>
                <w:rtl w:val="true"/>
              </w:rPr>
              <w:tab/>
            </w:r>
            <w:r>
              <w:rPr>
                <w:rStyle w:val="IndexLink"/>
              </w:rPr>
              <w:t>181</w:t>
            </w:r>
          </w:hyperlink>
        </w:p>
        <w:p>
          <w:pPr>
            <w:pStyle w:val="Contents4"/>
            <w:tabs>
              <w:tab w:val="clear" w:pos="8176"/>
              <w:tab w:val="right" w:pos="9026" w:leader="dot"/>
            </w:tabs>
            <w:rPr/>
          </w:pPr>
          <w:hyperlink w:anchor="__RefHeading___Toc7812434_3381743652">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7812436_3381743652">
            <w:r>
              <w:rPr>
                <w:webHidden/>
                <w:rStyle w:val="IndexLink"/>
                <w:rtl w:val="true"/>
              </w:rPr>
              <w:t>«</w:t>
            </w:r>
            <w:r>
              <w:rPr>
                <w:rStyle w:val="IndexLink"/>
                <w:rtl w:val="true"/>
              </w:rPr>
              <w:t>وعد</w:t>
            </w:r>
            <w:r>
              <w:rPr>
                <w:rStyle w:val="IndexLink"/>
                <w:rtl w:val="true"/>
              </w:rPr>
              <w:t xml:space="preserve">» </w:t>
            </w:r>
            <w:r>
              <w:rPr>
                <w:rStyle w:val="IndexLink"/>
                <w:rtl w:val="true"/>
              </w:rPr>
              <w:t xml:space="preserve">و </w:t>
            </w:r>
            <w:r>
              <w:rPr>
                <w:rStyle w:val="IndexLink"/>
                <w:rtl w:val="true"/>
              </w:rPr>
              <w:t>«</w:t>
            </w:r>
            <w:r>
              <w:rPr>
                <w:rStyle w:val="IndexLink"/>
                <w:rtl w:val="true"/>
              </w:rPr>
              <w:t>وعید</w:t>
            </w:r>
            <w:r>
              <w:rPr>
                <w:rStyle w:val="IndexLink"/>
                <w:rtl w:val="true"/>
              </w:rPr>
              <w:t xml:space="preserve">» </w:t>
            </w:r>
            <w:r>
              <w:rPr>
                <w:rStyle w:val="IndexLink"/>
                <w:rtl w:val="true"/>
              </w:rPr>
              <w:t>در لغت</w:t>
            </w:r>
            <w:r>
              <w:rPr>
                <w:rStyle w:val="IndexLink"/>
                <w:rtl w:val="true"/>
              </w:rPr>
              <w:tab/>
            </w:r>
            <w:r>
              <w:rPr>
                <w:rStyle w:val="IndexLink"/>
              </w:rPr>
              <w:t>182</w:t>
            </w:r>
          </w:hyperlink>
        </w:p>
        <w:p>
          <w:pPr>
            <w:pStyle w:val="Contents4"/>
            <w:tabs>
              <w:tab w:val="clear" w:pos="8176"/>
              <w:tab w:val="right" w:pos="9026" w:leader="dot"/>
            </w:tabs>
            <w:rPr/>
          </w:pPr>
          <w:hyperlink w:anchor="__RefHeading___Toc7812438_3381743652">
            <w:r>
              <w:rPr>
                <w:webHidden/>
                <w:rStyle w:val="IndexLink"/>
                <w:rtl w:val="true"/>
              </w:rPr>
              <w:t>«</w:t>
            </w:r>
            <w:r>
              <w:rPr>
                <w:rStyle w:val="IndexLink"/>
                <w:rtl w:val="true"/>
              </w:rPr>
              <w:t>وعد</w:t>
            </w:r>
            <w:r>
              <w:rPr>
                <w:rStyle w:val="IndexLink"/>
                <w:rtl w:val="true"/>
              </w:rPr>
              <w:t xml:space="preserve">» </w:t>
            </w:r>
            <w:r>
              <w:rPr>
                <w:rStyle w:val="IndexLink"/>
                <w:rtl w:val="true"/>
              </w:rPr>
              <w:t xml:space="preserve">و </w:t>
            </w:r>
            <w:r>
              <w:rPr>
                <w:rStyle w:val="IndexLink"/>
                <w:rtl w:val="true"/>
              </w:rPr>
              <w:t>«</w:t>
            </w:r>
            <w:r>
              <w:rPr>
                <w:rStyle w:val="IndexLink"/>
                <w:rtl w:val="true"/>
              </w:rPr>
              <w:t>وعید</w:t>
            </w:r>
            <w:r>
              <w:rPr>
                <w:rStyle w:val="IndexLink"/>
                <w:rtl w:val="true"/>
              </w:rPr>
              <w:t xml:space="preserve">» </w:t>
            </w:r>
            <w:r>
              <w:rPr>
                <w:rStyle w:val="IndexLink"/>
                <w:rtl w:val="true"/>
              </w:rPr>
              <w:t>در اصطلاح</w:t>
            </w:r>
            <w:r>
              <w:rPr>
                <w:rStyle w:val="IndexLink"/>
                <w:rtl w:val="true"/>
              </w:rPr>
              <w:tab/>
            </w:r>
            <w:r>
              <w:rPr>
                <w:rStyle w:val="IndexLink"/>
              </w:rPr>
              <w:t>183</w:t>
            </w:r>
          </w:hyperlink>
        </w:p>
        <w:p>
          <w:pPr>
            <w:pStyle w:val="Contents3"/>
            <w:tabs>
              <w:tab w:val="clear" w:pos="8459"/>
              <w:tab w:val="right" w:pos="9026" w:leader="dot"/>
            </w:tabs>
            <w:rPr/>
          </w:pPr>
          <w:hyperlink w:anchor="__RefHeading___Toc7812440_3381743652">
            <w:r>
              <w:rPr>
                <w:webHidden/>
                <w:rStyle w:val="IndexLink"/>
                <w:rtl w:val="true"/>
              </w:rPr>
              <w:t>معنای وعد و وعید از دیدگاه اشعریها</w:t>
            </w:r>
            <w:r>
              <w:rPr>
                <w:rStyle w:val="IndexLink"/>
                <w:rtl w:val="true"/>
              </w:rPr>
              <w:tab/>
            </w:r>
            <w:r>
              <w:rPr>
                <w:rStyle w:val="IndexLink"/>
              </w:rPr>
              <w:t>184</w:t>
            </w:r>
          </w:hyperlink>
        </w:p>
        <w:p>
          <w:pPr>
            <w:pStyle w:val="Contents3"/>
            <w:tabs>
              <w:tab w:val="clear" w:pos="8459"/>
              <w:tab w:val="right" w:pos="9026" w:leader="dot"/>
            </w:tabs>
            <w:rPr/>
          </w:pPr>
          <w:hyperlink w:anchor="__RefHeading___Toc7812442_3381743652">
            <w:r>
              <w:rPr>
                <w:webHidden/>
                <w:rStyle w:val="IndexLink"/>
                <w:rtl w:val="true"/>
              </w:rPr>
              <w:t>خاستگاه بحث وعد و وعید</w:t>
            </w:r>
            <w:r>
              <w:rPr>
                <w:rStyle w:val="IndexLink"/>
                <w:rtl w:val="true"/>
              </w:rPr>
              <w:tab/>
            </w:r>
            <w:r>
              <w:rPr>
                <w:rStyle w:val="IndexLink"/>
              </w:rPr>
              <w:t>185</w:t>
            </w:r>
          </w:hyperlink>
        </w:p>
        <w:p>
          <w:pPr>
            <w:pStyle w:val="Contents3"/>
            <w:tabs>
              <w:tab w:val="clear" w:pos="8459"/>
              <w:tab w:val="right" w:pos="9026" w:leader="dot"/>
            </w:tabs>
            <w:rPr/>
          </w:pPr>
          <w:hyperlink w:anchor="__RefHeading___Toc7812444_3381743652">
            <w:r>
              <w:rPr>
                <w:webHidden/>
                <w:rStyle w:val="IndexLink"/>
                <w:rtl w:val="true"/>
              </w:rPr>
              <w:t>دید کلی قرآن به مسئله وعده و وعید</w:t>
            </w:r>
            <w:r>
              <w:rPr>
                <w:rStyle w:val="IndexLink"/>
                <w:rtl w:val="true"/>
              </w:rPr>
              <w:tab/>
            </w:r>
            <w:r>
              <w:rPr>
                <w:rStyle w:val="IndexLink"/>
              </w:rPr>
              <w:t>185</w:t>
            </w:r>
          </w:hyperlink>
        </w:p>
        <w:p>
          <w:pPr>
            <w:pStyle w:val="Contents3"/>
            <w:tabs>
              <w:tab w:val="clear" w:pos="8459"/>
              <w:tab w:val="right" w:pos="9026" w:leader="dot"/>
            </w:tabs>
            <w:rPr/>
          </w:pPr>
          <w:hyperlink w:anchor="__RefHeading___Toc7812446_3381743652">
            <w:r>
              <w:rPr>
                <w:webHidden/>
                <w:rStyle w:val="IndexLink"/>
                <w:rtl w:val="true"/>
              </w:rPr>
              <w:t>ارتباط وعده و وعید با مسئله اختیار</w:t>
            </w:r>
            <w:r>
              <w:rPr>
                <w:rStyle w:val="IndexLink"/>
                <w:rtl w:val="true"/>
              </w:rPr>
              <w:tab/>
            </w:r>
            <w:r>
              <w:rPr>
                <w:rStyle w:val="IndexLink"/>
              </w:rPr>
              <w:t>187</w:t>
            </w:r>
          </w:hyperlink>
        </w:p>
        <w:p>
          <w:pPr>
            <w:pStyle w:val="Contents3"/>
            <w:tabs>
              <w:tab w:val="clear" w:pos="8459"/>
              <w:tab w:val="right" w:pos="9026" w:leader="dot"/>
            </w:tabs>
            <w:rPr/>
          </w:pPr>
          <w:hyperlink w:anchor="__RefHeading___Toc7812448_3381743652">
            <w:r>
              <w:rPr>
                <w:webHidden/>
                <w:rStyle w:val="IndexLink"/>
                <w:rtl w:val="true"/>
              </w:rPr>
              <w:t>ارتباط وعد و وعید با اصل عدل</w:t>
            </w:r>
            <w:r>
              <w:rPr>
                <w:rStyle w:val="IndexLink"/>
                <w:rtl w:val="true"/>
              </w:rPr>
              <w:tab/>
            </w:r>
            <w:r>
              <w:rPr>
                <w:rStyle w:val="IndexLink"/>
              </w:rPr>
              <w:t>187</w:t>
            </w:r>
          </w:hyperlink>
        </w:p>
        <w:p>
          <w:pPr>
            <w:pStyle w:val="Contents3"/>
            <w:tabs>
              <w:tab w:val="clear" w:pos="8459"/>
              <w:tab w:val="right" w:pos="9026" w:leader="dot"/>
            </w:tabs>
            <w:rPr/>
          </w:pPr>
          <w:hyperlink w:anchor="__RefHeading___Toc7812450_3381743652">
            <w:r>
              <w:rPr>
                <w:webHidden/>
                <w:rStyle w:val="IndexLink"/>
                <w:rtl w:val="true"/>
              </w:rPr>
              <w:t xml:space="preserve">ارتباط وعد و وعید با اصل </w:t>
            </w:r>
            <w:r>
              <w:rPr>
                <w:rStyle w:val="IndexLink"/>
                <w:rtl w:val="true"/>
              </w:rPr>
              <w:t>«</w:t>
            </w:r>
            <w:r>
              <w:rPr>
                <w:rStyle w:val="IndexLink"/>
                <w:rtl w:val="true"/>
              </w:rPr>
              <w:t>المنزلة بین المنزلتین</w:t>
            </w:r>
            <w:r>
              <w:rPr>
                <w:rStyle w:val="IndexLink"/>
                <w:rtl w:val="true"/>
              </w:rPr>
              <w:t>»</w:t>
              <w:tab/>
            </w:r>
            <w:r>
              <w:rPr>
                <w:rStyle w:val="IndexLink"/>
              </w:rPr>
              <w:t>188</w:t>
            </w:r>
          </w:hyperlink>
        </w:p>
        <w:p>
          <w:pPr>
            <w:pStyle w:val="Contents3"/>
            <w:tabs>
              <w:tab w:val="clear" w:pos="8459"/>
              <w:tab w:val="right" w:pos="9026" w:leader="dot"/>
            </w:tabs>
            <w:rPr/>
          </w:pPr>
          <w:hyperlink w:anchor="__RefHeading___Toc7812452_3381743652">
            <w:r>
              <w:rPr>
                <w:webHidden/>
                <w:rStyle w:val="IndexLink"/>
                <w:rtl w:val="true"/>
              </w:rPr>
              <w:t>وعد و وعید و حسن و قبح عقلی</w:t>
            </w:r>
            <w:r>
              <w:rPr>
                <w:rStyle w:val="IndexLink"/>
                <w:rtl w:val="true"/>
              </w:rPr>
              <w:tab/>
            </w:r>
            <w:r>
              <w:rPr>
                <w:rStyle w:val="IndexLink"/>
              </w:rPr>
              <w:t>188</w:t>
            </w:r>
          </w:hyperlink>
        </w:p>
        <w:p>
          <w:pPr>
            <w:pStyle w:val="Contents3"/>
            <w:tabs>
              <w:tab w:val="clear" w:pos="8459"/>
              <w:tab w:val="right" w:pos="9026" w:leader="dot"/>
            </w:tabs>
            <w:rPr/>
          </w:pPr>
          <w:hyperlink w:anchor="__RefHeading___Toc7812454_3381743652">
            <w:r>
              <w:rPr>
                <w:webHidden/>
                <w:rStyle w:val="IndexLink"/>
                <w:rtl w:val="true"/>
              </w:rPr>
              <w:t>وعد و وعید و قاعده لطف</w:t>
            </w:r>
            <w:r>
              <w:rPr>
                <w:rStyle w:val="IndexLink"/>
                <w:rtl w:val="true"/>
              </w:rPr>
              <w:tab/>
            </w:r>
            <w:r>
              <w:rPr>
                <w:rStyle w:val="IndexLink"/>
              </w:rPr>
              <w:t>188</w:t>
            </w:r>
          </w:hyperlink>
        </w:p>
        <w:p>
          <w:pPr>
            <w:pStyle w:val="Contents3"/>
            <w:tabs>
              <w:tab w:val="clear" w:pos="8459"/>
              <w:tab w:val="right" w:pos="9026" w:leader="dot"/>
            </w:tabs>
            <w:rPr/>
          </w:pPr>
          <w:hyperlink w:anchor="__RefHeading___Toc7812456_3381743652">
            <w:r>
              <w:rPr>
                <w:webHidden/>
                <w:rStyle w:val="IndexLink"/>
                <w:rtl w:val="true"/>
              </w:rPr>
              <w:t>پیشینه کلامی</w:t>
            </w:r>
            <w:r>
              <w:rPr>
                <w:rStyle w:val="IndexLink"/>
                <w:rtl w:val="true"/>
              </w:rPr>
              <w:tab/>
            </w:r>
            <w:r>
              <w:rPr>
                <w:rStyle w:val="IndexLink"/>
              </w:rPr>
              <w:t>189</w:t>
            </w:r>
          </w:hyperlink>
        </w:p>
        <w:p>
          <w:pPr>
            <w:pStyle w:val="Contents3"/>
            <w:tabs>
              <w:tab w:val="clear" w:pos="8459"/>
              <w:tab w:val="right" w:pos="9026" w:leader="dot"/>
            </w:tabs>
            <w:rPr/>
          </w:pPr>
          <w:hyperlink w:anchor="__RefHeading___Toc7812458_3381743652">
            <w:r>
              <w:rPr>
                <w:webHidden/>
                <w:rStyle w:val="IndexLink"/>
                <w:rtl w:val="true"/>
              </w:rPr>
              <w:t>وعید در افکار مرجئه و وعیدیه</w:t>
            </w:r>
            <w:r>
              <w:rPr>
                <w:rStyle w:val="IndexLink"/>
                <w:rtl w:val="true"/>
              </w:rPr>
              <w:tab/>
            </w:r>
            <w:r>
              <w:rPr>
                <w:rStyle w:val="IndexLink"/>
              </w:rPr>
              <w:t>189</w:t>
            </w:r>
          </w:hyperlink>
        </w:p>
        <w:p>
          <w:pPr>
            <w:pStyle w:val="Contents3"/>
            <w:tabs>
              <w:tab w:val="clear" w:pos="8459"/>
              <w:tab w:val="right" w:pos="9026" w:leader="dot"/>
            </w:tabs>
            <w:rPr/>
          </w:pPr>
          <w:hyperlink w:anchor="__RefHeading___Toc7812460_3381743652">
            <w:r>
              <w:rPr>
                <w:webHidden/>
                <w:rStyle w:val="IndexLink"/>
                <w:rtl w:val="true"/>
              </w:rPr>
              <w:t>سامان یافتن اصل وعد و وعید در اندیشه معتزله</w:t>
            </w:r>
            <w:r>
              <w:rPr>
                <w:rStyle w:val="IndexLink"/>
                <w:rtl w:val="true"/>
              </w:rPr>
              <w:tab/>
            </w:r>
            <w:r>
              <w:rPr>
                <w:rStyle w:val="IndexLink"/>
              </w:rPr>
              <w:t>189</w:t>
            </w:r>
          </w:hyperlink>
        </w:p>
        <w:p>
          <w:pPr>
            <w:pStyle w:val="Contents3"/>
            <w:tabs>
              <w:tab w:val="clear" w:pos="8459"/>
              <w:tab w:val="right" w:pos="9026" w:leader="dot"/>
            </w:tabs>
            <w:rPr/>
          </w:pPr>
          <w:hyperlink w:anchor="__RefHeading___Toc7812462_3381743652">
            <w:r>
              <w:rPr>
                <w:webHidden/>
                <w:rStyle w:val="IndexLink"/>
                <w:rtl w:val="true"/>
              </w:rPr>
              <w:t>چرا معتزلیان وعده و وعید را جزو اصول دین دانسته اند؟</w:t>
            </w:r>
            <w:r>
              <w:rPr>
                <w:rStyle w:val="IndexLink"/>
                <w:rtl w:val="true"/>
              </w:rPr>
              <w:tab/>
            </w:r>
            <w:r>
              <w:rPr>
                <w:rStyle w:val="IndexLink"/>
              </w:rPr>
              <w:t>190</w:t>
            </w:r>
          </w:hyperlink>
        </w:p>
        <w:p>
          <w:pPr>
            <w:pStyle w:val="Contents3"/>
            <w:tabs>
              <w:tab w:val="clear" w:pos="8459"/>
              <w:tab w:val="right" w:pos="9026" w:leader="dot"/>
            </w:tabs>
            <w:rPr/>
          </w:pPr>
          <w:hyperlink w:anchor="__RefHeading___Toc7812464_3381743652">
            <w:r>
              <w:rPr>
                <w:webHidden/>
                <w:rStyle w:val="IndexLink"/>
                <w:rtl w:val="true"/>
              </w:rPr>
              <w:t>پیشینه وعد و وعید در میان متکلمان شیعه</w:t>
            </w:r>
            <w:r>
              <w:rPr>
                <w:rStyle w:val="IndexLink"/>
                <w:rtl w:val="true"/>
              </w:rPr>
              <w:tab/>
            </w:r>
            <w:r>
              <w:rPr>
                <w:rStyle w:val="IndexLink"/>
              </w:rPr>
              <w:t>191</w:t>
            </w:r>
          </w:hyperlink>
        </w:p>
        <w:p>
          <w:pPr>
            <w:pStyle w:val="Contents3"/>
            <w:tabs>
              <w:tab w:val="clear" w:pos="8459"/>
              <w:tab w:val="right" w:pos="9026" w:leader="dot"/>
            </w:tabs>
            <w:rPr/>
          </w:pPr>
          <w:hyperlink w:anchor="__RefHeading___Toc7812466_3381743652">
            <w:r>
              <w:rPr>
                <w:webHidden/>
                <w:rStyle w:val="IndexLink"/>
                <w:rtl w:val="true"/>
              </w:rPr>
              <w:t>اموری که مکلف با انجام فعل، مستحق آن می شود</w:t>
            </w:r>
            <w:r>
              <w:rPr>
                <w:rStyle w:val="IndexLink"/>
                <w:rtl w:val="true"/>
              </w:rPr>
              <w:tab/>
            </w:r>
            <w:r>
              <w:rPr>
                <w:rStyle w:val="IndexLink"/>
              </w:rPr>
              <w:t>191</w:t>
            </w:r>
          </w:hyperlink>
        </w:p>
        <w:p>
          <w:pPr>
            <w:pStyle w:val="Contents3"/>
            <w:tabs>
              <w:tab w:val="clear" w:pos="8459"/>
              <w:tab w:val="right" w:pos="9026" w:leader="dot"/>
            </w:tabs>
            <w:rPr/>
          </w:pPr>
          <w:hyperlink w:anchor="__RefHeading___Toc7812468_3381743652">
            <w:r>
              <w:rPr>
                <w:webHidden/>
                <w:rStyle w:val="IndexLink"/>
                <w:rtl w:val="true"/>
              </w:rPr>
              <w:t>ارتباط وعده و وعید و مسئله مستحقان به افعال</w:t>
            </w:r>
            <w:r>
              <w:rPr>
                <w:rStyle w:val="IndexLink"/>
                <w:rtl w:val="true"/>
              </w:rPr>
              <w:tab/>
            </w:r>
            <w:r>
              <w:rPr>
                <w:rStyle w:val="IndexLink"/>
              </w:rPr>
              <w:t>191</w:t>
            </w:r>
          </w:hyperlink>
        </w:p>
        <w:p>
          <w:pPr>
            <w:pStyle w:val="Contents3"/>
            <w:tabs>
              <w:tab w:val="clear" w:pos="8459"/>
              <w:tab w:val="right" w:pos="9026" w:leader="dot"/>
            </w:tabs>
            <w:rPr/>
          </w:pPr>
          <w:hyperlink w:anchor="__RefHeading___Toc7812470_3381743652">
            <w:r>
              <w:rPr>
                <w:webHidden/>
                <w:rStyle w:val="IndexLink"/>
                <w:rtl w:val="true"/>
              </w:rPr>
              <w:t>اسباب و موجبات استحقاق مدح</w:t>
            </w:r>
            <w:r>
              <w:rPr>
                <w:rStyle w:val="IndexLink"/>
                <w:rtl w:val="true"/>
              </w:rPr>
              <w:tab/>
            </w:r>
            <w:r>
              <w:rPr>
                <w:rStyle w:val="IndexLink"/>
              </w:rPr>
              <w:t>192</w:t>
            </w:r>
          </w:hyperlink>
        </w:p>
        <w:p>
          <w:pPr>
            <w:pStyle w:val="Contents3"/>
            <w:tabs>
              <w:tab w:val="clear" w:pos="8459"/>
              <w:tab w:val="right" w:pos="9026" w:leader="dot"/>
            </w:tabs>
            <w:rPr/>
          </w:pPr>
          <w:hyperlink w:anchor="__RefHeading___Toc7812472_3381743652">
            <w:r>
              <w:rPr>
                <w:webHidden/>
                <w:rStyle w:val="IndexLink"/>
                <w:rtl w:val="true"/>
              </w:rPr>
              <w:t>اسباب و موجبات استحقاق ثواب</w:t>
            </w:r>
            <w:r>
              <w:rPr>
                <w:rStyle w:val="IndexLink"/>
                <w:rtl w:val="true"/>
              </w:rPr>
              <w:tab/>
            </w:r>
            <w:r>
              <w:rPr>
                <w:rStyle w:val="IndexLink"/>
              </w:rPr>
              <w:t>192</w:t>
            </w:r>
          </w:hyperlink>
        </w:p>
        <w:p>
          <w:pPr>
            <w:pStyle w:val="Contents3"/>
            <w:tabs>
              <w:tab w:val="clear" w:pos="8459"/>
              <w:tab w:val="right" w:pos="9026" w:leader="dot"/>
            </w:tabs>
            <w:rPr/>
          </w:pPr>
          <w:hyperlink w:anchor="__RefHeading___Toc7812474_3381743652">
            <w:r>
              <w:rPr>
                <w:webHidden/>
                <w:rStyle w:val="IndexLink"/>
                <w:rtl w:val="true"/>
              </w:rPr>
              <w:t>آیا پاداش، استحقاقی است؟</w:t>
            </w:r>
            <w:r>
              <w:rPr>
                <w:rStyle w:val="IndexLink"/>
                <w:rtl w:val="true"/>
              </w:rPr>
              <w:tab/>
            </w:r>
            <w:r>
              <w:rPr>
                <w:rStyle w:val="IndexLink"/>
              </w:rPr>
              <w:t>193</w:t>
            </w:r>
          </w:hyperlink>
        </w:p>
        <w:p>
          <w:pPr>
            <w:pStyle w:val="Contents3"/>
            <w:tabs>
              <w:tab w:val="clear" w:pos="8459"/>
              <w:tab w:val="right" w:pos="9026" w:leader="dot"/>
            </w:tabs>
            <w:rPr/>
          </w:pPr>
          <w:hyperlink w:anchor="__RefHeading___Toc7812476_3381743652">
            <w:r>
              <w:rPr>
                <w:webHidden/>
                <w:rStyle w:val="IndexLink"/>
                <w:rtl w:val="true"/>
              </w:rPr>
              <w:t>دائمی بودن پاداش، عقلی است یا سمعی؟</w:t>
            </w:r>
            <w:r>
              <w:rPr>
                <w:rStyle w:val="IndexLink"/>
                <w:rtl w:val="true"/>
              </w:rPr>
              <w:tab/>
            </w:r>
            <w:r>
              <w:rPr>
                <w:rStyle w:val="IndexLink"/>
              </w:rPr>
              <w:t>194</w:t>
            </w:r>
          </w:hyperlink>
        </w:p>
        <w:p>
          <w:pPr>
            <w:pStyle w:val="Contents3"/>
            <w:tabs>
              <w:tab w:val="clear" w:pos="8459"/>
              <w:tab w:val="right" w:pos="9026" w:leader="dot"/>
            </w:tabs>
            <w:rPr/>
          </w:pPr>
          <w:hyperlink w:anchor="__RefHeading___Toc7812478_3381743652">
            <w:r>
              <w:rPr>
                <w:webHidden/>
                <w:rStyle w:val="IndexLink"/>
                <w:rtl w:val="true"/>
              </w:rPr>
              <w:t xml:space="preserve">اسباب و موجبات استحقاق ذم </w:t>
            </w:r>
            <w:r>
              <w:rPr>
                <w:rStyle w:val="IndexLink"/>
                <w:rtl w:val="true"/>
              </w:rPr>
              <w:t>(</w:t>
            </w:r>
            <w:r>
              <w:rPr>
                <w:rStyle w:val="IndexLink"/>
                <w:rtl w:val="true"/>
              </w:rPr>
              <w:t>نکوهش کردن</w:t>
            </w:r>
            <w:r>
              <w:rPr>
                <w:rStyle w:val="IndexLink"/>
                <w:rtl w:val="true"/>
              </w:rPr>
              <w:t>)</w:t>
              <w:tab/>
            </w:r>
            <w:r>
              <w:rPr>
                <w:rStyle w:val="IndexLink"/>
              </w:rPr>
              <w:t>195</w:t>
            </w:r>
          </w:hyperlink>
        </w:p>
        <w:p>
          <w:pPr>
            <w:pStyle w:val="Contents3"/>
            <w:tabs>
              <w:tab w:val="clear" w:pos="8459"/>
              <w:tab w:val="right" w:pos="9026" w:leader="dot"/>
            </w:tabs>
            <w:rPr/>
          </w:pPr>
          <w:hyperlink w:anchor="__RefHeading___Toc7812480_3381743652">
            <w:r>
              <w:rPr>
                <w:webHidden/>
                <w:rStyle w:val="IndexLink"/>
                <w:rtl w:val="true"/>
              </w:rPr>
              <w:t>اسباب و موجبات استحقاق عقاب</w:t>
            </w:r>
            <w:r>
              <w:rPr>
                <w:rStyle w:val="IndexLink"/>
                <w:rtl w:val="true"/>
              </w:rPr>
              <w:tab/>
            </w:r>
            <w:r>
              <w:rPr>
                <w:rStyle w:val="IndexLink"/>
              </w:rPr>
              <w:t>196</w:t>
            </w:r>
          </w:hyperlink>
        </w:p>
        <w:p>
          <w:pPr>
            <w:pStyle w:val="Contents3"/>
            <w:tabs>
              <w:tab w:val="clear" w:pos="8459"/>
              <w:tab w:val="right" w:pos="9026" w:leader="dot"/>
            </w:tabs>
            <w:rPr/>
          </w:pPr>
          <w:hyperlink w:anchor="__RefHeading___Toc7812482_3381743652">
            <w:r>
              <w:rPr>
                <w:webHidden/>
                <w:rStyle w:val="IndexLink"/>
                <w:rtl w:val="true"/>
              </w:rPr>
              <w:t>عقلی بودن و سمعی بودن وجوب کیفر</w:t>
            </w:r>
            <w:r>
              <w:rPr>
                <w:rStyle w:val="IndexLink"/>
                <w:rtl w:val="true"/>
              </w:rPr>
              <w:tab/>
            </w:r>
            <w:r>
              <w:rPr>
                <w:rStyle w:val="IndexLink"/>
              </w:rPr>
              <w:t>196</w:t>
            </w:r>
          </w:hyperlink>
        </w:p>
        <w:p>
          <w:pPr>
            <w:pStyle w:val="Contents3"/>
            <w:tabs>
              <w:tab w:val="clear" w:pos="8459"/>
              <w:tab w:val="right" w:pos="9026" w:leader="dot"/>
            </w:tabs>
            <w:rPr/>
          </w:pPr>
          <w:hyperlink w:anchor="__RefHeading___Toc7812484_3381743652">
            <w:r>
              <w:rPr>
                <w:webHidden/>
                <w:rStyle w:val="IndexLink"/>
                <w:rtl w:val="true"/>
              </w:rPr>
              <w:t>ادله معتزله بر عقلی بودن استحقاق کیفر</w:t>
            </w:r>
            <w:r>
              <w:rPr>
                <w:rStyle w:val="IndexLink"/>
                <w:rtl w:val="true"/>
              </w:rPr>
              <w:tab/>
            </w:r>
            <w:r>
              <w:rPr>
                <w:rStyle w:val="IndexLink"/>
              </w:rPr>
              <w:t>196</w:t>
            </w:r>
          </w:hyperlink>
        </w:p>
        <w:p>
          <w:pPr>
            <w:pStyle w:val="Contents3"/>
            <w:tabs>
              <w:tab w:val="clear" w:pos="8459"/>
              <w:tab w:val="right" w:pos="9026" w:leader="dot"/>
            </w:tabs>
            <w:rPr/>
          </w:pPr>
          <w:hyperlink w:anchor="__RefHeading___Toc7812486_3381743652">
            <w:r>
              <w:rPr>
                <w:webHidden/>
                <w:rStyle w:val="IndexLink"/>
                <w:rtl w:val="true"/>
              </w:rPr>
              <w:t>آیا دادن پاداش وکیفر از آن خداوند است؟</w:t>
            </w:r>
            <w:r>
              <w:rPr>
                <w:rStyle w:val="IndexLink"/>
                <w:rtl w:val="true"/>
              </w:rPr>
              <w:tab/>
            </w:r>
            <w:r>
              <w:rPr>
                <w:rStyle w:val="IndexLink"/>
              </w:rPr>
              <w:t>197</w:t>
            </w:r>
          </w:hyperlink>
        </w:p>
        <w:p>
          <w:pPr>
            <w:pStyle w:val="Contents3"/>
            <w:tabs>
              <w:tab w:val="clear" w:pos="8459"/>
              <w:tab w:val="right" w:pos="9026" w:leader="dot"/>
            </w:tabs>
            <w:rPr/>
          </w:pPr>
          <w:hyperlink w:anchor="__RefHeading___Toc7812488_3381743652">
            <w:r>
              <w:rPr>
                <w:webHidden/>
                <w:rStyle w:val="IndexLink"/>
                <w:rtl w:val="true"/>
              </w:rPr>
              <w:t>اقوال در وجوب و عدم وجوب وفای به وعد و وعید</w:t>
            </w:r>
            <w:r>
              <w:rPr>
                <w:rStyle w:val="IndexLink"/>
                <w:rtl w:val="true"/>
              </w:rPr>
              <w:tab/>
            </w:r>
            <w:r>
              <w:rPr>
                <w:rStyle w:val="IndexLink"/>
              </w:rPr>
              <w:t>197</w:t>
            </w:r>
          </w:hyperlink>
        </w:p>
        <w:p>
          <w:pPr>
            <w:pStyle w:val="Contents3"/>
            <w:tabs>
              <w:tab w:val="clear" w:pos="8459"/>
              <w:tab w:val="right" w:pos="9026" w:leader="dot"/>
            </w:tabs>
            <w:rPr/>
          </w:pPr>
          <w:hyperlink w:anchor="__RefHeading___Toc7812490_3381743652">
            <w:r>
              <w:rPr>
                <w:webHidden/>
                <w:rStyle w:val="IndexLink"/>
                <w:rtl w:val="true"/>
              </w:rPr>
              <w:t>دیدگاه اشاعره</w:t>
            </w:r>
            <w:r>
              <w:rPr>
                <w:rStyle w:val="IndexLink"/>
                <w:rtl w:val="true"/>
              </w:rPr>
              <w:tab/>
            </w:r>
            <w:r>
              <w:rPr>
                <w:rStyle w:val="IndexLink"/>
              </w:rPr>
              <w:t>198</w:t>
            </w:r>
          </w:hyperlink>
        </w:p>
        <w:p>
          <w:pPr>
            <w:pStyle w:val="Contents3"/>
            <w:tabs>
              <w:tab w:val="clear" w:pos="8459"/>
              <w:tab w:val="right" w:pos="9026" w:leader="dot"/>
            </w:tabs>
            <w:rPr/>
          </w:pPr>
          <w:hyperlink w:anchor="__RefHeading___Toc7812492_3381743652">
            <w:r>
              <w:rPr>
                <w:webHidden/>
                <w:rStyle w:val="IndexLink"/>
                <w:rtl w:val="true"/>
              </w:rPr>
              <w:t>دیدگاه معتزله</w:t>
            </w:r>
            <w:r>
              <w:rPr>
                <w:rStyle w:val="IndexLink"/>
                <w:rtl w:val="true"/>
              </w:rPr>
              <w:tab/>
            </w:r>
            <w:r>
              <w:rPr>
                <w:rStyle w:val="IndexLink"/>
              </w:rPr>
              <w:t>198</w:t>
            </w:r>
          </w:hyperlink>
        </w:p>
        <w:p>
          <w:pPr>
            <w:pStyle w:val="Contents3"/>
            <w:tabs>
              <w:tab w:val="clear" w:pos="8459"/>
              <w:tab w:val="right" w:pos="9026" w:leader="dot"/>
            </w:tabs>
            <w:rPr/>
          </w:pPr>
          <w:hyperlink w:anchor="__RefHeading___Toc7812494_3381743652">
            <w:r>
              <w:rPr>
                <w:webHidden/>
                <w:rStyle w:val="IndexLink"/>
                <w:rtl w:val="true"/>
              </w:rPr>
              <w:t>ادله معتزله بر وجوب وفای به وعد و وعید بر خداوند</w:t>
            </w:r>
            <w:r>
              <w:rPr>
                <w:rStyle w:val="IndexLink"/>
                <w:rtl w:val="true"/>
              </w:rPr>
              <w:tab/>
            </w:r>
            <w:r>
              <w:rPr>
                <w:rStyle w:val="IndexLink"/>
              </w:rPr>
              <w:t>199</w:t>
            </w:r>
          </w:hyperlink>
        </w:p>
        <w:p>
          <w:pPr>
            <w:pStyle w:val="Contents3"/>
            <w:tabs>
              <w:tab w:val="clear" w:pos="8459"/>
              <w:tab w:val="right" w:pos="9026" w:leader="dot"/>
            </w:tabs>
            <w:rPr/>
          </w:pPr>
          <w:hyperlink w:anchor="__RefHeading___Toc7812496_3381743652">
            <w:r>
              <w:rPr>
                <w:webHidden/>
                <w:rStyle w:val="IndexLink"/>
                <w:rtl w:val="true"/>
              </w:rPr>
              <w:t>ظریه امامیه در وفای به وعد و وعید</w:t>
            </w:r>
            <w:r>
              <w:rPr>
                <w:rStyle w:val="IndexLink"/>
                <w:rtl w:val="true"/>
              </w:rPr>
              <w:tab/>
            </w:r>
            <w:r>
              <w:rPr>
                <w:rStyle w:val="IndexLink"/>
              </w:rPr>
              <w:t>199</w:t>
            </w:r>
          </w:hyperlink>
        </w:p>
        <w:p>
          <w:pPr>
            <w:pStyle w:val="Contents3"/>
            <w:tabs>
              <w:tab w:val="clear" w:pos="8459"/>
              <w:tab w:val="right" w:pos="9026" w:leader="dot"/>
            </w:tabs>
            <w:rPr/>
          </w:pPr>
          <w:hyperlink w:anchor="__RefHeading___Toc7812498_3381743652">
            <w:r>
              <w:rPr>
                <w:webHidden/>
                <w:rStyle w:val="IndexLink"/>
                <w:rtl w:val="true"/>
              </w:rPr>
              <w:t>معنای حق بودن وعده خداوند</w:t>
            </w:r>
            <w:r>
              <w:rPr>
                <w:rStyle w:val="IndexLink"/>
                <w:rtl w:val="true"/>
              </w:rPr>
              <w:tab/>
            </w:r>
            <w:r>
              <w:rPr>
                <w:rStyle w:val="IndexLink"/>
              </w:rPr>
              <w:t>200</w:t>
            </w:r>
          </w:hyperlink>
        </w:p>
        <w:p>
          <w:pPr>
            <w:pStyle w:val="Contents3"/>
            <w:tabs>
              <w:tab w:val="clear" w:pos="8459"/>
              <w:tab w:val="right" w:pos="9026" w:leader="dot"/>
            </w:tabs>
            <w:rPr/>
          </w:pPr>
          <w:hyperlink w:anchor="__RefHeading___Toc7812500_3381743652">
            <w:r>
              <w:rPr>
                <w:webHidden/>
                <w:rStyle w:val="IndexLink"/>
                <w:rtl w:val="true"/>
              </w:rPr>
              <w:t>نفی خلف وعد از خداوند</w:t>
            </w:r>
            <w:r>
              <w:rPr>
                <w:rStyle w:val="IndexLink"/>
                <w:rtl w:val="true"/>
              </w:rPr>
              <w:tab/>
            </w:r>
            <w:r>
              <w:rPr>
                <w:rStyle w:val="IndexLink"/>
              </w:rPr>
              <w:t>200</w:t>
            </w:r>
          </w:hyperlink>
        </w:p>
        <w:p>
          <w:pPr>
            <w:pStyle w:val="Contents3"/>
            <w:tabs>
              <w:tab w:val="clear" w:pos="8459"/>
              <w:tab w:val="right" w:pos="9026" w:leader="dot"/>
            </w:tabs>
            <w:rPr/>
          </w:pPr>
          <w:hyperlink w:anchor="__RefHeading___Toc7812502_3381743652">
            <w:r>
              <w:rPr>
                <w:webHidden/>
                <w:rStyle w:val="IndexLink"/>
                <w:rtl w:val="true"/>
              </w:rPr>
              <w:t>مختار شیخ الطایفه</w:t>
            </w:r>
            <w:r>
              <w:rPr>
                <w:rStyle w:val="IndexLink"/>
                <w:rtl w:val="true"/>
              </w:rPr>
              <w:tab/>
            </w:r>
            <w:r>
              <w:rPr>
                <w:rStyle w:val="IndexLink"/>
              </w:rPr>
              <w:t>201</w:t>
            </w:r>
          </w:hyperlink>
        </w:p>
        <w:p>
          <w:pPr>
            <w:pStyle w:val="Contents3"/>
            <w:tabs>
              <w:tab w:val="clear" w:pos="8459"/>
              <w:tab w:val="right" w:pos="9026" w:leader="dot"/>
            </w:tabs>
            <w:rPr/>
          </w:pPr>
          <w:hyperlink w:anchor="__RefHeading___Toc7812504_3381743652">
            <w:r>
              <w:rPr>
                <w:webHidden/>
                <w:rStyle w:val="IndexLink"/>
                <w:rtl w:val="true"/>
              </w:rPr>
              <w:t>ادله نفی وجوب وفای به وعید</w:t>
            </w:r>
            <w:r>
              <w:rPr>
                <w:rStyle w:val="IndexLink"/>
                <w:rtl w:val="true"/>
              </w:rPr>
              <w:tab/>
            </w:r>
            <w:r>
              <w:rPr>
                <w:rStyle w:val="IndexLink"/>
              </w:rPr>
              <w:t>202</w:t>
            </w:r>
          </w:hyperlink>
        </w:p>
        <w:p>
          <w:pPr>
            <w:pStyle w:val="Contents3"/>
            <w:tabs>
              <w:tab w:val="clear" w:pos="8459"/>
              <w:tab w:val="right" w:pos="9026" w:leader="dot"/>
            </w:tabs>
            <w:rPr/>
          </w:pPr>
          <w:hyperlink w:anchor="__RefHeading___Toc7812506_3381743652">
            <w:r>
              <w:rPr>
                <w:webHidden/>
                <w:rStyle w:val="IndexLink"/>
                <w:rtl w:val="true"/>
              </w:rPr>
              <w:t>پیامدها و لوازم وجوب وفای به وعید</w:t>
            </w:r>
            <w:r>
              <w:rPr>
                <w:rStyle w:val="IndexLink"/>
                <w:rtl w:val="true"/>
              </w:rPr>
              <w:tab/>
            </w:r>
            <w:r>
              <w:rPr>
                <w:rStyle w:val="IndexLink"/>
              </w:rPr>
              <w:t>202</w:t>
            </w:r>
          </w:hyperlink>
        </w:p>
        <w:p>
          <w:pPr>
            <w:pStyle w:val="Contents3"/>
            <w:tabs>
              <w:tab w:val="clear" w:pos="8459"/>
              <w:tab w:val="right" w:pos="9026" w:leader="dot"/>
            </w:tabs>
            <w:rPr/>
          </w:pPr>
          <w:hyperlink w:anchor="__RefHeading___Toc7812508_3381743652">
            <w:r>
              <w:rPr>
                <w:webHidden/>
                <w:rStyle w:val="IndexLink"/>
                <w:rtl w:val="true"/>
              </w:rPr>
              <w:t>سایر اموری که وعید به آن تعلق گرفته است</w:t>
            </w:r>
            <w:r>
              <w:rPr>
                <w:rStyle w:val="IndexLink"/>
                <w:rtl w:val="true"/>
              </w:rPr>
              <w:tab/>
            </w:r>
            <w:r>
              <w:rPr>
                <w:rStyle w:val="IndexLink"/>
              </w:rPr>
              <w:t>205</w:t>
            </w:r>
          </w:hyperlink>
        </w:p>
        <w:p>
          <w:pPr>
            <w:pStyle w:val="Contents3"/>
            <w:tabs>
              <w:tab w:val="clear" w:pos="8459"/>
              <w:tab w:val="right" w:pos="9026" w:leader="dot"/>
            </w:tabs>
            <w:rPr/>
          </w:pPr>
          <w:hyperlink w:anchor="__RefHeading___Toc7812510_3381743652">
            <w:r>
              <w:rPr>
                <w:webHidden/>
                <w:rStyle w:val="IndexLink"/>
                <w:rtl w:val="true"/>
              </w:rPr>
              <w:t>احکام مکلف در قبر و عذاب قبر</w:t>
            </w:r>
            <w:r>
              <w:rPr>
                <w:rStyle w:val="IndexLink"/>
                <w:rtl w:val="true"/>
              </w:rPr>
              <w:tab/>
            </w:r>
            <w:r>
              <w:rPr>
                <w:rStyle w:val="IndexLink"/>
              </w:rPr>
              <w:t>205</w:t>
            </w:r>
          </w:hyperlink>
        </w:p>
        <w:p>
          <w:pPr>
            <w:pStyle w:val="Contents3"/>
            <w:tabs>
              <w:tab w:val="clear" w:pos="8459"/>
              <w:tab w:val="right" w:pos="9026" w:leader="dot"/>
            </w:tabs>
            <w:rPr/>
          </w:pPr>
          <w:hyperlink w:anchor="__RefHeading___Toc7812512_3381743652">
            <w:r>
              <w:rPr>
                <w:webHidden/>
                <w:rStyle w:val="IndexLink"/>
                <w:rtl w:val="true"/>
              </w:rPr>
              <w:t>دو فرشته منکر و نکیر</w:t>
            </w:r>
            <w:r>
              <w:rPr>
                <w:rStyle w:val="IndexLink"/>
                <w:rtl w:val="true"/>
              </w:rPr>
              <w:tab/>
            </w:r>
            <w:r>
              <w:rPr>
                <w:rStyle w:val="IndexLink"/>
              </w:rPr>
              <w:t>206</w:t>
            </w:r>
          </w:hyperlink>
        </w:p>
        <w:p>
          <w:pPr>
            <w:pStyle w:val="Contents3"/>
            <w:tabs>
              <w:tab w:val="clear" w:pos="8459"/>
              <w:tab w:val="right" w:pos="9026" w:leader="dot"/>
            </w:tabs>
            <w:rPr/>
          </w:pPr>
          <w:hyperlink w:anchor="__RefHeading___Toc7812514_3381743652">
            <w:r>
              <w:rPr>
                <w:webHidden/>
                <w:rStyle w:val="IndexLink"/>
                <w:rtl w:val="true"/>
              </w:rPr>
              <w:t>کیفیت شهادت جوارح</w:t>
            </w:r>
            <w:r>
              <w:rPr>
                <w:rStyle w:val="IndexLink"/>
                <w:rtl w:val="true"/>
              </w:rPr>
              <w:tab/>
            </w:r>
            <w:r>
              <w:rPr>
                <w:rStyle w:val="IndexLink"/>
              </w:rPr>
              <w:t>207</w:t>
            </w:r>
          </w:hyperlink>
        </w:p>
        <w:p>
          <w:pPr>
            <w:pStyle w:val="Contents3"/>
            <w:tabs>
              <w:tab w:val="clear" w:pos="8459"/>
              <w:tab w:val="right" w:pos="9026" w:leader="dot"/>
            </w:tabs>
            <w:rPr/>
          </w:pPr>
          <w:hyperlink w:anchor="__RefHeading___Toc7812516_3381743652">
            <w:r>
              <w:rPr>
                <w:webHidden/>
                <w:rStyle w:val="IndexLink"/>
                <w:rtl w:val="true"/>
              </w:rPr>
              <w:t>صراط</w:t>
            </w:r>
            <w:r>
              <w:rPr>
                <w:rStyle w:val="IndexLink"/>
                <w:rtl w:val="true"/>
              </w:rPr>
              <w:tab/>
            </w:r>
            <w:r>
              <w:rPr>
                <w:rStyle w:val="IndexLink"/>
              </w:rPr>
              <w:t>207</w:t>
            </w:r>
          </w:hyperlink>
        </w:p>
        <w:p>
          <w:pPr>
            <w:pStyle w:val="Contents3"/>
            <w:tabs>
              <w:tab w:val="clear" w:pos="8459"/>
              <w:tab w:val="right" w:pos="9026" w:leader="dot"/>
            </w:tabs>
            <w:rPr/>
          </w:pPr>
          <w:hyperlink w:anchor="__RefHeading___Toc7812518_3381743652">
            <w:r>
              <w:rPr>
                <w:webHidden/>
                <w:rStyle w:val="IndexLink"/>
                <w:rtl w:val="true"/>
              </w:rPr>
              <w:t>انقطاع تکلیف در آخرت</w:t>
            </w:r>
            <w:r>
              <w:rPr>
                <w:rStyle w:val="IndexLink"/>
                <w:rtl w:val="true"/>
              </w:rPr>
              <w:tab/>
            </w:r>
            <w:r>
              <w:rPr>
                <w:rStyle w:val="IndexLink"/>
              </w:rPr>
              <w:t>207</w:t>
            </w:r>
          </w:hyperlink>
        </w:p>
        <w:p>
          <w:pPr>
            <w:pStyle w:val="Contents2"/>
            <w:tabs>
              <w:tab w:val="clear" w:pos="8743"/>
              <w:tab w:val="right" w:pos="9026" w:leader="dot"/>
            </w:tabs>
            <w:rPr/>
          </w:pPr>
          <w:hyperlink w:anchor="__RefHeading___Toc7812520_3381743652">
            <w:r>
              <w:rPr>
                <w:webHidden/>
                <w:rStyle w:val="IndexLink"/>
                <w:rtl w:val="true"/>
              </w:rPr>
              <w:t>رجعت</w:t>
            </w:r>
            <w:r>
              <w:rPr>
                <w:rStyle w:val="IndexLink"/>
                <w:rtl w:val="true"/>
              </w:rPr>
              <w:tab/>
            </w:r>
            <w:r>
              <w:rPr>
                <w:rStyle w:val="IndexLink"/>
              </w:rPr>
              <w:t>209</w:t>
            </w:r>
          </w:hyperlink>
        </w:p>
        <w:p>
          <w:pPr>
            <w:pStyle w:val="Contents3"/>
            <w:tabs>
              <w:tab w:val="clear" w:pos="8459"/>
              <w:tab w:val="right" w:pos="9026" w:leader="dot"/>
            </w:tabs>
            <w:rPr/>
          </w:pPr>
          <w:hyperlink w:anchor="__RefHeading___Toc7812522_3381743652">
            <w:r>
              <w:rPr>
                <w:webHidden/>
                <w:rStyle w:val="IndexLink"/>
                <w:rtl w:val="true"/>
              </w:rPr>
              <w:t>پیشگفتار</w:t>
            </w:r>
            <w:r>
              <w:rPr>
                <w:rStyle w:val="IndexLink"/>
                <w:rtl w:val="true"/>
              </w:rPr>
              <w:tab/>
            </w:r>
            <w:r>
              <w:rPr>
                <w:rStyle w:val="IndexLink"/>
              </w:rPr>
              <w:t>209</w:t>
            </w:r>
          </w:hyperlink>
        </w:p>
        <w:p>
          <w:pPr>
            <w:pStyle w:val="Contents3"/>
            <w:tabs>
              <w:tab w:val="clear" w:pos="8459"/>
              <w:tab w:val="right" w:pos="9026" w:leader="dot"/>
            </w:tabs>
            <w:rPr/>
          </w:pPr>
          <w:hyperlink w:anchor="__RefHeading___Toc7812524_3381743652">
            <w:r>
              <w:rPr>
                <w:webHidden/>
                <w:rStyle w:val="IndexLink"/>
                <w:rtl w:val="true"/>
              </w:rPr>
              <w:t>کلیات</w:t>
            </w:r>
            <w:r>
              <w:rPr>
                <w:rStyle w:val="IndexLink"/>
                <w:rtl w:val="true"/>
              </w:rPr>
              <w:tab/>
            </w:r>
            <w:r>
              <w:rPr>
                <w:rStyle w:val="IndexLink"/>
              </w:rPr>
              <w:t>210</w:t>
            </w:r>
          </w:hyperlink>
        </w:p>
        <w:p>
          <w:pPr>
            <w:pStyle w:val="Contents4"/>
            <w:tabs>
              <w:tab w:val="clear" w:pos="8176"/>
              <w:tab w:val="right" w:pos="9026" w:leader="dot"/>
            </w:tabs>
            <w:rPr/>
          </w:pPr>
          <w:hyperlink w:anchor="__RefHeading___Toc7812526_3381743652">
            <w:r>
              <w:rPr>
                <w:webHidden/>
                <w:rStyle w:val="IndexLink"/>
                <w:rtl w:val="true"/>
              </w:rPr>
              <w:t>مفهوم شناسی رجعت</w:t>
            </w:r>
            <w:r>
              <w:rPr>
                <w:rStyle w:val="IndexLink"/>
                <w:rtl w:val="true"/>
              </w:rPr>
              <w:tab/>
            </w:r>
            <w:r>
              <w:rPr>
                <w:rStyle w:val="IndexLink"/>
              </w:rPr>
              <w:t>210</w:t>
            </w:r>
          </w:hyperlink>
        </w:p>
        <w:p>
          <w:pPr>
            <w:pStyle w:val="Contents5"/>
            <w:tabs>
              <w:tab w:val="clear" w:pos="7892"/>
              <w:tab w:val="right" w:pos="9026" w:leader="dot"/>
            </w:tabs>
            <w:rPr/>
          </w:pPr>
          <w:hyperlink w:anchor="__RefHeading___Toc7812528_3381743652">
            <w:r>
              <w:rPr>
                <w:webHidden/>
                <w:rStyle w:val="IndexLink"/>
                <w:rtl w:val="true"/>
              </w:rPr>
              <w:t>رجعت در لغت</w:t>
            </w:r>
            <w:r>
              <w:rPr>
                <w:rStyle w:val="IndexLink"/>
                <w:rtl w:val="true"/>
              </w:rPr>
              <w:tab/>
            </w:r>
            <w:r>
              <w:rPr>
                <w:rStyle w:val="IndexLink"/>
              </w:rPr>
              <w:t>210</w:t>
            </w:r>
          </w:hyperlink>
        </w:p>
        <w:p>
          <w:pPr>
            <w:pStyle w:val="Contents5"/>
            <w:tabs>
              <w:tab w:val="clear" w:pos="7892"/>
              <w:tab w:val="right" w:pos="9026" w:leader="dot"/>
            </w:tabs>
            <w:rPr/>
          </w:pPr>
          <w:hyperlink w:anchor="__RefHeading___Toc7812530_3381743652">
            <w:r>
              <w:rPr>
                <w:webHidden/>
                <w:rStyle w:val="IndexLink"/>
                <w:rtl w:val="true"/>
              </w:rPr>
              <w:t>رجعت در اصطلاح</w:t>
            </w:r>
            <w:r>
              <w:rPr>
                <w:rStyle w:val="IndexLink"/>
                <w:rtl w:val="true"/>
              </w:rPr>
              <w:tab/>
            </w:r>
            <w:r>
              <w:rPr>
                <w:rStyle w:val="IndexLink"/>
              </w:rPr>
              <w:t>211</w:t>
            </w:r>
          </w:hyperlink>
        </w:p>
        <w:p>
          <w:pPr>
            <w:pStyle w:val="Contents4"/>
            <w:tabs>
              <w:tab w:val="clear" w:pos="8176"/>
              <w:tab w:val="right" w:pos="9026" w:leader="dot"/>
            </w:tabs>
            <w:rPr/>
          </w:pPr>
          <w:hyperlink w:anchor="__RefHeading___Toc7812532_3381743652">
            <w:r>
              <w:rPr>
                <w:webHidden/>
                <w:rStyle w:val="IndexLink"/>
                <w:rtl w:val="true"/>
              </w:rPr>
              <w:t>امکان رجعت</w:t>
            </w:r>
            <w:r>
              <w:rPr>
                <w:rStyle w:val="IndexLink"/>
                <w:rtl w:val="true"/>
              </w:rPr>
              <w:tab/>
            </w:r>
            <w:r>
              <w:rPr>
                <w:rStyle w:val="IndexLink"/>
              </w:rPr>
              <w:t>212</w:t>
            </w:r>
          </w:hyperlink>
        </w:p>
        <w:p>
          <w:pPr>
            <w:pStyle w:val="Contents4"/>
            <w:tabs>
              <w:tab w:val="clear" w:pos="8176"/>
              <w:tab w:val="right" w:pos="9026" w:leader="dot"/>
            </w:tabs>
            <w:rPr/>
          </w:pPr>
          <w:hyperlink w:anchor="__RefHeading___Toc7812534_3381743652">
            <w:r>
              <w:rPr>
                <w:webHidden/>
                <w:rStyle w:val="IndexLink"/>
                <w:rtl w:val="true"/>
              </w:rPr>
              <w:t>ادله امکان رجعت</w:t>
            </w:r>
            <w:r>
              <w:rPr>
                <w:rStyle w:val="IndexLink"/>
                <w:rtl w:val="true"/>
              </w:rPr>
              <w:tab/>
            </w:r>
            <w:r>
              <w:rPr>
                <w:rStyle w:val="IndexLink"/>
              </w:rPr>
              <w:t>212</w:t>
            </w:r>
          </w:hyperlink>
        </w:p>
        <w:p>
          <w:pPr>
            <w:pStyle w:val="Contents5"/>
            <w:tabs>
              <w:tab w:val="clear" w:pos="7892"/>
              <w:tab w:val="right" w:pos="9026" w:leader="dot"/>
            </w:tabs>
            <w:rPr/>
          </w:pPr>
          <w:hyperlink w:anchor="__RefHeading___Toc7812536_3381743652">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7812538_3381743652">
            <w:r>
              <w:rPr>
                <w:webHidden/>
                <w:rStyle w:val="IndexLink"/>
              </w:rPr>
              <w:t>1</w:t>
            </w:r>
            <w:r>
              <w:rPr>
                <w:rStyle w:val="IndexLink"/>
                <w:rtl w:val="true"/>
              </w:rPr>
              <w:t xml:space="preserve">. </w:t>
            </w:r>
            <w:r>
              <w:rPr>
                <w:rStyle w:val="IndexLink"/>
                <w:rtl w:val="true"/>
              </w:rPr>
              <w:t>رجعت از سنخ معاد جسمانی است</w:t>
            </w:r>
            <w:r>
              <w:rPr>
                <w:rStyle w:val="IndexLink"/>
                <w:rtl w:val="true"/>
              </w:rPr>
              <w:tab/>
            </w:r>
            <w:r>
              <w:rPr>
                <w:rStyle w:val="IndexLink"/>
              </w:rPr>
              <w:t>212</w:t>
            </w:r>
          </w:hyperlink>
        </w:p>
        <w:p>
          <w:pPr>
            <w:pStyle w:val="Contents5"/>
            <w:tabs>
              <w:tab w:val="clear" w:pos="7892"/>
              <w:tab w:val="right" w:pos="9026" w:leader="dot"/>
            </w:tabs>
            <w:rPr/>
          </w:pPr>
          <w:hyperlink w:anchor="__RefHeading___Toc7812540_3381743652">
            <w:r>
              <w:rPr>
                <w:webHidden/>
                <w:rStyle w:val="IndexLink"/>
              </w:rPr>
              <w:t>۲</w:t>
            </w:r>
            <w:r>
              <w:rPr>
                <w:rStyle w:val="IndexLink"/>
                <w:rtl w:val="true"/>
              </w:rPr>
              <w:t xml:space="preserve">. </w:t>
            </w:r>
            <w:r>
              <w:rPr>
                <w:rStyle w:val="IndexLink"/>
                <w:rtl w:val="true"/>
              </w:rPr>
              <w:t>وقوع رجعت در خارج</w:t>
            </w:r>
            <w:r>
              <w:rPr>
                <w:rStyle w:val="IndexLink"/>
                <w:rtl w:val="true"/>
              </w:rPr>
              <w:tab/>
            </w:r>
            <w:r>
              <w:rPr>
                <w:rStyle w:val="IndexLink"/>
              </w:rPr>
              <w:t>214</w:t>
            </w:r>
          </w:hyperlink>
        </w:p>
        <w:p>
          <w:pPr>
            <w:pStyle w:val="Contents4"/>
            <w:tabs>
              <w:tab w:val="clear" w:pos="8176"/>
              <w:tab w:val="right" w:pos="9026" w:leader="dot"/>
            </w:tabs>
            <w:rPr/>
          </w:pPr>
          <w:hyperlink w:anchor="__RefHeading___Toc7812542_3381743652">
            <w:r>
              <w:rPr>
                <w:webHidden/>
                <w:rStyle w:val="IndexLink"/>
                <w:rtl w:val="true"/>
              </w:rPr>
              <w:t>آیا رجعت از اصول دین است؟</w:t>
            </w:r>
            <w:r>
              <w:rPr>
                <w:rStyle w:val="IndexLink"/>
                <w:rtl w:val="true"/>
              </w:rPr>
              <w:tab/>
            </w:r>
            <w:r>
              <w:rPr>
                <w:rStyle w:val="IndexLink"/>
              </w:rPr>
              <w:t>214</w:t>
            </w:r>
          </w:hyperlink>
        </w:p>
        <w:p>
          <w:pPr>
            <w:pStyle w:val="Contents3"/>
            <w:tabs>
              <w:tab w:val="clear" w:pos="8459"/>
              <w:tab w:val="right" w:pos="9026" w:leader="dot"/>
            </w:tabs>
            <w:rPr/>
          </w:pPr>
          <w:hyperlink w:anchor="__RefHeading___Toc7812544_3381743652">
            <w:r>
              <w:rPr>
                <w:webHidden/>
                <w:rStyle w:val="IndexLink"/>
                <w:rtl w:val="true"/>
              </w:rPr>
              <w:t>رجعت و دیدگاههای مختلف</w:t>
            </w:r>
            <w:r>
              <w:rPr>
                <w:rStyle w:val="IndexLink"/>
                <w:rtl w:val="true"/>
              </w:rPr>
              <w:tab/>
            </w:r>
            <w:r>
              <w:rPr>
                <w:rStyle w:val="IndexLink"/>
              </w:rPr>
              <w:t>215</w:t>
            </w:r>
          </w:hyperlink>
        </w:p>
        <w:p>
          <w:pPr>
            <w:pStyle w:val="Contents4"/>
            <w:tabs>
              <w:tab w:val="clear" w:pos="8176"/>
              <w:tab w:val="right" w:pos="9026" w:leader="dot"/>
            </w:tabs>
            <w:rPr/>
          </w:pPr>
          <w:hyperlink w:anchor="__RefHeading___Toc7812546_3381743652">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7812548_3381743652">
            <w:r>
              <w:rPr>
                <w:webHidden/>
                <w:rStyle w:val="IndexLink"/>
              </w:rPr>
              <w:t>1</w:t>
            </w:r>
            <w:r>
              <w:rPr>
                <w:rStyle w:val="IndexLink"/>
                <w:rtl w:val="true"/>
              </w:rPr>
              <w:t xml:space="preserve">. </w:t>
            </w:r>
            <w:r>
              <w:rPr>
                <w:rStyle w:val="IndexLink"/>
                <w:rtl w:val="true"/>
              </w:rPr>
              <w:t>رجعت، بازگشت دولت است، نه اشخاص</w:t>
            </w:r>
            <w:r>
              <w:rPr>
                <w:rStyle w:val="IndexLink"/>
                <w:rtl w:val="true"/>
              </w:rPr>
              <w:tab/>
            </w:r>
            <w:r>
              <w:rPr>
                <w:rStyle w:val="IndexLink"/>
              </w:rPr>
              <w:t>215</w:t>
            </w:r>
          </w:hyperlink>
        </w:p>
        <w:p>
          <w:pPr>
            <w:pStyle w:val="Contents4"/>
            <w:tabs>
              <w:tab w:val="clear" w:pos="8176"/>
              <w:tab w:val="right" w:pos="9026" w:leader="dot"/>
            </w:tabs>
            <w:rPr/>
          </w:pPr>
          <w:hyperlink w:anchor="__RefHeading___Toc7812550_3381743652">
            <w:r>
              <w:rPr>
                <w:webHidden/>
                <w:rStyle w:val="IndexLink"/>
              </w:rPr>
              <w:t>۲</w:t>
            </w:r>
            <w:r>
              <w:rPr>
                <w:rStyle w:val="IndexLink"/>
                <w:rtl w:val="true"/>
              </w:rPr>
              <w:t xml:space="preserve">. </w:t>
            </w:r>
            <w:r>
              <w:rPr>
                <w:rStyle w:val="IndexLink"/>
                <w:rtl w:val="true"/>
              </w:rPr>
              <w:t>رجعت یا بازگشت دوباره امامان به دنیا</w:t>
            </w:r>
            <w:r>
              <w:rPr>
                <w:rStyle w:val="IndexLink"/>
                <w:rtl w:val="true"/>
              </w:rPr>
              <w:tab/>
            </w:r>
            <w:r>
              <w:rPr>
                <w:rStyle w:val="IndexLink"/>
              </w:rPr>
              <w:t>216</w:t>
            </w:r>
          </w:hyperlink>
        </w:p>
        <w:p>
          <w:pPr>
            <w:pStyle w:val="Contents3"/>
            <w:tabs>
              <w:tab w:val="clear" w:pos="8459"/>
              <w:tab w:val="right" w:pos="9026" w:leader="dot"/>
            </w:tabs>
            <w:rPr/>
          </w:pPr>
          <w:hyperlink w:anchor="__RefHeading___Toc7812552_3381743652">
            <w:r>
              <w:rPr>
                <w:webHidden/>
                <w:rStyle w:val="IndexLink"/>
                <w:rtl w:val="true"/>
              </w:rPr>
              <w:t>دلایل وقوع رجعت در امت اسلامی</w:t>
            </w:r>
            <w:r>
              <w:rPr>
                <w:rStyle w:val="IndexLink"/>
                <w:rtl w:val="true"/>
              </w:rPr>
              <w:tab/>
            </w:r>
            <w:r>
              <w:rPr>
                <w:rStyle w:val="IndexLink"/>
              </w:rPr>
              <w:t>216</w:t>
            </w:r>
          </w:hyperlink>
        </w:p>
        <w:p>
          <w:pPr>
            <w:pStyle w:val="Contents4"/>
            <w:tabs>
              <w:tab w:val="clear" w:pos="8176"/>
              <w:tab w:val="right" w:pos="9026" w:leader="dot"/>
            </w:tabs>
            <w:rPr/>
          </w:pPr>
          <w:hyperlink w:anchor="__RefHeading___Toc7812554_3381743652">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7812556_3381743652">
            <w:r>
              <w:rPr>
                <w:webHidden/>
                <w:rStyle w:val="IndexLink"/>
              </w:rPr>
              <w:t>١</w:t>
            </w:r>
            <w:r>
              <w:rPr>
                <w:rStyle w:val="IndexLink"/>
                <w:rtl w:val="true"/>
              </w:rPr>
              <w:t xml:space="preserve">. </w:t>
            </w:r>
            <w:r>
              <w:rPr>
                <w:rStyle w:val="IndexLink"/>
                <w:rtl w:val="true"/>
              </w:rPr>
              <w:t>اجماع</w:t>
            </w:r>
            <w:r>
              <w:rPr>
                <w:rStyle w:val="IndexLink"/>
                <w:rtl w:val="true"/>
              </w:rPr>
              <w:tab/>
            </w:r>
            <w:r>
              <w:rPr>
                <w:rStyle w:val="IndexLink"/>
              </w:rPr>
              <w:t>217</w:t>
            </w:r>
          </w:hyperlink>
        </w:p>
        <w:p>
          <w:pPr>
            <w:pStyle w:val="Contents4"/>
            <w:tabs>
              <w:tab w:val="clear" w:pos="8176"/>
              <w:tab w:val="right" w:pos="9026" w:leader="dot"/>
            </w:tabs>
            <w:rPr/>
          </w:pPr>
          <w:hyperlink w:anchor="__RefHeading___Toc7812558_3381743652">
            <w:r>
              <w:rPr>
                <w:webHidden/>
                <w:rStyle w:val="IndexLink"/>
              </w:rPr>
              <w:t>۲</w:t>
            </w:r>
            <w:r>
              <w:rPr>
                <w:rStyle w:val="IndexLink"/>
                <w:rtl w:val="true"/>
              </w:rPr>
              <w:t xml:space="preserve">. </w:t>
            </w:r>
            <w:r>
              <w:rPr>
                <w:rStyle w:val="IndexLink"/>
                <w:rtl w:val="true"/>
              </w:rPr>
              <w:t>ضرورت</w:t>
            </w:r>
            <w:r>
              <w:rPr>
                <w:rStyle w:val="IndexLink"/>
                <w:rtl w:val="true"/>
              </w:rPr>
              <w:tab/>
            </w:r>
            <w:r>
              <w:rPr>
                <w:rStyle w:val="IndexLink"/>
              </w:rPr>
              <w:t>218</w:t>
            </w:r>
          </w:hyperlink>
        </w:p>
        <w:p>
          <w:pPr>
            <w:pStyle w:val="Contents4"/>
            <w:tabs>
              <w:tab w:val="clear" w:pos="8176"/>
              <w:tab w:val="right" w:pos="9026" w:leader="dot"/>
            </w:tabs>
            <w:rPr/>
          </w:pPr>
          <w:hyperlink w:anchor="__RefHeading___Toc7812560_3381743652">
            <w:r>
              <w:rPr>
                <w:webHidden/>
                <w:rStyle w:val="IndexLink"/>
              </w:rPr>
              <w:t>3</w:t>
            </w:r>
            <w:r>
              <w:rPr>
                <w:rStyle w:val="IndexLink"/>
                <w:rtl w:val="true"/>
              </w:rPr>
              <w:t xml:space="preserve">. </w:t>
            </w:r>
            <w:r>
              <w:rPr>
                <w:rStyle w:val="IndexLink"/>
                <w:rtl w:val="true"/>
              </w:rPr>
              <w:t>رجعت در قرآن</w:t>
            </w:r>
            <w:r>
              <w:rPr>
                <w:rStyle w:val="IndexLink"/>
                <w:rtl w:val="true"/>
              </w:rPr>
              <w:tab/>
            </w:r>
            <w:r>
              <w:rPr>
                <w:rStyle w:val="IndexLink"/>
              </w:rPr>
              <w:t>219</w:t>
            </w:r>
          </w:hyperlink>
        </w:p>
        <w:p>
          <w:pPr>
            <w:pStyle w:val="Contents5"/>
            <w:tabs>
              <w:tab w:val="clear" w:pos="7892"/>
              <w:tab w:val="right" w:pos="9026" w:leader="dot"/>
            </w:tabs>
            <w:rPr/>
          </w:pPr>
          <w:hyperlink w:anchor="__RefHeading___Toc7812562_3381743652">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7812564_3381743652">
            <w:r>
              <w:rPr>
                <w:webHidden/>
                <w:rStyle w:val="IndexLink"/>
                <w:rtl w:val="true"/>
              </w:rPr>
              <w:t>وقوع رجعت در امتهای گذشته</w:t>
            </w:r>
            <w:r>
              <w:rPr>
                <w:rStyle w:val="IndexLink"/>
                <w:rtl w:val="true"/>
              </w:rPr>
              <w:tab/>
            </w:r>
            <w:r>
              <w:rPr>
                <w:rStyle w:val="IndexLink"/>
              </w:rPr>
              <w:t>219</w:t>
            </w:r>
          </w:hyperlink>
        </w:p>
        <w:p>
          <w:pPr>
            <w:pStyle w:val="Contents5"/>
            <w:tabs>
              <w:tab w:val="clear" w:pos="7892"/>
              <w:tab w:val="right" w:pos="9026" w:leader="dot"/>
            </w:tabs>
            <w:rPr/>
          </w:pPr>
          <w:hyperlink w:anchor="__RefHeading___Toc7812566_3381743652">
            <w:r>
              <w:rPr>
                <w:webHidden/>
                <w:rStyle w:val="IndexLink"/>
                <w:rtl w:val="true"/>
              </w:rPr>
              <w:t>شیخ طوسی و استدلال به آیات</w:t>
            </w:r>
            <w:r>
              <w:rPr>
                <w:rStyle w:val="IndexLink"/>
                <w:rtl w:val="true"/>
              </w:rPr>
              <w:tab/>
            </w:r>
            <w:r>
              <w:rPr>
                <w:rStyle w:val="IndexLink"/>
              </w:rPr>
              <w:t>221</w:t>
            </w:r>
          </w:hyperlink>
        </w:p>
        <w:p>
          <w:pPr>
            <w:pStyle w:val="Contents5"/>
            <w:tabs>
              <w:tab w:val="clear" w:pos="7892"/>
              <w:tab w:val="right" w:pos="9026" w:leader="dot"/>
            </w:tabs>
            <w:rPr/>
          </w:pPr>
          <w:hyperlink w:anchor="__RefHeading___Toc7812568_3381743652">
            <w:r>
              <w:rPr>
                <w:webHidden/>
                <w:rStyle w:val="IndexLink"/>
                <w:rtl w:val="true"/>
              </w:rPr>
              <w:t>وقوع رجعت در آینده</w:t>
            </w:r>
            <w:r>
              <w:rPr>
                <w:rStyle w:val="IndexLink"/>
                <w:rtl w:val="true"/>
              </w:rPr>
              <w:tab/>
            </w:r>
            <w:r>
              <w:rPr>
                <w:rStyle w:val="IndexLink"/>
              </w:rPr>
              <w:t>222</w:t>
            </w:r>
          </w:hyperlink>
        </w:p>
        <w:p>
          <w:pPr>
            <w:pStyle w:val="Contents5"/>
            <w:tabs>
              <w:tab w:val="clear" w:pos="7892"/>
              <w:tab w:val="right" w:pos="9026" w:leader="dot"/>
            </w:tabs>
            <w:rPr/>
          </w:pPr>
          <w:hyperlink w:anchor="__RefHeading___Toc7812570_3381743652">
            <w:r>
              <w:rPr>
                <w:webHidden/>
                <w:rStyle w:val="IndexLink"/>
                <w:rtl w:val="true"/>
              </w:rPr>
              <w:t>استدلال دانشمندان شیعه به آیه فوق</w:t>
            </w:r>
            <w:r>
              <w:rPr>
                <w:rStyle w:val="IndexLink"/>
                <w:rtl w:val="true"/>
              </w:rPr>
              <w:tab/>
            </w:r>
            <w:r>
              <w:rPr>
                <w:rStyle w:val="IndexLink"/>
              </w:rPr>
              <w:t>223</w:t>
            </w:r>
          </w:hyperlink>
        </w:p>
        <w:p>
          <w:pPr>
            <w:pStyle w:val="Contents5"/>
            <w:tabs>
              <w:tab w:val="clear" w:pos="7892"/>
              <w:tab w:val="right" w:pos="9026" w:leader="dot"/>
            </w:tabs>
            <w:rPr/>
          </w:pPr>
          <w:hyperlink w:anchor="__RefHeading___Toc7812572_3381743652">
            <w:r>
              <w:rPr>
                <w:webHidden/>
                <w:rStyle w:val="IndexLink"/>
                <w:rtl w:val="true"/>
              </w:rPr>
              <w:t>تحلیل و بررسی</w:t>
            </w:r>
            <w:r>
              <w:rPr>
                <w:rStyle w:val="IndexLink"/>
                <w:rtl w:val="true"/>
              </w:rPr>
              <w:tab/>
            </w:r>
            <w:r>
              <w:rPr>
                <w:rStyle w:val="IndexLink"/>
              </w:rPr>
              <w:t>225</w:t>
            </w:r>
          </w:hyperlink>
        </w:p>
        <w:p>
          <w:pPr>
            <w:pStyle w:val="Contents4"/>
            <w:tabs>
              <w:tab w:val="clear" w:pos="8176"/>
              <w:tab w:val="right" w:pos="9026" w:leader="dot"/>
            </w:tabs>
            <w:rPr/>
          </w:pPr>
          <w:hyperlink w:anchor="__RefHeading___Toc7812574_3381743652">
            <w:r>
              <w:rPr>
                <w:webHidden/>
                <w:rStyle w:val="IndexLink"/>
              </w:rPr>
              <w:t>۴</w:t>
            </w:r>
            <w:r>
              <w:rPr>
                <w:rStyle w:val="IndexLink"/>
                <w:rtl w:val="true"/>
              </w:rPr>
              <w:t xml:space="preserve">. </w:t>
            </w:r>
            <w:r>
              <w:rPr>
                <w:rStyle w:val="IndexLink"/>
                <w:rtl w:val="true"/>
              </w:rPr>
              <w:t>رجعت در روایات</w:t>
            </w:r>
            <w:r>
              <w:rPr>
                <w:rStyle w:val="IndexLink"/>
                <w:rtl w:val="true"/>
              </w:rPr>
              <w:tab/>
            </w:r>
            <w:r>
              <w:rPr>
                <w:rStyle w:val="IndexLink"/>
              </w:rPr>
              <w:t>226</w:t>
            </w:r>
          </w:hyperlink>
        </w:p>
        <w:p>
          <w:pPr>
            <w:pStyle w:val="Contents4"/>
            <w:tabs>
              <w:tab w:val="clear" w:pos="8176"/>
              <w:tab w:val="right" w:pos="9026" w:leader="dot"/>
            </w:tabs>
            <w:rPr/>
          </w:pPr>
          <w:hyperlink w:anchor="__RefHeading___Toc7812576_3381743652">
            <w:r>
              <w:rPr>
                <w:webHidden/>
                <w:rStyle w:val="IndexLink"/>
                <w:rtl w:val="true"/>
              </w:rPr>
              <w:t>اخبار رجعت از منظر شیخ طوسی</w:t>
            </w:r>
            <w:r>
              <w:rPr>
                <w:rStyle w:val="IndexLink"/>
                <w:rtl w:val="true"/>
              </w:rPr>
              <w:tab/>
            </w:r>
            <w:r>
              <w:rPr>
                <w:rStyle w:val="IndexLink"/>
              </w:rPr>
              <w:t>227</w:t>
            </w:r>
          </w:hyperlink>
        </w:p>
        <w:p>
          <w:pPr>
            <w:pStyle w:val="Contents3"/>
            <w:tabs>
              <w:tab w:val="clear" w:pos="8459"/>
              <w:tab w:val="right" w:pos="9026" w:leader="dot"/>
            </w:tabs>
            <w:rPr/>
          </w:pPr>
          <w:hyperlink w:anchor="__RefHeading___Toc7812578_3381743652">
            <w:r>
              <w:rPr>
                <w:webHidden/>
                <w:rStyle w:val="IndexLink"/>
                <w:rtl w:val="true"/>
              </w:rPr>
              <w:t>رجعت؛ اختصاصی یا عمومی؟</w:t>
            </w:r>
            <w:r>
              <w:rPr>
                <w:rStyle w:val="IndexLink"/>
                <w:rtl w:val="true"/>
              </w:rPr>
              <w:tab/>
            </w:r>
            <w:r>
              <w:rPr>
                <w:rStyle w:val="IndexLink"/>
              </w:rPr>
              <w:t>228</w:t>
            </w:r>
          </w:hyperlink>
        </w:p>
        <w:p>
          <w:pPr>
            <w:pStyle w:val="Contents4"/>
            <w:tabs>
              <w:tab w:val="clear" w:pos="8176"/>
              <w:tab w:val="right" w:pos="9026" w:leader="dot"/>
            </w:tabs>
            <w:rPr/>
          </w:pPr>
          <w:hyperlink w:anchor="__RefHeading___Toc7812580_3381743652">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7812582_3381743652">
            <w:r>
              <w:rPr>
                <w:webHidden/>
                <w:rStyle w:val="IndexLink"/>
                <w:rtl w:val="true"/>
              </w:rPr>
              <w:t>چه کسانی رجعت می کنند؟</w:t>
            </w:r>
            <w:r>
              <w:rPr>
                <w:rStyle w:val="IndexLink"/>
                <w:rtl w:val="true"/>
              </w:rPr>
              <w:tab/>
            </w:r>
            <w:r>
              <w:rPr>
                <w:rStyle w:val="IndexLink"/>
              </w:rPr>
              <w:t>229</w:t>
            </w:r>
          </w:hyperlink>
        </w:p>
        <w:p>
          <w:pPr>
            <w:pStyle w:val="Contents5"/>
            <w:tabs>
              <w:tab w:val="clear" w:pos="7892"/>
              <w:tab w:val="right" w:pos="9026" w:leader="dot"/>
            </w:tabs>
            <w:rPr/>
          </w:pPr>
          <w:hyperlink w:anchor="__RefHeading___Toc7812584_3381743652">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7812586_3381743652">
            <w:r>
              <w:rPr>
                <w:webHidden/>
                <w:rStyle w:val="IndexLink"/>
              </w:rPr>
              <w:t>1</w:t>
            </w:r>
            <w:r>
              <w:rPr>
                <w:rStyle w:val="IndexLink"/>
                <w:rtl w:val="true"/>
              </w:rPr>
              <w:t xml:space="preserve">. </w:t>
            </w:r>
            <w:r>
              <w:rPr>
                <w:rStyle w:val="IndexLink"/>
                <w:rtl w:val="true"/>
              </w:rPr>
              <w:t>شهدای کربلا</w:t>
            </w:r>
            <w:r>
              <w:rPr>
                <w:rStyle w:val="IndexLink"/>
                <w:rtl w:val="true"/>
              </w:rPr>
              <w:tab/>
            </w:r>
            <w:r>
              <w:rPr>
                <w:rStyle w:val="IndexLink"/>
              </w:rPr>
              <w:t>230</w:t>
            </w:r>
          </w:hyperlink>
        </w:p>
        <w:p>
          <w:pPr>
            <w:pStyle w:val="Contents5"/>
            <w:tabs>
              <w:tab w:val="clear" w:pos="7892"/>
              <w:tab w:val="right" w:pos="9026" w:leader="dot"/>
            </w:tabs>
            <w:rPr/>
          </w:pPr>
          <w:hyperlink w:anchor="__RefHeading___Toc7812588_3381743652">
            <w:r>
              <w:rPr>
                <w:webHidden/>
                <w:rStyle w:val="IndexLink"/>
              </w:rPr>
              <w:t>۲</w:t>
            </w:r>
            <w:r>
              <w:rPr>
                <w:rStyle w:val="IndexLink"/>
                <w:rtl w:val="true"/>
              </w:rPr>
              <w:t xml:space="preserve">. </w:t>
            </w:r>
            <w:r>
              <w:rPr>
                <w:rStyle w:val="IndexLink"/>
                <w:rtl w:val="true"/>
              </w:rPr>
              <w:t>همه پیامبران</w:t>
            </w:r>
            <w:r>
              <w:rPr>
                <w:rStyle w:val="IndexLink"/>
                <w:rtl w:val="true"/>
              </w:rPr>
              <w:tab/>
            </w:r>
            <w:r>
              <w:rPr>
                <w:rStyle w:val="IndexLink"/>
              </w:rPr>
              <w:t>230</w:t>
            </w:r>
          </w:hyperlink>
        </w:p>
        <w:p>
          <w:pPr>
            <w:pStyle w:val="Contents5"/>
            <w:tabs>
              <w:tab w:val="clear" w:pos="7892"/>
              <w:tab w:val="right" w:pos="9026" w:leader="dot"/>
            </w:tabs>
            <w:rPr/>
          </w:pPr>
          <w:hyperlink w:anchor="__RefHeading___Toc7812590_3381743652">
            <w:r>
              <w:rPr>
                <w:webHidden/>
                <w:rStyle w:val="IndexLink"/>
              </w:rPr>
              <w:t>٣</w:t>
            </w:r>
            <w:r>
              <w:rPr>
                <w:rStyle w:val="IndexLink"/>
                <w:rtl w:val="true"/>
              </w:rPr>
              <w:t xml:space="preserve">. </w:t>
            </w:r>
            <w:r>
              <w:rPr>
                <w:rStyle w:val="IndexLink"/>
                <w:rtl w:val="true"/>
              </w:rPr>
              <w:t>پیامبر اسلام و ائمه اطهار</w:t>
            </w:r>
            <w:r>
              <w:rPr>
                <w:rStyle w:val="IndexLink"/>
                <w:rtl w:val="true"/>
              </w:rPr>
              <w:t>(</w:t>
            </w:r>
            <w:r>
              <w:rPr>
                <w:rStyle w:val="IndexLink"/>
                <w:rtl w:val="true"/>
              </w:rPr>
              <w:t>علیهم السلام</w:t>
            </w:r>
            <w:r>
              <w:rPr>
                <w:rStyle w:val="IndexLink"/>
                <w:rtl w:val="true"/>
              </w:rPr>
              <w:t>)</w:t>
              <w:tab/>
            </w:r>
            <w:r>
              <w:rPr>
                <w:rStyle w:val="IndexLink"/>
              </w:rPr>
              <w:t>231</w:t>
            </w:r>
          </w:hyperlink>
        </w:p>
        <w:p>
          <w:pPr>
            <w:pStyle w:val="Contents5"/>
            <w:tabs>
              <w:tab w:val="clear" w:pos="7892"/>
              <w:tab w:val="right" w:pos="9026" w:leader="dot"/>
            </w:tabs>
            <w:rPr/>
          </w:pPr>
          <w:hyperlink w:anchor="__RefHeading___Toc7812592_3381743652">
            <w:r>
              <w:rPr>
                <w:webHidden/>
                <w:rStyle w:val="IndexLink"/>
              </w:rPr>
              <w:t>۴</w:t>
            </w:r>
            <w:r>
              <w:rPr>
                <w:rStyle w:val="IndexLink"/>
                <w:rtl w:val="true"/>
              </w:rPr>
              <w:t xml:space="preserve">. </w:t>
            </w:r>
            <w:r>
              <w:rPr>
                <w:rStyle w:val="IndexLink"/>
                <w:rtl w:val="true"/>
              </w:rPr>
              <w:t>اصحاب پیامبران</w:t>
            </w:r>
            <w:r>
              <w:rPr>
                <w:rStyle w:val="IndexLink"/>
                <w:rtl w:val="true"/>
              </w:rPr>
              <w:tab/>
            </w:r>
            <w:r>
              <w:rPr>
                <w:rStyle w:val="IndexLink"/>
              </w:rPr>
              <w:t>231</w:t>
            </w:r>
          </w:hyperlink>
        </w:p>
        <w:p>
          <w:pPr>
            <w:pStyle w:val="Contents5"/>
            <w:tabs>
              <w:tab w:val="clear" w:pos="7892"/>
              <w:tab w:val="right" w:pos="9026" w:leader="dot"/>
            </w:tabs>
            <w:rPr/>
          </w:pPr>
          <w:hyperlink w:anchor="__RefHeading___Toc7812594_3381743652">
            <w:r>
              <w:rPr>
                <w:webHidden/>
                <w:rStyle w:val="IndexLink"/>
              </w:rPr>
              <w:t>۵</w:t>
            </w:r>
            <w:r>
              <w:rPr>
                <w:rStyle w:val="IndexLink"/>
                <w:rtl w:val="true"/>
              </w:rPr>
              <w:t xml:space="preserve">. </w:t>
            </w:r>
            <w:r>
              <w:rPr>
                <w:rStyle w:val="IndexLink"/>
                <w:rtl w:val="true"/>
              </w:rPr>
              <w:t>دشمنان اهل بیت</w:t>
            </w:r>
            <w:r>
              <w:rPr>
                <w:rStyle w:val="IndexLink"/>
                <w:rtl w:val="true"/>
              </w:rPr>
              <w:tab/>
            </w:r>
            <w:r>
              <w:rPr>
                <w:rStyle w:val="IndexLink"/>
              </w:rPr>
              <w:t>231</w:t>
            </w:r>
          </w:hyperlink>
        </w:p>
        <w:p>
          <w:pPr>
            <w:pStyle w:val="Contents3"/>
            <w:tabs>
              <w:tab w:val="clear" w:pos="8459"/>
              <w:tab w:val="right" w:pos="9026" w:leader="dot"/>
            </w:tabs>
            <w:rPr/>
          </w:pPr>
          <w:hyperlink w:anchor="__RefHeading___Toc7812596_3381743652">
            <w:r>
              <w:rPr>
                <w:webHidden/>
                <w:rStyle w:val="IndexLink"/>
                <w:rtl w:val="true"/>
              </w:rPr>
              <w:t>فلسفه و اهداف رجعت</w:t>
            </w:r>
            <w:r>
              <w:rPr>
                <w:rStyle w:val="IndexLink"/>
                <w:rtl w:val="true"/>
              </w:rPr>
              <w:tab/>
            </w:r>
            <w:r>
              <w:rPr>
                <w:rStyle w:val="IndexLink"/>
              </w:rPr>
              <w:t>232</w:t>
            </w:r>
          </w:hyperlink>
        </w:p>
        <w:p>
          <w:pPr>
            <w:pStyle w:val="Contents4"/>
            <w:tabs>
              <w:tab w:val="clear" w:pos="8176"/>
              <w:tab w:val="right" w:pos="9026" w:leader="dot"/>
            </w:tabs>
            <w:rPr/>
          </w:pPr>
          <w:hyperlink w:anchor="__RefHeading___Toc7812598_3381743652">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7812600_3381743652">
            <w:r>
              <w:rPr>
                <w:webHidden/>
                <w:rStyle w:val="IndexLink"/>
              </w:rPr>
              <w:t>1</w:t>
            </w:r>
            <w:r>
              <w:rPr>
                <w:rStyle w:val="IndexLink"/>
                <w:rtl w:val="true"/>
              </w:rPr>
              <w:t xml:space="preserve">. </w:t>
            </w:r>
            <w:r>
              <w:rPr>
                <w:rStyle w:val="IndexLink"/>
                <w:rtl w:val="true"/>
              </w:rPr>
              <w:t>تشکیل حکومت واحد جهانی بر پایه عدل</w:t>
            </w:r>
            <w:r>
              <w:rPr>
                <w:rStyle w:val="IndexLink"/>
                <w:rtl w:val="true"/>
              </w:rPr>
              <w:tab/>
            </w:r>
            <w:r>
              <w:rPr>
                <w:rStyle w:val="IndexLink"/>
              </w:rPr>
              <w:t>232</w:t>
            </w:r>
          </w:hyperlink>
        </w:p>
        <w:p>
          <w:pPr>
            <w:pStyle w:val="Contents4"/>
            <w:tabs>
              <w:tab w:val="clear" w:pos="8176"/>
              <w:tab w:val="right" w:pos="9026" w:leader="dot"/>
            </w:tabs>
            <w:rPr/>
          </w:pPr>
          <w:hyperlink w:anchor="__RefHeading___Toc7812602_3381743652">
            <w:r>
              <w:rPr>
                <w:webHidden/>
                <w:rStyle w:val="IndexLink"/>
              </w:rPr>
              <w:t>۲</w:t>
            </w:r>
            <w:r>
              <w:rPr>
                <w:rStyle w:val="IndexLink"/>
                <w:rtl w:val="true"/>
              </w:rPr>
              <w:t xml:space="preserve">. </w:t>
            </w:r>
            <w:r>
              <w:rPr>
                <w:rStyle w:val="IndexLink"/>
                <w:rtl w:val="true"/>
              </w:rPr>
              <w:t>خالی نماندن زمین از حجت</w:t>
            </w:r>
            <w:r>
              <w:rPr>
                <w:rStyle w:val="IndexLink"/>
                <w:rtl w:val="true"/>
              </w:rPr>
              <w:tab/>
            </w:r>
            <w:r>
              <w:rPr>
                <w:rStyle w:val="IndexLink"/>
              </w:rPr>
              <w:t>233</w:t>
            </w:r>
          </w:hyperlink>
        </w:p>
        <w:p>
          <w:pPr>
            <w:pStyle w:val="Contents4"/>
            <w:tabs>
              <w:tab w:val="clear" w:pos="8176"/>
              <w:tab w:val="right" w:pos="9026" w:leader="dot"/>
            </w:tabs>
            <w:rPr/>
          </w:pPr>
          <w:hyperlink w:anchor="__RefHeading___Toc7812604_3381743652">
            <w:r>
              <w:rPr>
                <w:webHidden/>
                <w:rStyle w:val="IndexLink"/>
              </w:rPr>
              <w:t>٣</w:t>
            </w:r>
            <w:r>
              <w:rPr>
                <w:rStyle w:val="IndexLink"/>
                <w:rtl w:val="true"/>
              </w:rPr>
              <w:t xml:space="preserve">. </w:t>
            </w:r>
            <w:r>
              <w:rPr>
                <w:rStyle w:val="IndexLink"/>
                <w:rtl w:val="true"/>
              </w:rPr>
              <w:t>انتقام از ستمگران</w:t>
            </w:r>
            <w:r>
              <w:rPr>
                <w:rStyle w:val="IndexLink"/>
                <w:rtl w:val="true"/>
              </w:rPr>
              <w:tab/>
            </w:r>
            <w:r>
              <w:rPr>
                <w:rStyle w:val="IndexLink"/>
              </w:rPr>
              <w:t>233</w:t>
            </w:r>
          </w:hyperlink>
        </w:p>
        <w:p>
          <w:pPr>
            <w:pStyle w:val="Contents3"/>
            <w:tabs>
              <w:tab w:val="clear" w:pos="8459"/>
              <w:tab w:val="right" w:pos="9026" w:leader="dot"/>
            </w:tabs>
            <w:rPr/>
          </w:pPr>
          <w:hyperlink w:anchor="__RefHeading___Toc7812606_3381743652">
            <w:r>
              <w:rPr>
                <w:webHidden/>
                <w:rStyle w:val="IndexLink"/>
                <w:rtl w:val="true"/>
              </w:rPr>
              <w:t>پاسخ به شبهات</w:t>
            </w:r>
            <w:r>
              <w:rPr>
                <w:rStyle w:val="IndexLink"/>
                <w:rtl w:val="true"/>
              </w:rPr>
              <w:tab/>
            </w:r>
            <w:r>
              <w:rPr>
                <w:rStyle w:val="IndexLink"/>
              </w:rPr>
              <w:t>234</w:t>
            </w:r>
          </w:hyperlink>
        </w:p>
        <w:p>
          <w:pPr>
            <w:pStyle w:val="Contents4"/>
            <w:tabs>
              <w:tab w:val="clear" w:pos="8176"/>
              <w:tab w:val="right" w:pos="9026" w:leader="dot"/>
            </w:tabs>
            <w:rPr/>
          </w:pPr>
          <w:hyperlink w:anchor="__RefHeading___Toc7812608_3381743652">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7812610_3381743652">
            <w:r>
              <w:rPr>
                <w:webHidden/>
                <w:rStyle w:val="IndexLink"/>
              </w:rPr>
              <w:t>1</w:t>
            </w:r>
            <w:r>
              <w:rPr>
                <w:rStyle w:val="IndexLink"/>
                <w:rtl w:val="true"/>
              </w:rPr>
              <w:t xml:space="preserve">. </w:t>
            </w:r>
            <w:r>
              <w:rPr>
                <w:rStyle w:val="IndexLink"/>
                <w:rtl w:val="true"/>
              </w:rPr>
              <w:t>شبهه تناسخ انگاری رجعت</w:t>
            </w:r>
            <w:r>
              <w:rPr>
                <w:rStyle w:val="IndexLink"/>
                <w:rtl w:val="true"/>
              </w:rPr>
              <w:tab/>
            </w:r>
            <w:r>
              <w:rPr>
                <w:rStyle w:val="IndexLink"/>
              </w:rPr>
              <w:t>234</w:t>
            </w:r>
          </w:hyperlink>
        </w:p>
        <w:p>
          <w:pPr>
            <w:pStyle w:val="Contents4"/>
            <w:tabs>
              <w:tab w:val="clear" w:pos="8176"/>
              <w:tab w:val="right" w:pos="9026" w:leader="dot"/>
            </w:tabs>
            <w:rPr/>
          </w:pPr>
          <w:hyperlink w:anchor="__RefHeading___Toc7812612_3381743652">
            <w:r>
              <w:rPr>
                <w:webHidden/>
                <w:rStyle w:val="IndexLink"/>
              </w:rPr>
              <w:t>۲</w:t>
            </w:r>
            <w:r>
              <w:rPr>
                <w:rStyle w:val="IndexLink"/>
                <w:rtl w:val="true"/>
              </w:rPr>
              <w:t xml:space="preserve">. </w:t>
            </w:r>
            <w:r>
              <w:rPr>
                <w:rStyle w:val="IndexLink"/>
                <w:rtl w:val="true"/>
              </w:rPr>
              <w:t>شبهه ناسازگاری رجعت با آیات قرآنی و پاسخ آن</w:t>
            </w:r>
            <w:r>
              <w:rPr>
                <w:rStyle w:val="IndexLink"/>
                <w:rtl w:val="true"/>
              </w:rPr>
              <w:tab/>
            </w:r>
            <w:r>
              <w:rPr>
                <w:rStyle w:val="IndexLink"/>
              </w:rPr>
              <w:t>235</w:t>
            </w:r>
          </w:hyperlink>
        </w:p>
        <w:p>
          <w:pPr>
            <w:pStyle w:val="Contents4"/>
            <w:tabs>
              <w:tab w:val="clear" w:pos="8176"/>
              <w:tab w:val="right" w:pos="9026" w:leader="dot"/>
            </w:tabs>
            <w:rPr/>
          </w:pPr>
          <w:hyperlink w:anchor="__RefHeading___Toc7812614_3381743652">
            <w:r>
              <w:rPr>
                <w:webHidden/>
                <w:rStyle w:val="IndexLink"/>
              </w:rPr>
              <w:t>٣</w:t>
            </w:r>
            <w:r>
              <w:rPr>
                <w:rStyle w:val="IndexLink"/>
                <w:rtl w:val="true"/>
              </w:rPr>
              <w:t xml:space="preserve">. </w:t>
            </w:r>
            <w:r>
              <w:rPr>
                <w:rStyle w:val="IndexLink"/>
                <w:rtl w:val="true"/>
              </w:rPr>
              <w:t>آیا رجعت مستلزم خروج از فعلیت به قوه است؟</w:t>
            </w:r>
            <w:r>
              <w:rPr>
                <w:rStyle w:val="IndexLink"/>
                <w:rtl w:val="true"/>
              </w:rPr>
              <w:tab/>
            </w:r>
            <w:r>
              <w:rPr>
                <w:rStyle w:val="IndexLink"/>
              </w:rPr>
              <w:t>236</w:t>
            </w:r>
          </w:hyperlink>
        </w:p>
        <w:p>
          <w:pPr>
            <w:pStyle w:val="Contents4"/>
            <w:tabs>
              <w:tab w:val="clear" w:pos="8176"/>
              <w:tab w:val="right" w:pos="9026" w:leader="dot"/>
            </w:tabs>
            <w:rPr/>
          </w:pPr>
          <w:hyperlink w:anchor="__RefHeading___Toc7812616_3381743652">
            <w:r>
              <w:rPr>
                <w:webHidden/>
                <w:rStyle w:val="IndexLink"/>
              </w:rPr>
              <w:t>۴</w:t>
            </w:r>
            <w:r>
              <w:rPr>
                <w:rStyle w:val="IndexLink"/>
                <w:rtl w:val="true"/>
              </w:rPr>
              <w:t xml:space="preserve">. </w:t>
            </w:r>
            <w:r>
              <w:rPr>
                <w:rStyle w:val="IndexLink"/>
                <w:rtl w:val="true"/>
              </w:rPr>
              <w:t>آیا رجعت مستلزم تشویق به گناه است؟</w:t>
            </w:r>
            <w:r>
              <w:rPr>
                <w:rStyle w:val="IndexLink"/>
                <w:rtl w:val="true"/>
              </w:rPr>
              <w:tab/>
            </w:r>
            <w:r>
              <w:rPr>
                <w:rStyle w:val="IndexLink"/>
              </w:rPr>
              <w:t>237</w:t>
            </w:r>
          </w:hyperlink>
        </w:p>
        <w:p>
          <w:pPr>
            <w:pStyle w:val="Contents3"/>
            <w:tabs>
              <w:tab w:val="clear" w:pos="8459"/>
              <w:tab w:val="right" w:pos="9026" w:leader="dot"/>
            </w:tabs>
            <w:rPr/>
          </w:pPr>
          <w:hyperlink w:anchor="__RefHeading___Toc7812618_3381743652">
            <w:r>
              <w:rPr>
                <w:webHidden/>
                <w:rStyle w:val="IndexLink"/>
                <w:rtl w:val="true"/>
              </w:rPr>
              <w:t>چکیده</w:t>
            </w:r>
            <w:r>
              <w:rPr>
                <w:rStyle w:val="IndexLink"/>
                <w:rtl w:val="true"/>
              </w:rPr>
              <w:tab/>
            </w:r>
            <w:r>
              <w:rPr>
                <w:rStyle w:val="IndexLink"/>
              </w:rPr>
              <w:t>237</w:t>
            </w:r>
          </w:hyperlink>
        </w:p>
        <w:p>
          <w:pPr>
            <w:pStyle w:val="Contents2"/>
            <w:tabs>
              <w:tab w:val="clear" w:pos="8743"/>
              <w:tab w:val="right" w:pos="9026" w:leader="dot"/>
            </w:tabs>
            <w:rPr/>
          </w:pPr>
          <w:hyperlink w:anchor="__RefHeading___Toc7812620_3381743652">
            <w:r>
              <w:rPr>
                <w:webHidden/>
                <w:rStyle w:val="IndexLink"/>
                <w:rtl w:val="true"/>
              </w:rPr>
              <w:t>تناسخ</w:t>
            </w:r>
            <w:r>
              <w:rPr>
                <w:rStyle w:val="IndexLink"/>
                <w:rtl w:val="true"/>
              </w:rPr>
              <w:tab/>
            </w:r>
            <w:r>
              <w:rPr>
                <w:rStyle w:val="IndexLink"/>
              </w:rPr>
              <w:t>239</w:t>
            </w:r>
          </w:hyperlink>
        </w:p>
        <w:p>
          <w:pPr>
            <w:pStyle w:val="Contents3"/>
            <w:tabs>
              <w:tab w:val="clear" w:pos="8459"/>
              <w:tab w:val="right" w:pos="9026" w:leader="dot"/>
            </w:tabs>
            <w:rPr/>
          </w:pPr>
          <w:hyperlink w:anchor="__RefHeading___Toc7812622_3381743652">
            <w:r>
              <w:rPr>
                <w:webHidden/>
                <w:rStyle w:val="IndexLink"/>
                <w:rtl w:val="true"/>
              </w:rPr>
              <w:t>مقدمه</w:t>
            </w:r>
            <w:r>
              <w:rPr>
                <w:rStyle w:val="IndexLink"/>
                <w:rtl w:val="true"/>
              </w:rPr>
              <w:tab/>
            </w:r>
            <w:r>
              <w:rPr>
                <w:rStyle w:val="IndexLink"/>
              </w:rPr>
              <w:t>239</w:t>
            </w:r>
          </w:hyperlink>
        </w:p>
        <w:p>
          <w:pPr>
            <w:pStyle w:val="Contents3"/>
            <w:tabs>
              <w:tab w:val="clear" w:pos="8459"/>
              <w:tab w:val="right" w:pos="9026" w:leader="dot"/>
            </w:tabs>
            <w:rPr/>
          </w:pPr>
          <w:hyperlink w:anchor="__RefHeading___Toc7812624_3381743652">
            <w:r>
              <w:rPr>
                <w:webHidden/>
                <w:rStyle w:val="IndexLink"/>
                <w:rtl w:val="true"/>
              </w:rPr>
              <w:t>واژه شناسی تناسخ</w:t>
            </w:r>
            <w:r>
              <w:rPr>
                <w:rStyle w:val="IndexLink"/>
                <w:rtl w:val="true"/>
              </w:rPr>
              <w:tab/>
            </w:r>
            <w:r>
              <w:rPr>
                <w:rStyle w:val="IndexLink"/>
              </w:rPr>
              <w:t>240</w:t>
            </w:r>
          </w:hyperlink>
        </w:p>
        <w:p>
          <w:pPr>
            <w:pStyle w:val="Contents4"/>
            <w:tabs>
              <w:tab w:val="clear" w:pos="8176"/>
              <w:tab w:val="right" w:pos="9026" w:leader="dot"/>
            </w:tabs>
            <w:rPr/>
          </w:pPr>
          <w:hyperlink w:anchor="__RefHeading___Toc7812626_3381743652">
            <w:r>
              <w:rPr>
                <w:webHidden/>
                <w:rStyle w:val="IndexLink"/>
                <w:rtl w:val="true"/>
              </w:rPr>
              <w:t>تناسخ در لغت</w:t>
            </w:r>
            <w:r>
              <w:rPr>
                <w:rStyle w:val="IndexLink"/>
                <w:rtl w:val="true"/>
              </w:rPr>
              <w:tab/>
            </w:r>
            <w:r>
              <w:rPr>
                <w:rStyle w:val="IndexLink"/>
              </w:rPr>
              <w:t>240</w:t>
            </w:r>
          </w:hyperlink>
        </w:p>
        <w:p>
          <w:pPr>
            <w:pStyle w:val="Contents4"/>
            <w:tabs>
              <w:tab w:val="clear" w:pos="8176"/>
              <w:tab w:val="right" w:pos="9026" w:leader="dot"/>
            </w:tabs>
            <w:rPr/>
          </w:pPr>
          <w:hyperlink w:anchor="__RefHeading___Toc7812628_3381743652">
            <w:r>
              <w:rPr>
                <w:webHidden/>
                <w:rStyle w:val="IndexLink"/>
                <w:rtl w:val="true"/>
              </w:rPr>
              <w:t>تناسخ در اصطلاح</w:t>
            </w:r>
            <w:r>
              <w:rPr>
                <w:rStyle w:val="IndexLink"/>
                <w:rtl w:val="true"/>
              </w:rPr>
              <w:tab/>
            </w:r>
            <w:r>
              <w:rPr>
                <w:rStyle w:val="IndexLink"/>
              </w:rPr>
              <w:t>240</w:t>
            </w:r>
          </w:hyperlink>
        </w:p>
        <w:p>
          <w:pPr>
            <w:pStyle w:val="Contents4"/>
            <w:tabs>
              <w:tab w:val="clear" w:pos="8176"/>
              <w:tab w:val="right" w:pos="9026" w:leader="dot"/>
            </w:tabs>
            <w:rPr/>
          </w:pPr>
          <w:hyperlink w:anchor="__RefHeading___Toc7812630_3381743652">
            <w:r>
              <w:rPr>
                <w:webHidden/>
                <w:rStyle w:val="IndexLink"/>
                <w:rtl w:val="true"/>
              </w:rPr>
              <w:t>تناسخ در قرآن</w:t>
            </w:r>
            <w:r>
              <w:rPr>
                <w:rStyle w:val="IndexLink"/>
                <w:rtl w:val="true"/>
              </w:rPr>
              <w:tab/>
            </w:r>
            <w:r>
              <w:rPr>
                <w:rStyle w:val="IndexLink"/>
              </w:rPr>
              <w:t>242</w:t>
            </w:r>
          </w:hyperlink>
        </w:p>
        <w:p>
          <w:pPr>
            <w:pStyle w:val="Contents4"/>
            <w:tabs>
              <w:tab w:val="clear" w:pos="8176"/>
              <w:tab w:val="right" w:pos="9026" w:leader="dot"/>
            </w:tabs>
            <w:rPr/>
          </w:pPr>
          <w:hyperlink w:anchor="__RefHeading___Toc7812632_3381743652">
            <w:r>
              <w:rPr>
                <w:webHidden/>
                <w:rStyle w:val="IndexLink"/>
                <w:rtl w:val="true"/>
              </w:rPr>
              <w:t>تناسخ در روایات</w:t>
            </w:r>
            <w:r>
              <w:rPr>
                <w:rStyle w:val="IndexLink"/>
                <w:rtl w:val="true"/>
              </w:rPr>
              <w:tab/>
            </w:r>
            <w:r>
              <w:rPr>
                <w:rStyle w:val="IndexLink"/>
              </w:rPr>
              <w:t>244</w:t>
            </w:r>
          </w:hyperlink>
        </w:p>
        <w:p>
          <w:pPr>
            <w:pStyle w:val="Contents3"/>
            <w:tabs>
              <w:tab w:val="clear" w:pos="8459"/>
              <w:tab w:val="right" w:pos="9026" w:leader="dot"/>
            </w:tabs>
            <w:rPr/>
          </w:pPr>
          <w:hyperlink w:anchor="__RefHeading___Toc7812634_3381743652">
            <w:r>
              <w:rPr>
                <w:webHidden/>
                <w:rStyle w:val="IndexLink"/>
                <w:rtl w:val="true"/>
              </w:rPr>
              <w:t>پیشینه تناسخ</w:t>
            </w:r>
            <w:r>
              <w:rPr>
                <w:rStyle w:val="IndexLink"/>
                <w:rtl w:val="true"/>
              </w:rPr>
              <w:tab/>
            </w:r>
            <w:r>
              <w:rPr>
                <w:rStyle w:val="IndexLink"/>
              </w:rPr>
              <w:t>245</w:t>
            </w:r>
          </w:hyperlink>
        </w:p>
        <w:p>
          <w:pPr>
            <w:pStyle w:val="Contents4"/>
            <w:tabs>
              <w:tab w:val="clear" w:pos="8176"/>
              <w:tab w:val="right" w:pos="9026" w:leader="dot"/>
            </w:tabs>
            <w:rPr/>
          </w:pPr>
          <w:hyperlink w:anchor="__RefHeading___Toc7812636_3381743652">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7812638_3381743652">
            <w:r>
              <w:rPr>
                <w:webHidden/>
                <w:rStyle w:val="IndexLink"/>
              </w:rPr>
              <w:t>1</w:t>
            </w:r>
            <w:r>
              <w:rPr>
                <w:rStyle w:val="IndexLink"/>
                <w:rtl w:val="true"/>
              </w:rPr>
              <w:t xml:space="preserve">. </w:t>
            </w:r>
            <w:r>
              <w:rPr>
                <w:rStyle w:val="IndexLink"/>
                <w:rtl w:val="true"/>
              </w:rPr>
              <w:t>تناسخ پیش از اسلام</w:t>
            </w:r>
            <w:r>
              <w:rPr>
                <w:rStyle w:val="IndexLink"/>
                <w:rtl w:val="true"/>
              </w:rPr>
              <w:tab/>
            </w:r>
            <w:r>
              <w:rPr>
                <w:rStyle w:val="IndexLink"/>
              </w:rPr>
              <w:t>245</w:t>
            </w:r>
          </w:hyperlink>
        </w:p>
        <w:p>
          <w:pPr>
            <w:pStyle w:val="Contents4"/>
            <w:tabs>
              <w:tab w:val="clear" w:pos="8176"/>
              <w:tab w:val="right" w:pos="9026" w:leader="dot"/>
            </w:tabs>
            <w:rPr/>
          </w:pPr>
          <w:hyperlink w:anchor="__RefHeading___Toc7812640_3381743652">
            <w:r>
              <w:rPr>
                <w:webHidden/>
                <w:rStyle w:val="IndexLink"/>
              </w:rPr>
              <w:t>۲</w:t>
            </w:r>
            <w:r>
              <w:rPr>
                <w:rStyle w:val="IndexLink"/>
                <w:rtl w:val="true"/>
              </w:rPr>
              <w:t xml:space="preserve">. </w:t>
            </w:r>
            <w:r>
              <w:rPr>
                <w:rStyle w:val="IndexLink"/>
                <w:rtl w:val="true"/>
              </w:rPr>
              <w:t>تناسخ پس از اسلام</w:t>
            </w:r>
            <w:r>
              <w:rPr>
                <w:rStyle w:val="IndexLink"/>
                <w:rtl w:val="true"/>
              </w:rPr>
              <w:tab/>
            </w:r>
            <w:r>
              <w:rPr>
                <w:rStyle w:val="IndexLink"/>
              </w:rPr>
              <w:t>246</w:t>
            </w:r>
          </w:hyperlink>
        </w:p>
        <w:p>
          <w:pPr>
            <w:pStyle w:val="Contents4"/>
            <w:tabs>
              <w:tab w:val="clear" w:pos="8176"/>
              <w:tab w:val="right" w:pos="9026" w:leader="dot"/>
            </w:tabs>
            <w:rPr/>
          </w:pPr>
          <w:hyperlink w:anchor="__RefHeading___Toc7812642_3381743652">
            <w:r>
              <w:rPr>
                <w:webHidden/>
                <w:rStyle w:val="IndexLink"/>
                <w:rtl w:val="true"/>
              </w:rPr>
              <w:t>تناسخ در اندیشه برخی از متفکران مسلمان</w:t>
            </w:r>
            <w:r>
              <w:rPr>
                <w:rStyle w:val="IndexLink"/>
                <w:rtl w:val="true"/>
              </w:rPr>
              <w:tab/>
            </w:r>
            <w:r>
              <w:rPr>
                <w:rStyle w:val="IndexLink"/>
              </w:rPr>
              <w:t>247</w:t>
            </w:r>
          </w:hyperlink>
        </w:p>
        <w:p>
          <w:pPr>
            <w:pStyle w:val="Contents3"/>
            <w:tabs>
              <w:tab w:val="clear" w:pos="8459"/>
              <w:tab w:val="right" w:pos="9026" w:leader="dot"/>
            </w:tabs>
            <w:rPr/>
          </w:pPr>
          <w:hyperlink w:anchor="__RefHeading___Toc7812644_3381743652">
            <w:r>
              <w:rPr>
                <w:webHidden/>
                <w:rStyle w:val="IndexLink"/>
                <w:rtl w:val="true"/>
              </w:rPr>
              <w:t>تقسیمات تناسخ و اقسام آن</w:t>
            </w:r>
            <w:r>
              <w:rPr>
                <w:rStyle w:val="IndexLink"/>
                <w:rtl w:val="true"/>
              </w:rPr>
              <w:tab/>
            </w:r>
            <w:r>
              <w:rPr>
                <w:rStyle w:val="IndexLink"/>
              </w:rPr>
              <w:t>249</w:t>
            </w:r>
          </w:hyperlink>
        </w:p>
        <w:p>
          <w:pPr>
            <w:pStyle w:val="Contents3"/>
            <w:tabs>
              <w:tab w:val="clear" w:pos="8459"/>
              <w:tab w:val="right" w:pos="9026" w:leader="dot"/>
            </w:tabs>
            <w:rPr/>
          </w:pPr>
          <w:hyperlink w:anchor="__RefHeading___Toc7812646_3381743652">
            <w:r>
              <w:rPr>
                <w:webHidden/>
                <w:rStyle w:val="IndexLink"/>
                <w:rtl w:val="true"/>
              </w:rPr>
              <w:t>تناسخ از دیدگاه شیخ طوسی</w:t>
            </w:r>
            <w:r>
              <w:rPr>
                <w:rStyle w:val="IndexLink"/>
                <w:rtl w:val="true"/>
              </w:rPr>
              <w:tab/>
            </w:r>
            <w:r>
              <w:rPr>
                <w:rStyle w:val="IndexLink"/>
              </w:rPr>
              <w:t>250</w:t>
            </w:r>
          </w:hyperlink>
        </w:p>
        <w:p>
          <w:pPr>
            <w:pStyle w:val="Contents4"/>
            <w:tabs>
              <w:tab w:val="clear" w:pos="8176"/>
              <w:tab w:val="right" w:pos="9026" w:leader="dot"/>
            </w:tabs>
            <w:rPr/>
          </w:pPr>
          <w:hyperlink w:anchor="__RefHeading___Toc7812648_3381743652">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7812650_3381743652">
            <w:r>
              <w:rPr>
                <w:webHidden/>
                <w:rStyle w:val="IndexLink"/>
                <w:rtl w:val="true"/>
              </w:rPr>
              <w:t>رأی شیخ درباره تناسخ</w:t>
            </w:r>
            <w:r>
              <w:rPr>
                <w:rStyle w:val="IndexLink"/>
                <w:rtl w:val="true"/>
              </w:rPr>
              <w:tab/>
            </w:r>
            <w:r>
              <w:rPr>
                <w:rStyle w:val="IndexLink"/>
              </w:rPr>
              <w:t>252</w:t>
            </w:r>
          </w:hyperlink>
        </w:p>
        <w:p>
          <w:pPr>
            <w:pStyle w:val="Contents4"/>
            <w:tabs>
              <w:tab w:val="clear" w:pos="8176"/>
              <w:tab w:val="right" w:pos="9026" w:leader="dot"/>
            </w:tabs>
            <w:rPr/>
          </w:pPr>
          <w:hyperlink w:anchor="__RefHeading___Toc7812652_3381743652">
            <w:r>
              <w:rPr>
                <w:webHidden/>
                <w:rStyle w:val="IndexLink"/>
                <w:rtl w:val="true"/>
              </w:rPr>
              <w:t>پاسخهای شیخ به شبهه اهل تناسخ</w:t>
            </w:r>
            <w:r>
              <w:rPr>
                <w:rStyle w:val="IndexLink"/>
                <w:rtl w:val="true"/>
              </w:rPr>
              <w:tab/>
            </w:r>
            <w:r>
              <w:rPr>
                <w:rStyle w:val="IndexLink"/>
              </w:rPr>
              <w:t>253</w:t>
            </w:r>
          </w:hyperlink>
        </w:p>
        <w:p>
          <w:pPr>
            <w:pStyle w:val="Contents5"/>
            <w:tabs>
              <w:tab w:val="clear" w:pos="7892"/>
              <w:tab w:val="right" w:pos="9026" w:leader="dot"/>
            </w:tabs>
            <w:rPr/>
          </w:pPr>
          <w:hyperlink w:anchor="__RefHeading___Toc7812654_3381743652">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7812656_3381743652">
            <w:r>
              <w:rPr>
                <w:webHidden/>
                <w:rStyle w:val="IndexLink"/>
                <w:rtl w:val="true"/>
              </w:rPr>
              <w:t>الف</w:t>
            </w:r>
            <w:r>
              <w:rPr>
                <w:rStyle w:val="IndexLink"/>
                <w:rtl w:val="true"/>
              </w:rPr>
              <w:t xml:space="preserve">) </w:t>
            </w:r>
            <w:r>
              <w:rPr>
                <w:rStyle w:val="IndexLink"/>
                <w:rtl w:val="true"/>
              </w:rPr>
              <w:t>وجود آلام غیر استحقاقی</w:t>
            </w:r>
            <w:r>
              <w:rPr>
                <w:rStyle w:val="IndexLink"/>
                <w:rtl w:val="true"/>
              </w:rPr>
              <w:tab/>
            </w:r>
            <w:r>
              <w:rPr>
                <w:rStyle w:val="IndexLink"/>
              </w:rPr>
              <w:t>254</w:t>
            </w:r>
          </w:hyperlink>
        </w:p>
        <w:p>
          <w:pPr>
            <w:pStyle w:val="Contents5"/>
            <w:tabs>
              <w:tab w:val="clear" w:pos="7892"/>
              <w:tab w:val="right" w:pos="9026" w:leader="dot"/>
            </w:tabs>
            <w:rPr/>
          </w:pPr>
          <w:hyperlink w:anchor="__RefHeading___Toc7812658_3381743652">
            <w:r>
              <w:rPr>
                <w:webHidden/>
                <w:rStyle w:val="IndexLink"/>
                <w:rtl w:val="true"/>
              </w:rPr>
              <w:t>ب</w:t>
            </w:r>
            <w:r>
              <w:rPr>
                <w:rStyle w:val="IndexLink"/>
                <w:rtl w:val="true"/>
              </w:rPr>
              <w:t xml:space="preserve">) </w:t>
            </w:r>
            <w:r>
              <w:rPr>
                <w:rStyle w:val="IndexLink"/>
                <w:rtl w:val="true"/>
              </w:rPr>
              <w:t>قبح تحقیرو اهانت کودکان و حیوانات</w:t>
            </w:r>
            <w:r>
              <w:rPr>
                <w:rStyle w:val="IndexLink"/>
                <w:rtl w:val="true"/>
              </w:rPr>
              <w:tab/>
            </w:r>
            <w:r>
              <w:rPr>
                <w:rStyle w:val="IndexLink"/>
              </w:rPr>
              <w:t>254</w:t>
            </w:r>
          </w:hyperlink>
        </w:p>
        <w:p>
          <w:pPr>
            <w:pStyle w:val="Contents5"/>
            <w:tabs>
              <w:tab w:val="clear" w:pos="7892"/>
              <w:tab w:val="right" w:pos="9026" w:leader="dot"/>
            </w:tabs>
            <w:rPr/>
          </w:pPr>
          <w:hyperlink w:anchor="__RefHeading___Toc7812660_3381743652">
            <w:r>
              <w:rPr>
                <w:webHidden/>
                <w:rStyle w:val="IndexLink"/>
                <w:rtl w:val="true"/>
              </w:rPr>
              <w:t>ج</w:t>
            </w:r>
            <w:r>
              <w:rPr>
                <w:rStyle w:val="IndexLink"/>
                <w:rtl w:val="true"/>
              </w:rPr>
              <w:t xml:space="preserve">) </w:t>
            </w:r>
            <w:r>
              <w:rPr>
                <w:rStyle w:val="IndexLink"/>
                <w:rtl w:val="true"/>
              </w:rPr>
              <w:t>درد و رنج انبیا دلیل وجود الم غیر استحقاقی</w:t>
            </w:r>
            <w:r>
              <w:rPr>
                <w:rStyle w:val="IndexLink"/>
                <w:rtl w:val="true"/>
              </w:rPr>
              <w:tab/>
            </w:r>
            <w:r>
              <w:rPr>
                <w:rStyle w:val="IndexLink"/>
              </w:rPr>
              <w:t>255</w:t>
            </w:r>
          </w:hyperlink>
        </w:p>
        <w:p>
          <w:pPr>
            <w:pStyle w:val="Contents5"/>
            <w:tabs>
              <w:tab w:val="clear" w:pos="7892"/>
              <w:tab w:val="right" w:pos="9026" w:leader="dot"/>
            </w:tabs>
            <w:rPr/>
          </w:pPr>
          <w:hyperlink w:anchor="__RefHeading___Toc7812662_3381743652">
            <w:r>
              <w:rPr>
                <w:webHidden/>
                <w:rStyle w:val="IndexLink"/>
                <w:rtl w:val="true"/>
              </w:rPr>
              <w:t>د</w:t>
            </w:r>
            <w:r>
              <w:rPr>
                <w:rStyle w:val="IndexLink"/>
                <w:rtl w:val="true"/>
              </w:rPr>
              <w:t xml:space="preserve">) </w:t>
            </w:r>
            <w:r>
              <w:rPr>
                <w:rStyle w:val="IndexLink"/>
                <w:rtl w:val="true"/>
              </w:rPr>
              <w:t>به یاد نیاوردن گناهان پیشین</w:t>
            </w:r>
            <w:r>
              <w:rPr>
                <w:rStyle w:val="IndexLink"/>
                <w:rtl w:val="true"/>
              </w:rPr>
              <w:tab/>
            </w:r>
            <w:r>
              <w:rPr>
                <w:rStyle w:val="IndexLink"/>
              </w:rPr>
              <w:t>255</w:t>
            </w:r>
          </w:hyperlink>
        </w:p>
        <w:p>
          <w:pPr>
            <w:pStyle w:val="Contents5"/>
            <w:tabs>
              <w:tab w:val="clear" w:pos="7892"/>
              <w:tab w:val="right" w:pos="9026" w:leader="dot"/>
            </w:tabs>
            <w:rPr/>
          </w:pPr>
          <w:hyperlink w:anchor="__RefHeading___Toc7812664_3381743652">
            <w:r>
              <w:rPr>
                <w:webHidden/>
                <w:rStyle w:val="IndexLink"/>
                <w:rtl w:val="true"/>
              </w:rPr>
              <w:t xml:space="preserve">ه </w:t>
            </w:r>
            <w:r>
              <w:rPr>
                <w:rStyle w:val="IndexLink"/>
                <w:rtl w:val="true"/>
              </w:rPr>
              <w:t xml:space="preserve">) </w:t>
            </w:r>
            <w:r>
              <w:rPr>
                <w:rStyle w:val="IndexLink"/>
                <w:rtl w:val="true"/>
              </w:rPr>
              <w:t>محال گشتن ابتدا به تکلیف، در صورت انحصار آلام در الم استحقاقی</w:t>
            </w:r>
            <w:r>
              <w:rPr>
                <w:rStyle w:val="IndexLink"/>
                <w:rtl w:val="true"/>
              </w:rPr>
              <w:tab/>
            </w:r>
            <w:r>
              <w:rPr>
                <w:rStyle w:val="IndexLink"/>
              </w:rPr>
              <w:t>256</w:t>
            </w:r>
          </w:hyperlink>
        </w:p>
        <w:p>
          <w:pPr>
            <w:pStyle w:val="Contents3"/>
            <w:tabs>
              <w:tab w:val="clear" w:pos="8459"/>
              <w:tab w:val="right" w:pos="9026" w:leader="dot"/>
            </w:tabs>
            <w:rPr/>
          </w:pPr>
          <w:hyperlink w:anchor="__RefHeading___Toc7812666_3381743652">
            <w:r>
              <w:rPr>
                <w:webHidden/>
                <w:rStyle w:val="IndexLink"/>
                <w:rtl w:val="true"/>
              </w:rPr>
              <w:t>اشاره ای گذرا به شبهات اهل تناسخ</w:t>
            </w:r>
            <w:r>
              <w:rPr>
                <w:rStyle w:val="IndexLink"/>
                <w:rtl w:val="true"/>
              </w:rPr>
              <w:tab/>
            </w:r>
            <w:r>
              <w:rPr>
                <w:rStyle w:val="IndexLink"/>
              </w:rPr>
              <w:t>257</w:t>
            </w:r>
          </w:hyperlink>
        </w:p>
        <w:p>
          <w:pPr>
            <w:pStyle w:val="Contents4"/>
            <w:tabs>
              <w:tab w:val="clear" w:pos="8176"/>
              <w:tab w:val="right" w:pos="9026" w:leader="dot"/>
            </w:tabs>
            <w:rPr/>
          </w:pPr>
          <w:hyperlink w:anchor="__RefHeading___Toc7812668_3381743652">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7812670_3381743652">
            <w:r>
              <w:rPr>
                <w:webHidden/>
                <w:rStyle w:val="IndexLink"/>
              </w:rPr>
              <w:t>1</w:t>
            </w:r>
            <w:r>
              <w:rPr>
                <w:rStyle w:val="IndexLink"/>
                <w:rtl w:val="true"/>
              </w:rPr>
              <w:t xml:space="preserve">. </w:t>
            </w:r>
            <w:r>
              <w:rPr>
                <w:rStyle w:val="IndexLink"/>
                <w:rtl w:val="true"/>
              </w:rPr>
              <w:t>توجیه وعده عذاب ادیان راستین</w:t>
            </w:r>
            <w:r>
              <w:rPr>
                <w:rStyle w:val="IndexLink"/>
                <w:rtl w:val="true"/>
              </w:rPr>
              <w:tab/>
            </w:r>
            <w:r>
              <w:rPr>
                <w:rStyle w:val="IndexLink"/>
              </w:rPr>
              <w:t>257</w:t>
            </w:r>
          </w:hyperlink>
        </w:p>
        <w:p>
          <w:pPr>
            <w:pStyle w:val="Contents4"/>
            <w:tabs>
              <w:tab w:val="clear" w:pos="8176"/>
              <w:tab w:val="right" w:pos="9026" w:leader="dot"/>
            </w:tabs>
            <w:rPr/>
          </w:pPr>
          <w:hyperlink w:anchor="__RefHeading___Toc7812672_3381743652">
            <w:r>
              <w:rPr>
                <w:webHidden/>
                <w:rStyle w:val="IndexLink"/>
              </w:rPr>
              <w:t>٢</w:t>
            </w:r>
            <w:r>
              <w:rPr>
                <w:rStyle w:val="IndexLink"/>
                <w:rtl w:val="true"/>
              </w:rPr>
              <w:t xml:space="preserve">. </w:t>
            </w:r>
            <w:r>
              <w:rPr>
                <w:rStyle w:val="IndexLink"/>
                <w:rtl w:val="true"/>
              </w:rPr>
              <w:t>بدن، لازمه تعذیب گنهکاران</w:t>
            </w:r>
            <w:r>
              <w:rPr>
                <w:rStyle w:val="IndexLink"/>
                <w:rtl w:val="true"/>
              </w:rPr>
              <w:tab/>
            </w:r>
            <w:r>
              <w:rPr>
                <w:rStyle w:val="IndexLink"/>
              </w:rPr>
              <w:t>257</w:t>
            </w:r>
          </w:hyperlink>
        </w:p>
        <w:p>
          <w:pPr>
            <w:pStyle w:val="Contents4"/>
            <w:tabs>
              <w:tab w:val="clear" w:pos="8176"/>
              <w:tab w:val="right" w:pos="9026" w:leader="dot"/>
            </w:tabs>
            <w:rPr/>
          </w:pPr>
          <w:hyperlink w:anchor="__RefHeading___Toc7812674_3381743652">
            <w:r>
              <w:rPr>
                <w:webHidden/>
                <w:rStyle w:val="IndexLink"/>
              </w:rPr>
              <w:t>٣</w:t>
            </w:r>
            <w:r>
              <w:rPr>
                <w:rStyle w:val="IndexLink"/>
                <w:rtl w:val="true"/>
              </w:rPr>
              <w:t xml:space="preserve">. </w:t>
            </w:r>
            <w:r>
              <w:rPr>
                <w:rStyle w:val="IndexLink"/>
                <w:rtl w:val="true"/>
              </w:rPr>
              <w:t>تعذیب و تناسب آن با این جهان</w:t>
            </w:r>
            <w:r>
              <w:rPr>
                <w:rStyle w:val="IndexLink"/>
                <w:rtl w:val="true"/>
              </w:rPr>
              <w:tab/>
            </w:r>
            <w:r>
              <w:rPr>
                <w:rStyle w:val="IndexLink"/>
              </w:rPr>
              <w:t>258</w:t>
            </w:r>
          </w:hyperlink>
        </w:p>
        <w:p>
          <w:pPr>
            <w:pStyle w:val="Contents4"/>
            <w:tabs>
              <w:tab w:val="clear" w:pos="8176"/>
              <w:tab w:val="right" w:pos="9026" w:leader="dot"/>
            </w:tabs>
            <w:rPr/>
          </w:pPr>
          <w:hyperlink w:anchor="__RefHeading___Toc7812676_3381743652">
            <w:r>
              <w:rPr>
                <w:webHidden/>
                <w:rStyle w:val="IndexLink"/>
              </w:rPr>
              <w:t>۴</w:t>
            </w:r>
            <w:r>
              <w:rPr>
                <w:rStyle w:val="IndexLink"/>
                <w:rtl w:val="true"/>
              </w:rPr>
              <w:t xml:space="preserve">. </w:t>
            </w:r>
            <w:r>
              <w:rPr>
                <w:rStyle w:val="IndexLink"/>
                <w:rtl w:val="true"/>
              </w:rPr>
              <w:t>یکسان انگاری تناسخ با اصطلاحات مشابه</w:t>
            </w:r>
            <w:r>
              <w:rPr>
                <w:rStyle w:val="IndexLink"/>
                <w:rtl w:val="true"/>
              </w:rPr>
              <w:tab/>
            </w:r>
            <w:r>
              <w:rPr>
                <w:rStyle w:val="IndexLink"/>
              </w:rPr>
              <w:t>258</w:t>
            </w:r>
          </w:hyperlink>
        </w:p>
        <w:p>
          <w:pPr>
            <w:pStyle w:val="Contents5"/>
            <w:tabs>
              <w:tab w:val="clear" w:pos="7892"/>
              <w:tab w:val="right" w:pos="9026" w:leader="dot"/>
            </w:tabs>
            <w:rPr/>
          </w:pPr>
          <w:hyperlink w:anchor="__RefHeading___Toc7812678_3381743652">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7812680_3381743652">
            <w:r>
              <w:rPr>
                <w:webHidden/>
                <w:rStyle w:val="IndexLink"/>
                <w:rtl w:val="true"/>
              </w:rPr>
              <w:t>الف</w:t>
            </w:r>
            <w:r>
              <w:rPr>
                <w:rStyle w:val="IndexLink"/>
                <w:rtl w:val="true"/>
              </w:rPr>
              <w:t xml:space="preserve">) </w:t>
            </w:r>
            <w:r>
              <w:rPr>
                <w:rStyle w:val="IndexLink"/>
                <w:rtl w:val="true"/>
              </w:rPr>
              <w:t>معاد</w:t>
            </w:r>
            <w:r>
              <w:rPr>
                <w:rStyle w:val="IndexLink"/>
                <w:rtl w:val="true"/>
              </w:rPr>
              <w:tab/>
            </w:r>
            <w:r>
              <w:rPr>
                <w:rStyle w:val="IndexLink"/>
              </w:rPr>
              <w:t>258</w:t>
            </w:r>
          </w:hyperlink>
        </w:p>
        <w:p>
          <w:pPr>
            <w:pStyle w:val="Contents5"/>
            <w:tabs>
              <w:tab w:val="clear" w:pos="7892"/>
              <w:tab w:val="right" w:pos="9026" w:leader="dot"/>
            </w:tabs>
            <w:rPr/>
          </w:pPr>
          <w:hyperlink w:anchor="__RefHeading___Toc7812682_3381743652">
            <w:r>
              <w:rPr>
                <w:webHidden/>
                <w:rStyle w:val="IndexLink"/>
                <w:rtl w:val="true"/>
              </w:rPr>
              <w:t>ب</w:t>
            </w:r>
            <w:r>
              <w:rPr>
                <w:rStyle w:val="IndexLink"/>
                <w:rtl w:val="true"/>
              </w:rPr>
              <w:t xml:space="preserve">) </w:t>
            </w:r>
            <w:r>
              <w:rPr>
                <w:rStyle w:val="IndexLink"/>
                <w:rtl w:val="true"/>
              </w:rPr>
              <w:t>مسخ</w:t>
            </w:r>
            <w:r>
              <w:rPr>
                <w:rStyle w:val="IndexLink"/>
                <w:rtl w:val="true"/>
              </w:rPr>
              <w:tab/>
            </w:r>
            <w:r>
              <w:rPr>
                <w:rStyle w:val="IndexLink"/>
              </w:rPr>
              <w:t>259</w:t>
            </w:r>
          </w:hyperlink>
        </w:p>
        <w:p>
          <w:pPr>
            <w:pStyle w:val="Contents5"/>
            <w:tabs>
              <w:tab w:val="clear" w:pos="7892"/>
              <w:tab w:val="right" w:pos="9026" w:leader="dot"/>
            </w:tabs>
            <w:rPr/>
          </w:pPr>
          <w:hyperlink w:anchor="__RefHeading___Toc7812684_3381743652">
            <w:r>
              <w:rPr>
                <w:webHidden/>
                <w:rStyle w:val="IndexLink"/>
                <w:rtl w:val="true"/>
              </w:rPr>
              <w:t>ج</w:t>
            </w:r>
            <w:r>
              <w:rPr>
                <w:rStyle w:val="IndexLink"/>
                <w:rtl w:val="true"/>
              </w:rPr>
              <w:t xml:space="preserve">) </w:t>
            </w:r>
            <w:r>
              <w:rPr>
                <w:rStyle w:val="IndexLink"/>
                <w:rtl w:val="true"/>
              </w:rPr>
              <w:t>رجعت</w:t>
            </w:r>
            <w:r>
              <w:rPr>
                <w:rStyle w:val="IndexLink"/>
                <w:rtl w:val="true"/>
              </w:rPr>
              <w:tab/>
            </w:r>
            <w:r>
              <w:rPr>
                <w:rStyle w:val="IndexLink"/>
              </w:rPr>
              <w:t>260</w:t>
            </w:r>
          </w:hyperlink>
        </w:p>
        <w:p>
          <w:pPr>
            <w:pStyle w:val="Contents2"/>
            <w:tabs>
              <w:tab w:val="clear" w:pos="8743"/>
              <w:tab w:val="right" w:pos="9026" w:leader="dot"/>
            </w:tabs>
            <w:rPr/>
          </w:pPr>
          <w:hyperlink w:anchor="__RefHeading___Toc7812686_3381743652">
            <w:r>
              <w:rPr>
                <w:webHidden/>
                <w:rStyle w:val="IndexLink"/>
                <w:rtl w:val="true"/>
              </w:rPr>
              <w:t>قاعده لطف</w:t>
            </w:r>
            <w:r>
              <w:rPr>
                <w:rStyle w:val="IndexLink"/>
                <w:rtl w:val="true"/>
              </w:rPr>
              <w:tab/>
            </w:r>
            <w:r>
              <w:rPr>
                <w:rStyle w:val="IndexLink"/>
              </w:rPr>
              <w:t>261</w:t>
            </w:r>
          </w:hyperlink>
        </w:p>
        <w:p>
          <w:pPr>
            <w:pStyle w:val="Contents3"/>
            <w:tabs>
              <w:tab w:val="clear" w:pos="8459"/>
              <w:tab w:val="right" w:pos="9026" w:leader="dot"/>
            </w:tabs>
            <w:rPr/>
          </w:pPr>
          <w:hyperlink w:anchor="__RefHeading___Toc7812688_3381743652">
            <w:r>
              <w:rPr>
                <w:webHidden/>
                <w:rStyle w:val="IndexLink"/>
                <w:rtl w:val="true"/>
              </w:rPr>
              <w:t>پیشگفتار</w:t>
            </w:r>
            <w:r>
              <w:rPr>
                <w:rStyle w:val="IndexLink"/>
                <w:rtl w:val="true"/>
              </w:rPr>
              <w:tab/>
            </w:r>
            <w:r>
              <w:rPr>
                <w:rStyle w:val="IndexLink"/>
              </w:rPr>
              <w:t>261</w:t>
            </w:r>
          </w:hyperlink>
        </w:p>
        <w:p>
          <w:pPr>
            <w:pStyle w:val="Contents3"/>
            <w:tabs>
              <w:tab w:val="clear" w:pos="8459"/>
              <w:tab w:val="right" w:pos="9026" w:leader="dot"/>
            </w:tabs>
            <w:rPr/>
          </w:pPr>
          <w:hyperlink w:anchor="__RefHeading___Toc7812690_3381743652">
            <w:r>
              <w:rPr>
                <w:webHidden/>
                <w:rStyle w:val="IndexLink"/>
                <w:rtl w:val="true"/>
              </w:rPr>
              <w:t>چیستی لطف</w:t>
            </w:r>
            <w:r>
              <w:rPr>
                <w:rStyle w:val="IndexLink"/>
                <w:rtl w:val="true"/>
              </w:rPr>
              <w:tab/>
            </w:r>
            <w:r>
              <w:rPr>
                <w:rStyle w:val="IndexLink"/>
              </w:rPr>
              <w:t>262</w:t>
            </w:r>
          </w:hyperlink>
        </w:p>
        <w:p>
          <w:pPr>
            <w:pStyle w:val="Contents4"/>
            <w:tabs>
              <w:tab w:val="clear" w:pos="8176"/>
              <w:tab w:val="right" w:pos="9026" w:leader="dot"/>
            </w:tabs>
            <w:rPr/>
          </w:pPr>
          <w:hyperlink w:anchor="__RefHeading___Toc7812692_3381743652">
            <w:r>
              <w:rPr>
                <w:webHidden/>
                <w:rStyle w:val="IndexLink"/>
                <w:rtl w:val="true"/>
              </w:rPr>
              <w:t>لطف در لغت</w:t>
            </w:r>
            <w:r>
              <w:rPr>
                <w:rStyle w:val="IndexLink"/>
                <w:rtl w:val="true"/>
              </w:rPr>
              <w:tab/>
            </w:r>
            <w:r>
              <w:rPr>
                <w:rStyle w:val="IndexLink"/>
              </w:rPr>
              <w:t>262</w:t>
            </w:r>
          </w:hyperlink>
        </w:p>
        <w:p>
          <w:pPr>
            <w:pStyle w:val="Contents5"/>
            <w:tabs>
              <w:tab w:val="clear" w:pos="7892"/>
              <w:tab w:val="right" w:pos="9026" w:leader="dot"/>
            </w:tabs>
            <w:rPr/>
          </w:pPr>
          <w:hyperlink w:anchor="__RefHeading___Toc7812694_3381743652">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7812696_3381743652">
            <w:r>
              <w:rPr>
                <w:webHidden/>
                <w:rStyle w:val="IndexLink"/>
                <w:rtl w:val="true"/>
              </w:rPr>
              <w:t>واژه لطف در نزد مفسران</w:t>
            </w:r>
            <w:r>
              <w:rPr>
                <w:rStyle w:val="IndexLink"/>
                <w:rtl w:val="true"/>
              </w:rPr>
              <w:tab/>
            </w:r>
            <w:r>
              <w:rPr>
                <w:rStyle w:val="IndexLink"/>
              </w:rPr>
              <w:t>263</w:t>
            </w:r>
          </w:hyperlink>
        </w:p>
        <w:p>
          <w:pPr>
            <w:pStyle w:val="Contents4"/>
            <w:tabs>
              <w:tab w:val="clear" w:pos="8176"/>
              <w:tab w:val="right" w:pos="9026" w:leader="dot"/>
            </w:tabs>
            <w:rPr/>
          </w:pPr>
          <w:hyperlink w:anchor="__RefHeading___Toc7812698_3381743652">
            <w:r>
              <w:rPr>
                <w:webHidden/>
                <w:rStyle w:val="IndexLink"/>
                <w:rtl w:val="true"/>
              </w:rPr>
              <w:t>لطف در اصطلاح</w:t>
            </w:r>
            <w:r>
              <w:rPr>
                <w:rStyle w:val="IndexLink"/>
                <w:rtl w:val="true"/>
              </w:rPr>
              <w:tab/>
            </w:r>
            <w:r>
              <w:rPr>
                <w:rStyle w:val="IndexLink"/>
              </w:rPr>
              <w:t>264</w:t>
            </w:r>
          </w:hyperlink>
        </w:p>
        <w:p>
          <w:pPr>
            <w:pStyle w:val="Contents5"/>
            <w:tabs>
              <w:tab w:val="clear" w:pos="7892"/>
              <w:tab w:val="right" w:pos="9026" w:leader="dot"/>
            </w:tabs>
            <w:rPr/>
          </w:pPr>
          <w:hyperlink w:anchor="__RefHeading___Toc7812700_3381743652">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7812702_3381743652">
            <w:r>
              <w:rPr>
                <w:webHidden/>
                <w:rStyle w:val="IndexLink"/>
                <w:rtl w:val="true"/>
              </w:rPr>
              <w:t>فرق لطف محصل و مقرب</w:t>
            </w:r>
            <w:r>
              <w:rPr>
                <w:rStyle w:val="IndexLink"/>
                <w:rtl w:val="true"/>
              </w:rPr>
              <w:tab/>
            </w:r>
            <w:r>
              <w:rPr>
                <w:rStyle w:val="IndexLink"/>
              </w:rPr>
              <w:t>265</w:t>
            </w:r>
          </w:hyperlink>
        </w:p>
        <w:p>
          <w:pPr>
            <w:pStyle w:val="Contents3"/>
            <w:tabs>
              <w:tab w:val="clear" w:pos="8459"/>
              <w:tab w:val="right" w:pos="9026" w:leader="dot"/>
            </w:tabs>
            <w:rPr/>
          </w:pPr>
          <w:hyperlink w:anchor="__RefHeading___Toc7812704_3381743652">
            <w:r>
              <w:rPr>
                <w:webHidden/>
                <w:rStyle w:val="IndexLink"/>
                <w:rtl w:val="true"/>
              </w:rPr>
              <w:t xml:space="preserve">لطف در متون دینی </w:t>
            </w:r>
            <w:r>
              <w:rPr>
                <w:rStyle w:val="IndexLink"/>
                <w:rtl w:val="true"/>
              </w:rPr>
              <w:t>(</w:t>
            </w:r>
            <w:r>
              <w:rPr>
                <w:rStyle w:val="IndexLink"/>
                <w:rtl w:val="true"/>
              </w:rPr>
              <w:t>قرآن، حدیث، دعا</w:t>
            </w:r>
            <w:r>
              <w:rPr>
                <w:rStyle w:val="IndexLink"/>
                <w:rtl w:val="true"/>
              </w:rPr>
              <w:t>)</w:t>
              <w:tab/>
            </w:r>
            <w:r>
              <w:rPr>
                <w:rStyle w:val="IndexLink"/>
              </w:rPr>
              <w:t>265</w:t>
            </w:r>
          </w:hyperlink>
        </w:p>
        <w:p>
          <w:pPr>
            <w:pStyle w:val="Contents4"/>
            <w:tabs>
              <w:tab w:val="clear" w:pos="8176"/>
              <w:tab w:val="right" w:pos="9026" w:leader="dot"/>
            </w:tabs>
            <w:rPr/>
          </w:pPr>
          <w:hyperlink w:anchor="__RefHeading___Toc7812706_3381743652">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7812708_3381743652">
            <w:r>
              <w:rPr>
                <w:webHidden/>
                <w:rStyle w:val="IndexLink"/>
                <w:rtl w:val="true"/>
              </w:rPr>
              <w:t>الف</w:t>
            </w:r>
            <w:r>
              <w:rPr>
                <w:rStyle w:val="IndexLink"/>
                <w:rtl w:val="true"/>
              </w:rPr>
              <w:t xml:space="preserve">) </w:t>
            </w:r>
            <w:r>
              <w:rPr>
                <w:rStyle w:val="IndexLink"/>
                <w:rtl w:val="true"/>
              </w:rPr>
              <w:t>لطف به عنوان صفت ذات</w:t>
            </w:r>
            <w:r>
              <w:rPr>
                <w:rStyle w:val="IndexLink"/>
                <w:rtl w:val="true"/>
              </w:rPr>
              <w:tab/>
            </w:r>
            <w:r>
              <w:rPr>
                <w:rStyle w:val="IndexLink"/>
              </w:rPr>
              <w:t>265</w:t>
            </w:r>
          </w:hyperlink>
        </w:p>
        <w:p>
          <w:pPr>
            <w:pStyle w:val="Contents5"/>
            <w:tabs>
              <w:tab w:val="clear" w:pos="7892"/>
              <w:tab w:val="right" w:pos="9026" w:leader="dot"/>
            </w:tabs>
            <w:rPr/>
          </w:pPr>
          <w:hyperlink w:anchor="__RefHeading___Toc7812710_3381743652">
            <w:r>
              <w:rPr>
                <w:webHidden/>
                <w:rStyle w:val="IndexLink"/>
              </w:rPr>
              <w:t>1</w:t>
            </w:r>
            <w:r>
              <w:rPr>
                <w:rStyle w:val="IndexLink"/>
                <w:rtl w:val="true"/>
              </w:rPr>
              <w:t xml:space="preserve">. </w:t>
            </w:r>
            <w:r>
              <w:rPr>
                <w:rStyle w:val="IndexLink"/>
                <w:rtl w:val="true"/>
              </w:rPr>
              <w:t>تجرد خداوند</w:t>
            </w:r>
            <w:r>
              <w:rPr>
                <w:rStyle w:val="IndexLink"/>
                <w:rtl w:val="true"/>
              </w:rPr>
              <w:tab/>
            </w:r>
            <w:r>
              <w:rPr>
                <w:rStyle w:val="IndexLink"/>
              </w:rPr>
              <w:t>265</w:t>
            </w:r>
          </w:hyperlink>
        </w:p>
        <w:p>
          <w:pPr>
            <w:pStyle w:val="Contents5"/>
            <w:tabs>
              <w:tab w:val="clear" w:pos="7892"/>
              <w:tab w:val="right" w:pos="9026" w:leader="dot"/>
            </w:tabs>
            <w:rPr/>
          </w:pPr>
          <w:hyperlink w:anchor="__RefHeading___Toc7812712_3381743652">
            <w:r>
              <w:rPr>
                <w:webHidden/>
                <w:rStyle w:val="IndexLink"/>
              </w:rPr>
              <w:t>۲</w:t>
            </w:r>
            <w:r>
              <w:rPr>
                <w:rStyle w:val="IndexLink"/>
                <w:rtl w:val="true"/>
              </w:rPr>
              <w:t xml:space="preserve">. </w:t>
            </w:r>
            <w:r>
              <w:rPr>
                <w:rStyle w:val="IndexLink"/>
                <w:rtl w:val="true"/>
              </w:rPr>
              <w:t>علم باری تعالی</w:t>
            </w:r>
            <w:r>
              <w:rPr>
                <w:rStyle w:val="IndexLink"/>
                <w:rtl w:val="true"/>
              </w:rPr>
              <w:tab/>
            </w:r>
            <w:r>
              <w:rPr>
                <w:rStyle w:val="IndexLink"/>
              </w:rPr>
              <w:t>266</w:t>
            </w:r>
          </w:hyperlink>
        </w:p>
        <w:p>
          <w:pPr>
            <w:pStyle w:val="Contents5"/>
            <w:tabs>
              <w:tab w:val="clear" w:pos="7892"/>
              <w:tab w:val="right" w:pos="9026" w:leader="dot"/>
            </w:tabs>
            <w:rPr/>
          </w:pPr>
          <w:hyperlink w:anchor="__RefHeading___Toc7812714_3381743652">
            <w:r>
              <w:rPr>
                <w:webHidden/>
                <w:rStyle w:val="IndexLink"/>
              </w:rPr>
              <w:t>٣</w:t>
            </w:r>
            <w:r>
              <w:rPr>
                <w:rStyle w:val="IndexLink"/>
                <w:rtl w:val="true"/>
              </w:rPr>
              <w:t xml:space="preserve">. </w:t>
            </w:r>
            <w:r>
              <w:rPr>
                <w:rStyle w:val="IndexLink"/>
                <w:rtl w:val="true"/>
              </w:rPr>
              <w:t>خداوند از افق اندیشه بشر فراتر است</w:t>
            </w:r>
            <w:r>
              <w:rPr>
                <w:rStyle w:val="IndexLink"/>
                <w:rtl w:val="true"/>
              </w:rPr>
              <w:tab/>
            </w:r>
            <w:r>
              <w:rPr>
                <w:rStyle w:val="IndexLink"/>
              </w:rPr>
              <w:t>267</w:t>
            </w:r>
          </w:hyperlink>
        </w:p>
        <w:p>
          <w:pPr>
            <w:pStyle w:val="Contents4"/>
            <w:tabs>
              <w:tab w:val="clear" w:pos="8176"/>
              <w:tab w:val="right" w:pos="9026" w:leader="dot"/>
            </w:tabs>
            <w:rPr/>
          </w:pPr>
          <w:hyperlink w:anchor="__RefHeading___Toc7812716_3381743652">
            <w:r>
              <w:rPr>
                <w:webHidden/>
                <w:rStyle w:val="IndexLink"/>
                <w:rtl w:val="true"/>
              </w:rPr>
              <w:t>ب</w:t>
            </w:r>
            <w:r>
              <w:rPr>
                <w:rStyle w:val="IndexLink"/>
                <w:rtl w:val="true"/>
              </w:rPr>
              <w:t xml:space="preserve">) </w:t>
            </w:r>
            <w:r>
              <w:rPr>
                <w:rStyle w:val="IndexLink"/>
                <w:rtl w:val="true"/>
              </w:rPr>
              <w:t>لطف به عنوان صفت فعل</w:t>
            </w:r>
            <w:r>
              <w:rPr>
                <w:rStyle w:val="IndexLink"/>
                <w:rtl w:val="true"/>
              </w:rPr>
              <w:tab/>
            </w:r>
            <w:r>
              <w:rPr>
                <w:rStyle w:val="IndexLink"/>
              </w:rPr>
              <w:t>267</w:t>
            </w:r>
          </w:hyperlink>
        </w:p>
        <w:p>
          <w:pPr>
            <w:pStyle w:val="Contents5"/>
            <w:tabs>
              <w:tab w:val="clear" w:pos="7892"/>
              <w:tab w:val="right" w:pos="9026" w:leader="dot"/>
            </w:tabs>
            <w:rPr/>
          </w:pPr>
          <w:hyperlink w:anchor="__RefHeading___Toc7812718_3381743652">
            <w:r>
              <w:rPr>
                <w:webHidden/>
                <w:rStyle w:val="IndexLink"/>
              </w:rPr>
              <w:t>1</w:t>
            </w:r>
            <w:r>
              <w:rPr>
                <w:rStyle w:val="IndexLink"/>
                <w:rtl w:val="true"/>
              </w:rPr>
              <w:t>.</w:t>
            </w:r>
            <w:r>
              <w:rPr>
                <w:rStyle w:val="IndexLink"/>
                <w:rtl w:val="true"/>
              </w:rPr>
              <w:t>لطافت در تدبیر</w:t>
            </w:r>
            <w:r>
              <w:rPr>
                <w:rStyle w:val="IndexLink"/>
                <w:rtl w:val="true"/>
              </w:rPr>
              <w:tab/>
            </w:r>
            <w:r>
              <w:rPr>
                <w:rStyle w:val="IndexLink"/>
              </w:rPr>
              <w:t>267</w:t>
            </w:r>
          </w:hyperlink>
        </w:p>
        <w:p>
          <w:pPr>
            <w:pStyle w:val="Contents5"/>
            <w:tabs>
              <w:tab w:val="clear" w:pos="7892"/>
              <w:tab w:val="right" w:pos="9026" w:leader="dot"/>
            </w:tabs>
            <w:rPr/>
          </w:pPr>
          <w:hyperlink w:anchor="__RefHeading___Toc7812720_3381743652">
            <w:r>
              <w:rPr>
                <w:webHidden/>
                <w:rStyle w:val="IndexLink"/>
              </w:rPr>
              <w:t>۲</w:t>
            </w:r>
            <w:r>
              <w:rPr>
                <w:rStyle w:val="IndexLink"/>
                <w:rtl w:val="true"/>
              </w:rPr>
              <w:t xml:space="preserve">. </w:t>
            </w:r>
            <w:r>
              <w:rPr>
                <w:rStyle w:val="IndexLink"/>
                <w:rtl w:val="true"/>
              </w:rPr>
              <w:t>مهربانی و احسان</w:t>
            </w:r>
            <w:r>
              <w:rPr>
                <w:rStyle w:val="IndexLink"/>
                <w:rtl w:val="true"/>
              </w:rPr>
              <w:tab/>
            </w:r>
            <w:r>
              <w:rPr>
                <w:rStyle w:val="IndexLink"/>
              </w:rPr>
              <w:t>268</w:t>
            </w:r>
          </w:hyperlink>
        </w:p>
        <w:p>
          <w:pPr>
            <w:pStyle w:val="Contents5"/>
            <w:tabs>
              <w:tab w:val="clear" w:pos="7892"/>
              <w:tab w:val="right" w:pos="9026" w:leader="dot"/>
            </w:tabs>
            <w:rPr/>
          </w:pPr>
          <w:hyperlink w:anchor="__RefHeading___Toc7812722_3381743652">
            <w:r>
              <w:rPr>
                <w:webHidden/>
                <w:rStyle w:val="IndexLink"/>
              </w:rPr>
              <w:t>٣</w:t>
            </w:r>
            <w:r>
              <w:rPr>
                <w:rStyle w:val="IndexLink"/>
                <w:rtl w:val="true"/>
              </w:rPr>
              <w:t xml:space="preserve">. </w:t>
            </w:r>
            <w:r>
              <w:rPr>
                <w:rStyle w:val="IndexLink"/>
                <w:rtl w:val="true"/>
              </w:rPr>
              <w:t>ظرافت صنع</w:t>
            </w:r>
            <w:r>
              <w:rPr>
                <w:rStyle w:val="IndexLink"/>
                <w:rtl w:val="true"/>
              </w:rPr>
              <w:tab/>
            </w:r>
            <w:r>
              <w:rPr>
                <w:rStyle w:val="IndexLink"/>
              </w:rPr>
              <w:t>269</w:t>
            </w:r>
          </w:hyperlink>
        </w:p>
        <w:p>
          <w:pPr>
            <w:pStyle w:val="Contents3"/>
            <w:tabs>
              <w:tab w:val="clear" w:pos="8459"/>
              <w:tab w:val="right" w:pos="9026" w:leader="dot"/>
            </w:tabs>
            <w:rPr/>
          </w:pPr>
          <w:hyperlink w:anchor="__RefHeading___Toc7812724_3381743652">
            <w:r>
              <w:rPr>
                <w:webHidden/>
                <w:rStyle w:val="IndexLink"/>
                <w:rtl w:val="true"/>
              </w:rPr>
              <w:t>اقسام لطف</w:t>
            </w:r>
            <w:r>
              <w:rPr>
                <w:rStyle w:val="IndexLink"/>
                <w:rtl w:val="true"/>
              </w:rPr>
              <w:tab/>
            </w:r>
            <w:r>
              <w:rPr>
                <w:rStyle w:val="IndexLink"/>
              </w:rPr>
              <w:t>269</w:t>
            </w:r>
          </w:hyperlink>
        </w:p>
        <w:p>
          <w:pPr>
            <w:pStyle w:val="Contents3"/>
            <w:tabs>
              <w:tab w:val="clear" w:pos="8459"/>
              <w:tab w:val="right" w:pos="9026" w:leader="dot"/>
            </w:tabs>
            <w:rPr/>
          </w:pPr>
          <w:hyperlink w:anchor="__RefHeading___Toc7812726_3381743652">
            <w:r>
              <w:rPr>
                <w:webHidden/>
                <w:rStyle w:val="IndexLink"/>
                <w:rtl w:val="true"/>
              </w:rPr>
              <w:t>شرایط لطف</w:t>
            </w:r>
            <w:r>
              <w:rPr>
                <w:rStyle w:val="IndexLink"/>
                <w:rtl w:val="true"/>
              </w:rPr>
              <w:tab/>
            </w:r>
            <w:r>
              <w:rPr>
                <w:rStyle w:val="IndexLink"/>
              </w:rPr>
              <w:t>270</w:t>
            </w:r>
          </w:hyperlink>
        </w:p>
        <w:p>
          <w:pPr>
            <w:pStyle w:val="Contents4"/>
            <w:tabs>
              <w:tab w:val="clear" w:pos="8176"/>
              <w:tab w:val="right" w:pos="9026" w:leader="dot"/>
            </w:tabs>
            <w:rPr/>
          </w:pPr>
          <w:hyperlink w:anchor="__RefHeading___Toc7812728_3381743652">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7812730_3381743652">
            <w:r>
              <w:rPr>
                <w:webHidden/>
                <w:rStyle w:val="IndexLink"/>
              </w:rPr>
              <w:t>١</w:t>
            </w:r>
            <w:r>
              <w:rPr>
                <w:rStyle w:val="IndexLink"/>
                <w:rtl w:val="true"/>
              </w:rPr>
              <w:t xml:space="preserve">. </w:t>
            </w:r>
            <w:r>
              <w:rPr>
                <w:rStyle w:val="IndexLink"/>
                <w:rtl w:val="true"/>
              </w:rPr>
              <w:t>جدا بودن از تمکین</w:t>
            </w:r>
            <w:r>
              <w:rPr>
                <w:rStyle w:val="IndexLink"/>
                <w:rtl w:val="true"/>
              </w:rPr>
              <w:tab/>
            </w:r>
            <w:r>
              <w:rPr>
                <w:rStyle w:val="IndexLink"/>
              </w:rPr>
              <w:t>270</w:t>
            </w:r>
          </w:hyperlink>
        </w:p>
        <w:p>
          <w:pPr>
            <w:pStyle w:val="Contents4"/>
            <w:tabs>
              <w:tab w:val="clear" w:pos="8176"/>
              <w:tab w:val="right" w:pos="9026" w:leader="dot"/>
            </w:tabs>
            <w:rPr/>
          </w:pPr>
          <w:hyperlink w:anchor="__RefHeading___Toc7812732_3381743652">
            <w:r>
              <w:rPr>
                <w:webHidden/>
                <w:rStyle w:val="IndexLink"/>
              </w:rPr>
              <w:t>٢</w:t>
            </w:r>
            <w:r>
              <w:rPr>
                <w:rStyle w:val="IndexLink"/>
                <w:rtl w:val="true"/>
              </w:rPr>
              <w:t xml:space="preserve">. </w:t>
            </w:r>
            <w:r>
              <w:rPr>
                <w:rStyle w:val="IndexLink"/>
                <w:rtl w:val="true"/>
              </w:rPr>
              <w:t>موجب اجبار نبودن</w:t>
            </w:r>
            <w:r>
              <w:rPr>
                <w:rStyle w:val="IndexLink"/>
                <w:rtl w:val="true"/>
              </w:rPr>
              <w:tab/>
            </w:r>
            <w:r>
              <w:rPr>
                <w:rStyle w:val="IndexLink"/>
              </w:rPr>
              <w:t>270</w:t>
            </w:r>
          </w:hyperlink>
        </w:p>
        <w:p>
          <w:pPr>
            <w:pStyle w:val="Contents4"/>
            <w:tabs>
              <w:tab w:val="clear" w:pos="8176"/>
              <w:tab w:val="right" w:pos="9026" w:leader="dot"/>
            </w:tabs>
            <w:rPr/>
          </w:pPr>
          <w:hyperlink w:anchor="__RefHeading___Toc7812734_3381743652">
            <w:r>
              <w:rPr>
                <w:webHidden/>
                <w:rStyle w:val="IndexLink"/>
              </w:rPr>
              <w:t>٣</w:t>
            </w:r>
            <w:r>
              <w:rPr>
                <w:rStyle w:val="IndexLink"/>
                <w:rtl w:val="true"/>
              </w:rPr>
              <w:t xml:space="preserve">. </w:t>
            </w:r>
            <w:r>
              <w:rPr>
                <w:rStyle w:val="IndexLink"/>
                <w:rtl w:val="true"/>
              </w:rPr>
              <w:t>آگاهی مکلف به لطف</w:t>
            </w:r>
            <w:r>
              <w:rPr>
                <w:rStyle w:val="IndexLink"/>
                <w:rtl w:val="true"/>
              </w:rPr>
              <w:tab/>
            </w:r>
            <w:r>
              <w:rPr>
                <w:rStyle w:val="IndexLink"/>
              </w:rPr>
              <w:t>271</w:t>
            </w:r>
          </w:hyperlink>
        </w:p>
        <w:p>
          <w:pPr>
            <w:pStyle w:val="Contents4"/>
            <w:tabs>
              <w:tab w:val="clear" w:pos="8176"/>
              <w:tab w:val="right" w:pos="9026" w:leader="dot"/>
            </w:tabs>
            <w:rPr/>
          </w:pPr>
          <w:hyperlink w:anchor="__RefHeading___Toc7812736_3381743652">
            <w:r>
              <w:rPr>
                <w:webHidden/>
                <w:rStyle w:val="IndexLink"/>
              </w:rPr>
              <w:t>۴</w:t>
            </w:r>
            <w:r>
              <w:rPr>
                <w:rStyle w:val="IndexLink"/>
                <w:rtl w:val="true"/>
              </w:rPr>
              <w:t xml:space="preserve">. </w:t>
            </w:r>
            <w:r>
              <w:rPr>
                <w:rStyle w:val="IndexLink"/>
                <w:rtl w:val="true"/>
              </w:rPr>
              <w:t>مناسبت لطف با تکلیف</w:t>
            </w:r>
            <w:r>
              <w:rPr>
                <w:rStyle w:val="IndexLink"/>
                <w:rtl w:val="true"/>
              </w:rPr>
              <w:tab/>
            </w:r>
            <w:r>
              <w:rPr>
                <w:rStyle w:val="IndexLink"/>
              </w:rPr>
              <w:t>272</w:t>
            </w:r>
          </w:hyperlink>
        </w:p>
        <w:p>
          <w:pPr>
            <w:pStyle w:val="Contents3"/>
            <w:tabs>
              <w:tab w:val="clear" w:pos="8459"/>
              <w:tab w:val="right" w:pos="9026" w:leader="dot"/>
            </w:tabs>
            <w:rPr/>
          </w:pPr>
          <w:hyperlink w:anchor="__RefHeading___Toc7812738_3381743652">
            <w:r>
              <w:rPr>
                <w:webHidden/>
                <w:rStyle w:val="IndexLink"/>
                <w:rtl w:val="true"/>
              </w:rPr>
              <w:t>قاعدة اصلح</w:t>
            </w:r>
            <w:r>
              <w:rPr>
                <w:rStyle w:val="IndexLink"/>
                <w:rtl w:val="true"/>
              </w:rPr>
              <w:tab/>
            </w:r>
            <w:r>
              <w:rPr>
                <w:rStyle w:val="IndexLink"/>
              </w:rPr>
              <w:t>272</w:t>
            </w:r>
          </w:hyperlink>
        </w:p>
        <w:p>
          <w:pPr>
            <w:pStyle w:val="Contents4"/>
            <w:tabs>
              <w:tab w:val="clear" w:pos="8176"/>
              <w:tab w:val="right" w:pos="9026" w:leader="dot"/>
            </w:tabs>
            <w:rPr/>
          </w:pPr>
          <w:hyperlink w:anchor="__RefHeading___Toc7812740_3381743652">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7812742_3381743652">
            <w:r>
              <w:rPr>
                <w:webHidden/>
                <w:rStyle w:val="IndexLink"/>
                <w:rtl w:val="true"/>
              </w:rPr>
              <w:t>دیدگاه شیخ طوسی درباره قاعده اصلح</w:t>
            </w:r>
            <w:r>
              <w:rPr>
                <w:rStyle w:val="IndexLink"/>
                <w:rtl w:val="true"/>
              </w:rPr>
              <w:tab/>
            </w:r>
            <w:r>
              <w:rPr>
                <w:rStyle w:val="IndexLink"/>
              </w:rPr>
              <w:t>272</w:t>
            </w:r>
          </w:hyperlink>
        </w:p>
        <w:p>
          <w:pPr>
            <w:pStyle w:val="Contents4"/>
            <w:tabs>
              <w:tab w:val="clear" w:pos="8176"/>
              <w:tab w:val="right" w:pos="9026" w:leader="dot"/>
            </w:tabs>
            <w:rPr/>
          </w:pPr>
          <w:hyperlink w:anchor="__RefHeading___Toc7812744_3381743652">
            <w:r>
              <w:rPr>
                <w:webHidden/>
                <w:rStyle w:val="IndexLink"/>
                <w:rtl w:val="true"/>
              </w:rPr>
              <w:t>دلایل شیخ بر عدم وجوب اصلح در دنیا</w:t>
            </w:r>
            <w:r>
              <w:rPr>
                <w:rStyle w:val="IndexLink"/>
                <w:rtl w:val="true"/>
              </w:rPr>
              <w:tab/>
            </w:r>
            <w:r>
              <w:rPr>
                <w:rStyle w:val="IndexLink"/>
              </w:rPr>
              <w:t>273</w:t>
            </w:r>
          </w:hyperlink>
        </w:p>
        <w:p>
          <w:pPr>
            <w:pStyle w:val="Contents3"/>
            <w:tabs>
              <w:tab w:val="clear" w:pos="8459"/>
              <w:tab w:val="right" w:pos="9026" w:leader="dot"/>
            </w:tabs>
            <w:rPr/>
          </w:pPr>
          <w:hyperlink w:anchor="__RefHeading___Toc7812746_3381743652">
            <w:r>
              <w:rPr>
                <w:webHidden/>
                <w:rStyle w:val="IndexLink"/>
                <w:rtl w:val="true"/>
              </w:rPr>
              <w:t>پیشینه قاعده لطف</w:t>
            </w:r>
            <w:r>
              <w:rPr>
                <w:rStyle w:val="IndexLink"/>
                <w:rtl w:val="true"/>
              </w:rPr>
              <w:tab/>
            </w:r>
            <w:r>
              <w:rPr>
                <w:rStyle w:val="IndexLink"/>
              </w:rPr>
              <w:t>274</w:t>
            </w:r>
          </w:hyperlink>
        </w:p>
        <w:p>
          <w:pPr>
            <w:pStyle w:val="Contents4"/>
            <w:tabs>
              <w:tab w:val="clear" w:pos="8176"/>
              <w:tab w:val="right" w:pos="9026" w:leader="dot"/>
            </w:tabs>
            <w:rPr/>
          </w:pPr>
          <w:hyperlink w:anchor="__RefHeading___Toc7812748_3381743652">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7812750_3381743652">
            <w:r>
              <w:rPr>
                <w:webHidden/>
                <w:rStyle w:val="IndexLink"/>
                <w:rtl w:val="true"/>
              </w:rPr>
              <w:t>دیدگاه شیخ طوسی</w:t>
            </w:r>
            <w:r>
              <w:rPr>
                <w:rStyle w:val="IndexLink"/>
                <w:rtl w:val="true"/>
              </w:rPr>
              <w:tab/>
            </w:r>
            <w:r>
              <w:rPr>
                <w:rStyle w:val="IndexLink"/>
              </w:rPr>
              <w:t>275</w:t>
            </w:r>
          </w:hyperlink>
        </w:p>
        <w:p>
          <w:pPr>
            <w:pStyle w:val="Contents3"/>
            <w:tabs>
              <w:tab w:val="clear" w:pos="8459"/>
              <w:tab w:val="right" w:pos="9026" w:leader="dot"/>
            </w:tabs>
            <w:rPr/>
          </w:pPr>
          <w:hyperlink w:anchor="__RefHeading___Toc7812752_3381743652">
            <w:r>
              <w:rPr>
                <w:webHidden/>
                <w:rStyle w:val="IndexLink"/>
                <w:rtl w:val="true"/>
              </w:rPr>
              <w:t>دلایل قاعده لطف</w:t>
            </w:r>
            <w:r>
              <w:rPr>
                <w:rStyle w:val="IndexLink"/>
                <w:rtl w:val="true"/>
              </w:rPr>
              <w:tab/>
            </w:r>
            <w:r>
              <w:rPr>
                <w:rStyle w:val="IndexLink"/>
              </w:rPr>
              <w:t>276</w:t>
            </w:r>
          </w:hyperlink>
        </w:p>
        <w:p>
          <w:pPr>
            <w:pStyle w:val="Contents4"/>
            <w:tabs>
              <w:tab w:val="clear" w:pos="8176"/>
              <w:tab w:val="right" w:pos="9026" w:leader="dot"/>
            </w:tabs>
            <w:rPr/>
          </w:pPr>
          <w:hyperlink w:anchor="__RefHeading___Toc7812754_3381743652">
            <w:r>
              <w:rPr>
                <w:webHidden/>
                <w:rStyle w:val="IndexLink"/>
                <w:rtl w:val="true"/>
              </w:rPr>
              <w:t>الف</w:t>
            </w:r>
            <w:r>
              <w:rPr>
                <w:rStyle w:val="IndexLink"/>
                <w:rtl w:val="true"/>
              </w:rPr>
              <w:t xml:space="preserve">) </w:t>
            </w:r>
            <w:r>
              <w:rPr>
                <w:rStyle w:val="IndexLink"/>
                <w:rtl w:val="true"/>
              </w:rPr>
              <w:t>دلایل عقلی</w:t>
            </w:r>
            <w:r>
              <w:rPr>
                <w:rStyle w:val="IndexLink"/>
                <w:rtl w:val="true"/>
              </w:rPr>
              <w:tab/>
            </w:r>
            <w:r>
              <w:rPr>
                <w:rStyle w:val="IndexLink"/>
              </w:rPr>
              <w:t>276</w:t>
            </w:r>
          </w:hyperlink>
        </w:p>
        <w:p>
          <w:pPr>
            <w:pStyle w:val="Contents5"/>
            <w:tabs>
              <w:tab w:val="clear" w:pos="7892"/>
              <w:tab w:val="right" w:pos="9026" w:leader="dot"/>
            </w:tabs>
            <w:rPr/>
          </w:pPr>
          <w:hyperlink w:anchor="__RefHeading___Toc7812756_3381743652">
            <w:r>
              <w:rPr>
                <w:webHidden/>
                <w:rStyle w:val="IndexLink"/>
              </w:rPr>
              <w:t>1</w:t>
            </w:r>
            <w:r>
              <w:rPr>
                <w:rStyle w:val="IndexLink"/>
                <w:rtl w:val="true"/>
              </w:rPr>
              <w:t xml:space="preserve">. </w:t>
            </w:r>
            <w:r>
              <w:rPr>
                <w:rStyle w:val="IndexLink"/>
                <w:rtl w:val="true"/>
              </w:rPr>
              <w:t>اصل تکلیف و حکمت</w:t>
            </w:r>
            <w:r>
              <w:rPr>
                <w:rStyle w:val="IndexLink"/>
                <w:rtl w:val="true"/>
              </w:rPr>
              <w:tab/>
            </w:r>
            <w:r>
              <w:rPr>
                <w:rStyle w:val="IndexLink"/>
              </w:rPr>
              <w:t>276</w:t>
            </w:r>
          </w:hyperlink>
        </w:p>
        <w:p>
          <w:pPr>
            <w:pStyle w:val="Contents5"/>
            <w:tabs>
              <w:tab w:val="clear" w:pos="7892"/>
              <w:tab w:val="right" w:pos="9026" w:leader="dot"/>
            </w:tabs>
            <w:rPr/>
          </w:pPr>
          <w:hyperlink w:anchor="__RefHeading___Toc7812758_3381743652">
            <w:r>
              <w:rPr>
                <w:webHidden/>
                <w:rStyle w:val="IndexLink"/>
              </w:rPr>
              <w:t>۲</w:t>
            </w:r>
            <w:r>
              <w:rPr>
                <w:rStyle w:val="IndexLink"/>
                <w:rtl w:val="true"/>
              </w:rPr>
              <w:t xml:space="preserve">. </w:t>
            </w:r>
            <w:r>
              <w:rPr>
                <w:rStyle w:val="IndexLink"/>
                <w:rtl w:val="true"/>
              </w:rPr>
              <w:t>عدل خداوند</w:t>
            </w:r>
            <w:r>
              <w:rPr>
                <w:rStyle w:val="IndexLink"/>
                <w:rtl w:val="true"/>
              </w:rPr>
              <w:tab/>
            </w:r>
            <w:r>
              <w:rPr>
                <w:rStyle w:val="IndexLink"/>
              </w:rPr>
              <w:t>277</w:t>
            </w:r>
          </w:hyperlink>
        </w:p>
        <w:p>
          <w:pPr>
            <w:pStyle w:val="Contents5"/>
            <w:tabs>
              <w:tab w:val="clear" w:pos="7892"/>
              <w:tab w:val="right" w:pos="9026" w:leader="dot"/>
            </w:tabs>
            <w:rPr/>
          </w:pPr>
          <w:hyperlink w:anchor="__RefHeading___Toc7812760_3381743652">
            <w:r>
              <w:rPr>
                <w:webHidden/>
                <w:rStyle w:val="IndexLink"/>
              </w:rPr>
              <w:t>٣</w:t>
            </w:r>
            <w:r>
              <w:rPr>
                <w:rStyle w:val="IndexLink"/>
                <w:rtl w:val="true"/>
              </w:rPr>
              <w:t xml:space="preserve">. </w:t>
            </w:r>
            <w:r>
              <w:rPr>
                <w:rStyle w:val="IndexLink"/>
                <w:rtl w:val="true"/>
              </w:rPr>
              <w:t>جود و کرم خداوند</w:t>
            </w:r>
            <w:r>
              <w:rPr>
                <w:rStyle w:val="IndexLink"/>
                <w:rtl w:val="true"/>
              </w:rPr>
              <w:tab/>
            </w:r>
            <w:r>
              <w:rPr>
                <w:rStyle w:val="IndexLink"/>
              </w:rPr>
              <w:t>277</w:t>
            </w:r>
          </w:hyperlink>
        </w:p>
        <w:p>
          <w:pPr>
            <w:pStyle w:val="Contents5"/>
            <w:tabs>
              <w:tab w:val="clear" w:pos="7892"/>
              <w:tab w:val="right" w:pos="9026" w:leader="dot"/>
            </w:tabs>
            <w:rPr/>
          </w:pPr>
          <w:hyperlink w:anchor="__RefHeading___Toc7812762_3381743652">
            <w:r>
              <w:rPr>
                <w:webHidden/>
                <w:rStyle w:val="IndexLink"/>
              </w:rPr>
              <w:t>۴</w:t>
            </w:r>
            <w:r>
              <w:rPr>
                <w:rStyle w:val="IndexLink"/>
                <w:rtl w:val="true"/>
              </w:rPr>
              <w:t xml:space="preserve">. </w:t>
            </w:r>
            <w:r>
              <w:rPr>
                <w:rStyle w:val="IndexLink"/>
                <w:rtl w:val="true"/>
              </w:rPr>
              <w:t>ترک لطف، لطف در ترک طاعت</w:t>
            </w:r>
            <w:r>
              <w:rPr>
                <w:rStyle w:val="IndexLink"/>
                <w:rtl w:val="true"/>
              </w:rPr>
              <w:tab/>
            </w:r>
            <w:r>
              <w:rPr>
                <w:rStyle w:val="IndexLink"/>
              </w:rPr>
              <w:t>277</w:t>
            </w:r>
          </w:hyperlink>
        </w:p>
        <w:p>
          <w:pPr>
            <w:pStyle w:val="Contents5"/>
            <w:tabs>
              <w:tab w:val="clear" w:pos="7892"/>
              <w:tab w:val="right" w:pos="9026" w:leader="dot"/>
            </w:tabs>
            <w:rPr/>
          </w:pPr>
          <w:hyperlink w:anchor="__RefHeading___Toc7812764_3381743652">
            <w:r>
              <w:rPr>
                <w:webHidden/>
                <w:rStyle w:val="IndexLink"/>
              </w:rPr>
              <w:t>۵</w:t>
            </w:r>
            <w:r>
              <w:rPr>
                <w:rStyle w:val="IndexLink"/>
                <w:rtl w:val="true"/>
              </w:rPr>
              <w:t xml:space="preserve">. </w:t>
            </w:r>
            <w:r>
              <w:rPr>
                <w:rStyle w:val="IndexLink"/>
                <w:rtl w:val="true"/>
              </w:rPr>
              <w:t>داعی بر تکلیف، داعی بر لطف است</w:t>
            </w:r>
            <w:r>
              <w:rPr>
                <w:rStyle w:val="IndexLink"/>
                <w:rtl w:val="true"/>
              </w:rPr>
              <w:tab/>
            </w:r>
            <w:r>
              <w:rPr>
                <w:rStyle w:val="IndexLink"/>
              </w:rPr>
              <w:t>278</w:t>
            </w:r>
          </w:hyperlink>
        </w:p>
        <w:p>
          <w:pPr>
            <w:pStyle w:val="Contents4"/>
            <w:tabs>
              <w:tab w:val="clear" w:pos="8176"/>
              <w:tab w:val="right" w:pos="9026" w:leader="dot"/>
            </w:tabs>
            <w:rPr/>
          </w:pPr>
          <w:hyperlink w:anchor="__RefHeading___Toc7812766_3381743652">
            <w:r>
              <w:rPr>
                <w:webHidden/>
                <w:rStyle w:val="IndexLink"/>
                <w:rtl w:val="true"/>
              </w:rPr>
              <w:t>ب</w:t>
            </w:r>
            <w:r>
              <w:rPr>
                <w:rStyle w:val="IndexLink"/>
                <w:rtl w:val="true"/>
              </w:rPr>
              <w:t xml:space="preserve">) </w:t>
            </w:r>
            <w:r>
              <w:rPr>
                <w:rStyle w:val="IndexLink"/>
                <w:rtl w:val="true"/>
              </w:rPr>
              <w:t>دلایل نقلی</w:t>
            </w:r>
            <w:r>
              <w:rPr>
                <w:rStyle w:val="IndexLink"/>
                <w:rtl w:val="true"/>
              </w:rPr>
              <w:tab/>
            </w:r>
            <w:r>
              <w:rPr>
                <w:rStyle w:val="IndexLink"/>
              </w:rPr>
              <w:t>278</w:t>
            </w:r>
          </w:hyperlink>
        </w:p>
        <w:p>
          <w:pPr>
            <w:pStyle w:val="Contents5"/>
            <w:tabs>
              <w:tab w:val="clear" w:pos="7892"/>
              <w:tab w:val="right" w:pos="9026" w:leader="dot"/>
            </w:tabs>
            <w:rPr/>
          </w:pPr>
          <w:hyperlink w:anchor="__RefHeading___Toc7812768_3381743652">
            <w:r>
              <w:rPr>
                <w:webHidden/>
                <w:rStyle w:val="IndexLink"/>
                <w:rtl w:val="true"/>
              </w:rPr>
              <w:t>قرآن و قاعده لطف</w:t>
            </w:r>
            <w:r>
              <w:rPr>
                <w:rStyle w:val="IndexLink"/>
                <w:rtl w:val="true"/>
              </w:rPr>
              <w:tab/>
            </w:r>
            <w:r>
              <w:rPr>
                <w:rStyle w:val="IndexLink"/>
              </w:rPr>
              <w:t>278</w:t>
            </w:r>
          </w:hyperlink>
        </w:p>
        <w:p>
          <w:pPr>
            <w:pStyle w:val="Contents5"/>
            <w:tabs>
              <w:tab w:val="clear" w:pos="7892"/>
              <w:tab w:val="right" w:pos="9026" w:leader="dot"/>
            </w:tabs>
            <w:rPr/>
          </w:pPr>
          <w:hyperlink w:anchor="__RefHeading___Toc7812770_3381743652">
            <w:r>
              <w:rPr>
                <w:webHidden/>
                <w:rStyle w:val="IndexLink"/>
                <w:rtl w:val="true"/>
              </w:rPr>
              <w:t>سخنان معصومان درباره لطف</w:t>
            </w:r>
            <w:r>
              <w:rPr>
                <w:rStyle w:val="IndexLink"/>
                <w:rtl w:val="true"/>
              </w:rPr>
              <w:tab/>
            </w:r>
            <w:r>
              <w:rPr>
                <w:rStyle w:val="IndexLink"/>
              </w:rPr>
              <w:t>281</w:t>
            </w:r>
          </w:hyperlink>
        </w:p>
        <w:p>
          <w:pPr>
            <w:pStyle w:val="Contents3"/>
            <w:tabs>
              <w:tab w:val="clear" w:pos="8459"/>
              <w:tab w:val="right" w:pos="9026" w:leader="dot"/>
            </w:tabs>
            <w:rPr/>
          </w:pPr>
          <w:hyperlink w:anchor="__RefHeading___Toc7812772_3381743652">
            <w:r>
              <w:rPr>
                <w:webHidden/>
                <w:rStyle w:val="IndexLink"/>
                <w:rtl w:val="true"/>
              </w:rPr>
              <w:t>نقد و بررسی شبهه ها</w:t>
            </w:r>
            <w:r>
              <w:rPr>
                <w:rStyle w:val="IndexLink"/>
                <w:rtl w:val="true"/>
              </w:rPr>
              <w:tab/>
            </w:r>
            <w:r>
              <w:rPr>
                <w:rStyle w:val="IndexLink"/>
              </w:rPr>
              <w:t>282</w:t>
            </w:r>
          </w:hyperlink>
        </w:p>
        <w:p>
          <w:pPr>
            <w:pStyle w:val="Contents3"/>
            <w:tabs>
              <w:tab w:val="clear" w:pos="8459"/>
              <w:tab w:val="right" w:pos="9026" w:leader="dot"/>
            </w:tabs>
            <w:rPr/>
          </w:pPr>
          <w:hyperlink w:anchor="__RefHeading___Toc7812774_3381743652">
            <w:r>
              <w:rPr>
                <w:webHidden/>
                <w:rStyle w:val="IndexLink"/>
                <w:rtl w:val="true"/>
              </w:rPr>
              <w:t>اندیشه لطف از نگاه مسیحیان و شیخ طوسی</w:t>
            </w:r>
            <w:r>
              <w:rPr>
                <w:rStyle w:val="IndexLink"/>
                <w:rtl w:val="true"/>
              </w:rPr>
              <w:tab/>
            </w:r>
            <w:r>
              <w:rPr>
                <w:rStyle w:val="IndexLink"/>
              </w:rPr>
              <w:t>284</w:t>
            </w:r>
          </w:hyperlink>
        </w:p>
        <w:p>
          <w:pPr>
            <w:pStyle w:val="Contents4"/>
            <w:tabs>
              <w:tab w:val="clear" w:pos="8176"/>
              <w:tab w:val="right" w:pos="9026" w:leader="dot"/>
            </w:tabs>
            <w:rPr/>
          </w:pPr>
          <w:hyperlink w:anchor="__RefHeading___Toc7812776_3381743652">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7812778_3381743652">
            <w:r>
              <w:rPr>
                <w:webHidden/>
                <w:rStyle w:val="IndexLink"/>
                <w:rtl w:val="true"/>
              </w:rPr>
              <w:t>وجوه افتراق</w:t>
            </w:r>
            <w:r>
              <w:rPr>
                <w:rStyle w:val="IndexLink"/>
                <w:rtl w:val="true"/>
              </w:rPr>
              <w:tab/>
            </w:r>
            <w:r>
              <w:rPr>
                <w:rStyle w:val="IndexLink"/>
              </w:rPr>
              <w:t>284</w:t>
            </w:r>
          </w:hyperlink>
        </w:p>
        <w:p>
          <w:pPr>
            <w:pStyle w:val="Contents4"/>
            <w:tabs>
              <w:tab w:val="clear" w:pos="8176"/>
              <w:tab w:val="right" w:pos="9026" w:leader="dot"/>
            </w:tabs>
            <w:rPr/>
          </w:pPr>
          <w:hyperlink w:anchor="__RefHeading___Toc7812780_3381743652">
            <w:r>
              <w:rPr>
                <w:webHidden/>
                <w:rStyle w:val="IndexLink"/>
                <w:rtl w:val="true"/>
              </w:rPr>
              <w:t>نقاط اشتراک</w:t>
            </w:r>
            <w:r>
              <w:rPr>
                <w:rStyle w:val="IndexLink"/>
                <w:rtl w:val="true"/>
              </w:rPr>
              <w:tab/>
            </w:r>
            <w:r>
              <w:rPr>
                <w:rStyle w:val="IndexLink"/>
              </w:rPr>
              <w:t>285</w:t>
            </w:r>
          </w:hyperlink>
        </w:p>
        <w:p>
          <w:pPr>
            <w:pStyle w:val="Contents3"/>
            <w:tabs>
              <w:tab w:val="clear" w:pos="8459"/>
              <w:tab w:val="right" w:pos="9026" w:leader="dot"/>
            </w:tabs>
            <w:rPr/>
          </w:pPr>
          <w:hyperlink w:anchor="__RefHeading___Toc7812782_3381743652">
            <w:r>
              <w:rPr>
                <w:webHidden/>
                <w:rStyle w:val="IndexLink"/>
                <w:rtl w:val="true"/>
              </w:rPr>
              <w:t>مصادیق قاعده لطف</w:t>
            </w:r>
            <w:r>
              <w:rPr>
                <w:rStyle w:val="IndexLink"/>
                <w:rtl w:val="true"/>
              </w:rPr>
              <w:tab/>
            </w:r>
            <w:r>
              <w:rPr>
                <w:rStyle w:val="IndexLink"/>
              </w:rPr>
              <w:t>286</w:t>
            </w:r>
          </w:hyperlink>
        </w:p>
        <w:p>
          <w:pPr>
            <w:pStyle w:val="Contents4"/>
            <w:tabs>
              <w:tab w:val="clear" w:pos="8176"/>
              <w:tab w:val="right" w:pos="9026" w:leader="dot"/>
            </w:tabs>
            <w:rPr/>
          </w:pPr>
          <w:hyperlink w:anchor="__RefHeading___Toc7812784_3381743652">
            <w:r>
              <w:rPr>
                <w:webHidden/>
                <w:rStyle w:val="IndexLink"/>
              </w:rPr>
              <w:t>١</w:t>
            </w:r>
            <w:r>
              <w:rPr>
                <w:rStyle w:val="IndexLink"/>
                <w:rtl w:val="true"/>
              </w:rPr>
              <w:t xml:space="preserve">. </w:t>
            </w:r>
            <w:r>
              <w:rPr>
                <w:rStyle w:val="IndexLink"/>
                <w:rtl w:val="true"/>
              </w:rPr>
              <w:t>نبوت</w:t>
            </w:r>
            <w:r>
              <w:rPr>
                <w:rStyle w:val="IndexLink"/>
                <w:rtl w:val="true"/>
              </w:rPr>
              <w:tab/>
            </w:r>
            <w:r>
              <w:rPr>
                <w:rStyle w:val="IndexLink"/>
              </w:rPr>
              <w:t>286</w:t>
            </w:r>
          </w:hyperlink>
        </w:p>
        <w:p>
          <w:pPr>
            <w:pStyle w:val="Contents4"/>
            <w:tabs>
              <w:tab w:val="clear" w:pos="8176"/>
              <w:tab w:val="right" w:pos="9026" w:leader="dot"/>
            </w:tabs>
            <w:rPr/>
          </w:pPr>
          <w:hyperlink w:anchor="__RefHeading___Toc7812786_3381743652">
            <w:r>
              <w:rPr>
                <w:webHidden/>
                <w:rStyle w:val="IndexLink"/>
              </w:rPr>
              <w:t>۲</w:t>
            </w:r>
            <w:r>
              <w:rPr>
                <w:rStyle w:val="IndexLink"/>
                <w:rtl w:val="true"/>
              </w:rPr>
              <w:t xml:space="preserve">. </w:t>
            </w:r>
            <w:r>
              <w:rPr>
                <w:rStyle w:val="IndexLink"/>
                <w:rtl w:val="true"/>
              </w:rPr>
              <w:t>عصمت پیامبران</w:t>
            </w:r>
            <w:r>
              <w:rPr>
                <w:rStyle w:val="IndexLink"/>
                <w:rtl w:val="true"/>
              </w:rPr>
              <w:tab/>
            </w:r>
            <w:r>
              <w:rPr>
                <w:rStyle w:val="IndexLink"/>
              </w:rPr>
              <w:t>287</w:t>
            </w:r>
          </w:hyperlink>
        </w:p>
        <w:p>
          <w:pPr>
            <w:pStyle w:val="Contents4"/>
            <w:tabs>
              <w:tab w:val="clear" w:pos="8176"/>
              <w:tab w:val="right" w:pos="9026" w:leader="dot"/>
            </w:tabs>
            <w:rPr/>
          </w:pPr>
          <w:hyperlink w:anchor="__RefHeading___Toc7812788_3381743652">
            <w:r>
              <w:rPr>
                <w:webHidden/>
                <w:rStyle w:val="IndexLink"/>
              </w:rPr>
              <w:t>٣</w:t>
            </w:r>
            <w:r>
              <w:rPr>
                <w:rStyle w:val="IndexLink"/>
                <w:rtl w:val="true"/>
              </w:rPr>
              <w:t xml:space="preserve">. </w:t>
            </w:r>
            <w:r>
              <w:rPr>
                <w:rStyle w:val="IndexLink"/>
                <w:rtl w:val="true"/>
              </w:rPr>
              <w:t>امامت</w:t>
            </w:r>
            <w:r>
              <w:rPr>
                <w:rStyle w:val="IndexLink"/>
                <w:rtl w:val="true"/>
              </w:rPr>
              <w:tab/>
            </w:r>
            <w:r>
              <w:rPr>
                <w:rStyle w:val="IndexLink"/>
              </w:rPr>
              <w:t>288</w:t>
            </w:r>
          </w:hyperlink>
        </w:p>
        <w:p>
          <w:pPr>
            <w:pStyle w:val="Contents4"/>
            <w:tabs>
              <w:tab w:val="clear" w:pos="8176"/>
              <w:tab w:val="right" w:pos="9026" w:leader="dot"/>
            </w:tabs>
            <w:rPr/>
          </w:pPr>
          <w:hyperlink w:anchor="__RefHeading___Toc7812790_3381743652">
            <w:r>
              <w:rPr>
                <w:webHidden/>
                <w:rStyle w:val="IndexLink"/>
              </w:rPr>
              <w:t>۴</w:t>
            </w:r>
            <w:r>
              <w:rPr>
                <w:rStyle w:val="IndexLink"/>
                <w:rtl w:val="true"/>
              </w:rPr>
              <w:t xml:space="preserve">. </w:t>
            </w:r>
            <w:r>
              <w:rPr>
                <w:rStyle w:val="IndexLink"/>
                <w:rtl w:val="true"/>
              </w:rPr>
              <w:t>عصمت امام</w:t>
            </w:r>
            <w:r>
              <w:rPr>
                <w:rStyle w:val="IndexLink"/>
                <w:rtl w:val="true"/>
              </w:rPr>
              <w:tab/>
            </w:r>
            <w:r>
              <w:rPr>
                <w:rStyle w:val="IndexLink"/>
              </w:rPr>
              <w:t>293</w:t>
            </w:r>
          </w:hyperlink>
        </w:p>
        <w:p>
          <w:pPr>
            <w:pStyle w:val="Contents4"/>
            <w:tabs>
              <w:tab w:val="clear" w:pos="8176"/>
              <w:tab w:val="right" w:pos="9026" w:leader="dot"/>
            </w:tabs>
            <w:rPr/>
          </w:pPr>
          <w:hyperlink w:anchor="__RefHeading___Toc7812792_3381743652">
            <w:r>
              <w:rPr>
                <w:webHidden/>
                <w:rStyle w:val="IndexLink"/>
              </w:rPr>
              <w:t>۵</w:t>
            </w:r>
            <w:r>
              <w:rPr>
                <w:rStyle w:val="IndexLink"/>
                <w:rtl w:val="true"/>
              </w:rPr>
              <w:t xml:space="preserve">. </w:t>
            </w:r>
            <w:r>
              <w:rPr>
                <w:rStyle w:val="IndexLink"/>
                <w:rtl w:val="true"/>
              </w:rPr>
              <w:t>وعده و وعید</w:t>
            </w:r>
            <w:r>
              <w:rPr>
                <w:rStyle w:val="IndexLink"/>
                <w:rtl w:val="true"/>
              </w:rPr>
              <w:tab/>
            </w:r>
            <w:r>
              <w:rPr>
                <w:rStyle w:val="IndexLink"/>
              </w:rPr>
              <w:t>294</w:t>
            </w:r>
          </w:hyperlink>
        </w:p>
        <w:p>
          <w:pPr>
            <w:pStyle w:val="Contents4"/>
            <w:tabs>
              <w:tab w:val="clear" w:pos="8176"/>
              <w:tab w:val="right" w:pos="9026" w:leader="dot"/>
            </w:tabs>
            <w:rPr/>
          </w:pPr>
          <w:hyperlink w:anchor="__RefHeading___Toc7812794_3381743652">
            <w:r>
              <w:rPr>
                <w:webHidden/>
                <w:rStyle w:val="IndexLink"/>
              </w:rPr>
              <w:t>۶</w:t>
            </w:r>
            <w:r>
              <w:rPr>
                <w:rStyle w:val="IndexLink"/>
                <w:rtl w:val="true"/>
              </w:rPr>
              <w:t xml:space="preserve">. </w:t>
            </w:r>
            <w:r>
              <w:rPr>
                <w:rStyle w:val="IndexLink"/>
                <w:rtl w:val="true"/>
              </w:rPr>
              <w:t>آلام ابتدایی</w:t>
            </w:r>
            <w:r>
              <w:rPr>
                <w:rStyle w:val="IndexLink"/>
                <w:rtl w:val="true"/>
              </w:rPr>
              <w:tab/>
            </w:r>
            <w:r>
              <w:rPr>
                <w:rStyle w:val="IndexLink"/>
              </w:rPr>
              <w:t>294</w:t>
            </w:r>
          </w:hyperlink>
        </w:p>
        <w:p>
          <w:pPr>
            <w:pStyle w:val="Contents4"/>
            <w:tabs>
              <w:tab w:val="clear" w:pos="8176"/>
              <w:tab w:val="right" w:pos="9026" w:leader="dot"/>
            </w:tabs>
            <w:rPr/>
          </w:pPr>
          <w:hyperlink w:anchor="__RefHeading___Toc7812796_3381743652">
            <w:r>
              <w:rPr>
                <w:webHidden/>
                <w:rStyle w:val="IndexLink"/>
              </w:rPr>
              <w:t>۷</w:t>
            </w:r>
            <w:r>
              <w:rPr>
                <w:rStyle w:val="IndexLink"/>
                <w:rtl w:val="true"/>
              </w:rPr>
              <w:t xml:space="preserve">. </w:t>
            </w:r>
            <w:r>
              <w:rPr>
                <w:rStyle w:val="IndexLink"/>
                <w:rtl w:val="true"/>
              </w:rPr>
              <w:t>قاعده لطف در وجوب تکالیف شرعی</w:t>
            </w:r>
            <w:r>
              <w:rPr>
                <w:rStyle w:val="IndexLink"/>
                <w:rtl w:val="true"/>
              </w:rPr>
              <w:tab/>
            </w:r>
            <w:r>
              <w:rPr>
                <w:rStyle w:val="IndexLink"/>
              </w:rPr>
              <w:t>295</w:t>
            </w:r>
          </w:hyperlink>
        </w:p>
        <w:p>
          <w:pPr>
            <w:pStyle w:val="Contents4"/>
            <w:tabs>
              <w:tab w:val="clear" w:pos="8176"/>
              <w:tab w:val="right" w:pos="9026" w:leader="dot"/>
            </w:tabs>
            <w:rPr/>
          </w:pPr>
          <w:hyperlink w:anchor="__RefHeading___Toc7812798_3381743652">
            <w:r>
              <w:rPr>
                <w:webHidden/>
                <w:rStyle w:val="IndexLink"/>
              </w:rPr>
              <w:t>۸</w:t>
            </w:r>
            <w:r>
              <w:rPr>
                <w:rStyle w:val="IndexLink"/>
                <w:rtl w:val="true"/>
              </w:rPr>
              <w:t xml:space="preserve">. </w:t>
            </w:r>
            <w:r>
              <w:rPr>
                <w:rStyle w:val="IndexLink"/>
                <w:rtl w:val="true"/>
              </w:rPr>
              <w:t>قاعده لطف و حجیت اجماع</w:t>
            </w:r>
            <w:r>
              <w:rPr>
                <w:rStyle w:val="IndexLink"/>
                <w:rtl w:val="true"/>
              </w:rPr>
              <w:tab/>
            </w:r>
            <w:r>
              <w:rPr>
                <w:rStyle w:val="IndexLink"/>
              </w:rPr>
              <w:t>296</w:t>
            </w:r>
          </w:hyperlink>
        </w:p>
        <w:p>
          <w:pPr>
            <w:pStyle w:val="Contents2"/>
            <w:tabs>
              <w:tab w:val="clear" w:pos="8743"/>
              <w:tab w:val="right" w:pos="9026" w:leader="dot"/>
            </w:tabs>
            <w:rPr/>
          </w:pPr>
          <w:hyperlink w:anchor="__RefHeading___Toc7812800_3381743652">
            <w:r>
              <w:rPr>
                <w:webHidden/>
                <w:rStyle w:val="IndexLink"/>
                <w:rtl w:val="true"/>
              </w:rPr>
              <w:t>جبر و اختیار</w:t>
            </w:r>
            <w:r>
              <w:rPr>
                <w:rStyle w:val="IndexLink"/>
                <w:rtl w:val="true"/>
              </w:rPr>
              <w:tab/>
            </w:r>
            <w:r>
              <w:rPr>
                <w:rStyle w:val="IndexLink"/>
              </w:rPr>
              <w:t>297</w:t>
            </w:r>
          </w:hyperlink>
        </w:p>
        <w:p>
          <w:pPr>
            <w:pStyle w:val="Contents3"/>
            <w:tabs>
              <w:tab w:val="clear" w:pos="8459"/>
              <w:tab w:val="right" w:pos="9026" w:leader="dot"/>
            </w:tabs>
            <w:rPr/>
          </w:pPr>
          <w:hyperlink w:anchor="__RefHeading___Toc7812802_3381743652">
            <w:r>
              <w:rPr>
                <w:webHidden/>
                <w:rStyle w:val="IndexLink"/>
                <w:rtl w:val="true"/>
              </w:rPr>
              <w:t>مقدمه</w:t>
            </w:r>
            <w:r>
              <w:rPr>
                <w:rStyle w:val="IndexLink"/>
                <w:rtl w:val="true"/>
              </w:rPr>
              <w:tab/>
            </w:r>
            <w:r>
              <w:rPr>
                <w:rStyle w:val="IndexLink"/>
              </w:rPr>
              <w:t>297</w:t>
            </w:r>
          </w:hyperlink>
        </w:p>
        <w:p>
          <w:pPr>
            <w:pStyle w:val="Contents3"/>
            <w:tabs>
              <w:tab w:val="clear" w:pos="8459"/>
              <w:tab w:val="right" w:pos="9026" w:leader="dot"/>
            </w:tabs>
            <w:rPr/>
          </w:pPr>
          <w:hyperlink w:anchor="__RefHeading___Toc7812804_3381743652">
            <w:r>
              <w:rPr>
                <w:webHidden/>
                <w:rStyle w:val="IndexLink"/>
                <w:rtl w:val="true"/>
              </w:rPr>
              <w:t>مفردات بحث</w:t>
            </w:r>
            <w:r>
              <w:rPr>
                <w:rStyle w:val="IndexLink"/>
                <w:rtl w:val="true"/>
              </w:rPr>
              <w:tab/>
            </w:r>
            <w:r>
              <w:rPr>
                <w:rStyle w:val="IndexLink"/>
              </w:rPr>
              <w:t>298</w:t>
            </w:r>
          </w:hyperlink>
        </w:p>
        <w:p>
          <w:pPr>
            <w:pStyle w:val="Contents4"/>
            <w:tabs>
              <w:tab w:val="clear" w:pos="8176"/>
              <w:tab w:val="right" w:pos="9026" w:leader="dot"/>
            </w:tabs>
            <w:rPr/>
          </w:pPr>
          <w:hyperlink w:anchor="__RefHeading___Toc7812806_3381743652">
            <w:r>
              <w:rPr>
                <w:webHidden/>
                <w:rStyle w:val="IndexLink"/>
                <w:rtl w:val="true"/>
              </w:rPr>
              <w:t>معنای لغوی جبر</w:t>
            </w:r>
            <w:r>
              <w:rPr>
                <w:rStyle w:val="IndexLink"/>
                <w:rtl w:val="true"/>
              </w:rPr>
              <w:tab/>
            </w:r>
            <w:r>
              <w:rPr>
                <w:rStyle w:val="IndexLink"/>
              </w:rPr>
              <w:t>298</w:t>
            </w:r>
          </w:hyperlink>
        </w:p>
        <w:p>
          <w:pPr>
            <w:pStyle w:val="Contents4"/>
            <w:tabs>
              <w:tab w:val="clear" w:pos="8176"/>
              <w:tab w:val="right" w:pos="9026" w:leader="dot"/>
            </w:tabs>
            <w:rPr/>
          </w:pPr>
          <w:hyperlink w:anchor="__RefHeading___Toc7812808_3381743652">
            <w:r>
              <w:rPr>
                <w:webHidden/>
                <w:rStyle w:val="IndexLink"/>
                <w:rtl w:val="true"/>
              </w:rPr>
              <w:t>معنای اصطلاحی جبر</w:t>
            </w:r>
            <w:r>
              <w:rPr>
                <w:rStyle w:val="IndexLink"/>
                <w:rtl w:val="true"/>
              </w:rPr>
              <w:tab/>
            </w:r>
            <w:r>
              <w:rPr>
                <w:rStyle w:val="IndexLink"/>
              </w:rPr>
              <w:t>298</w:t>
            </w:r>
          </w:hyperlink>
        </w:p>
        <w:p>
          <w:pPr>
            <w:pStyle w:val="Contents4"/>
            <w:tabs>
              <w:tab w:val="clear" w:pos="8176"/>
              <w:tab w:val="right" w:pos="9026" w:leader="dot"/>
            </w:tabs>
            <w:rPr/>
          </w:pPr>
          <w:hyperlink w:anchor="__RefHeading___Toc7812810_3381743652">
            <w:r>
              <w:rPr>
                <w:webHidden/>
                <w:rStyle w:val="IndexLink"/>
                <w:rtl w:val="true"/>
              </w:rPr>
              <w:t>معرفی جبریه</w:t>
            </w:r>
            <w:r>
              <w:rPr>
                <w:rStyle w:val="IndexLink"/>
                <w:rtl w:val="true"/>
              </w:rPr>
              <w:tab/>
            </w:r>
            <w:r>
              <w:rPr>
                <w:rStyle w:val="IndexLink"/>
              </w:rPr>
              <w:t>299</w:t>
            </w:r>
          </w:hyperlink>
        </w:p>
        <w:p>
          <w:pPr>
            <w:pStyle w:val="Contents4"/>
            <w:tabs>
              <w:tab w:val="clear" w:pos="8176"/>
              <w:tab w:val="right" w:pos="9026" w:leader="dot"/>
            </w:tabs>
            <w:rPr/>
          </w:pPr>
          <w:hyperlink w:anchor="__RefHeading___Toc7812812_3381743652">
            <w:r>
              <w:rPr>
                <w:webHidden/>
                <w:rStyle w:val="IndexLink"/>
                <w:rtl w:val="true"/>
              </w:rPr>
              <w:t>معنای لغوی تفویض</w:t>
            </w:r>
            <w:r>
              <w:rPr>
                <w:rStyle w:val="IndexLink"/>
                <w:rtl w:val="true"/>
              </w:rPr>
              <w:tab/>
            </w:r>
            <w:r>
              <w:rPr>
                <w:rStyle w:val="IndexLink"/>
              </w:rPr>
              <w:t>299</w:t>
            </w:r>
          </w:hyperlink>
        </w:p>
        <w:p>
          <w:pPr>
            <w:pStyle w:val="Contents4"/>
            <w:tabs>
              <w:tab w:val="clear" w:pos="8176"/>
              <w:tab w:val="right" w:pos="9026" w:leader="dot"/>
            </w:tabs>
            <w:rPr/>
          </w:pPr>
          <w:hyperlink w:anchor="__RefHeading___Toc7812814_3381743652">
            <w:r>
              <w:rPr>
                <w:webHidden/>
                <w:rStyle w:val="IndexLink"/>
                <w:rtl w:val="true"/>
              </w:rPr>
              <w:t>معنای اصطلاحی تفویض</w:t>
            </w:r>
            <w:r>
              <w:rPr>
                <w:rStyle w:val="IndexLink"/>
                <w:rtl w:val="true"/>
              </w:rPr>
              <w:tab/>
            </w:r>
            <w:r>
              <w:rPr>
                <w:rStyle w:val="IndexLink"/>
              </w:rPr>
              <w:t>299</w:t>
            </w:r>
          </w:hyperlink>
        </w:p>
        <w:p>
          <w:pPr>
            <w:pStyle w:val="Contents4"/>
            <w:tabs>
              <w:tab w:val="clear" w:pos="8176"/>
              <w:tab w:val="right" w:pos="9026" w:leader="dot"/>
            </w:tabs>
            <w:rPr/>
          </w:pPr>
          <w:hyperlink w:anchor="__RefHeading___Toc7812816_3381743652">
            <w:r>
              <w:rPr>
                <w:webHidden/>
                <w:rStyle w:val="IndexLink"/>
                <w:rtl w:val="true"/>
              </w:rPr>
              <w:t>معرفی مفوضه</w:t>
            </w:r>
            <w:r>
              <w:rPr>
                <w:rStyle w:val="IndexLink"/>
                <w:rtl w:val="true"/>
              </w:rPr>
              <w:tab/>
            </w:r>
            <w:r>
              <w:rPr>
                <w:rStyle w:val="IndexLink"/>
              </w:rPr>
              <w:t>300</w:t>
            </w:r>
          </w:hyperlink>
        </w:p>
        <w:p>
          <w:pPr>
            <w:pStyle w:val="Contents4"/>
            <w:tabs>
              <w:tab w:val="clear" w:pos="8176"/>
              <w:tab w:val="right" w:pos="9026" w:leader="dot"/>
            </w:tabs>
            <w:rPr/>
          </w:pPr>
          <w:hyperlink w:anchor="__RefHeading___Toc7812818_3381743652">
            <w:r>
              <w:rPr>
                <w:webHidden/>
                <w:rStyle w:val="IndexLink"/>
                <w:rtl w:val="true"/>
              </w:rPr>
              <w:t>معنای قضا از نظر شیخ طوسی</w:t>
            </w:r>
            <w:r>
              <w:rPr>
                <w:rStyle w:val="IndexLink"/>
                <w:rtl w:val="true"/>
              </w:rPr>
              <w:tab/>
            </w:r>
            <w:r>
              <w:rPr>
                <w:rStyle w:val="IndexLink"/>
              </w:rPr>
              <w:t>300</w:t>
            </w:r>
          </w:hyperlink>
        </w:p>
        <w:p>
          <w:pPr>
            <w:pStyle w:val="Contents4"/>
            <w:tabs>
              <w:tab w:val="clear" w:pos="8176"/>
              <w:tab w:val="right" w:pos="9026" w:leader="dot"/>
            </w:tabs>
            <w:rPr/>
          </w:pPr>
          <w:hyperlink w:anchor="__RefHeading___Toc7812820_3381743652">
            <w:r>
              <w:rPr>
                <w:webHidden/>
                <w:rStyle w:val="IndexLink"/>
                <w:rtl w:val="true"/>
              </w:rPr>
              <w:t>معنای قدر از نظر شیخ طوسی</w:t>
            </w:r>
            <w:r>
              <w:rPr>
                <w:rStyle w:val="IndexLink"/>
                <w:rtl w:val="true"/>
              </w:rPr>
              <w:tab/>
            </w:r>
            <w:r>
              <w:rPr>
                <w:rStyle w:val="IndexLink"/>
              </w:rPr>
              <w:t>300</w:t>
            </w:r>
          </w:hyperlink>
        </w:p>
        <w:p>
          <w:pPr>
            <w:pStyle w:val="Contents4"/>
            <w:tabs>
              <w:tab w:val="clear" w:pos="8176"/>
              <w:tab w:val="right" w:pos="9026" w:leader="dot"/>
            </w:tabs>
            <w:rPr/>
          </w:pPr>
          <w:hyperlink w:anchor="__RefHeading___Toc7812822_3381743652">
            <w:r>
              <w:rPr>
                <w:webHidden/>
                <w:rStyle w:val="IndexLink"/>
                <w:rtl w:val="true"/>
              </w:rPr>
              <w:t xml:space="preserve">معنای </w:t>
            </w:r>
            <w:r>
              <w:rPr>
                <w:rStyle w:val="IndexLink"/>
                <w:rtl w:val="true"/>
              </w:rPr>
              <w:t>«</w:t>
            </w:r>
            <w:r>
              <w:rPr>
                <w:rStyle w:val="IndexLink"/>
                <w:rtl w:val="true"/>
              </w:rPr>
              <w:t>امر بین الأمرین</w:t>
            </w:r>
            <w:r>
              <w:rPr>
                <w:rStyle w:val="IndexLink"/>
                <w:rtl w:val="true"/>
              </w:rPr>
              <w:t>»</w:t>
              <w:tab/>
            </w:r>
            <w:r>
              <w:rPr>
                <w:rStyle w:val="IndexLink"/>
              </w:rPr>
              <w:t>301</w:t>
            </w:r>
          </w:hyperlink>
        </w:p>
        <w:p>
          <w:pPr>
            <w:pStyle w:val="Contents3"/>
            <w:tabs>
              <w:tab w:val="clear" w:pos="8459"/>
              <w:tab w:val="right" w:pos="9026" w:leader="dot"/>
            </w:tabs>
            <w:rPr/>
          </w:pPr>
          <w:hyperlink w:anchor="__RefHeading___Toc7812824_3381743652">
            <w:r>
              <w:rPr>
                <w:webHidden/>
                <w:rStyle w:val="IndexLink"/>
                <w:rtl w:val="true"/>
              </w:rPr>
              <w:t>پیشینه کلامی بحث</w:t>
            </w:r>
            <w:r>
              <w:rPr>
                <w:rStyle w:val="IndexLink"/>
                <w:rtl w:val="true"/>
              </w:rPr>
              <w:tab/>
            </w:r>
            <w:r>
              <w:rPr>
                <w:rStyle w:val="IndexLink"/>
              </w:rPr>
              <w:t>301</w:t>
            </w:r>
          </w:hyperlink>
        </w:p>
        <w:p>
          <w:pPr>
            <w:pStyle w:val="Contents3"/>
            <w:tabs>
              <w:tab w:val="clear" w:pos="8459"/>
              <w:tab w:val="right" w:pos="9026" w:leader="dot"/>
            </w:tabs>
            <w:rPr/>
          </w:pPr>
          <w:hyperlink w:anchor="__RefHeading___Toc7812826_3381743652">
            <w:r>
              <w:rPr>
                <w:webHidden/>
                <w:rStyle w:val="IndexLink"/>
                <w:rtl w:val="true"/>
              </w:rPr>
              <w:t>نظر شیخ طوسی درباره جبر</w:t>
            </w:r>
            <w:r>
              <w:rPr>
                <w:rStyle w:val="IndexLink"/>
                <w:rtl w:val="true"/>
              </w:rPr>
              <w:tab/>
            </w:r>
            <w:r>
              <w:rPr>
                <w:rStyle w:val="IndexLink"/>
              </w:rPr>
              <w:t>304</w:t>
            </w:r>
          </w:hyperlink>
        </w:p>
        <w:p>
          <w:pPr>
            <w:pStyle w:val="Contents4"/>
            <w:tabs>
              <w:tab w:val="clear" w:pos="8176"/>
              <w:tab w:val="right" w:pos="9026" w:leader="dot"/>
            </w:tabs>
            <w:rPr/>
          </w:pPr>
          <w:hyperlink w:anchor="__RefHeading___Toc7812828_3381743652">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7812830_3381743652">
            <w:r>
              <w:rPr>
                <w:webHidden/>
                <w:rStyle w:val="IndexLink"/>
                <w:rtl w:val="true"/>
              </w:rPr>
              <w:t>ادله عقلی شیخ در رد دیدگاه جبرانگاری اشاعره</w:t>
            </w:r>
            <w:r>
              <w:rPr>
                <w:rStyle w:val="IndexLink"/>
                <w:rtl w:val="true"/>
              </w:rPr>
              <w:tab/>
            </w:r>
            <w:r>
              <w:rPr>
                <w:rStyle w:val="IndexLink"/>
              </w:rPr>
              <w:t>304</w:t>
            </w:r>
          </w:hyperlink>
        </w:p>
        <w:p>
          <w:pPr>
            <w:pStyle w:val="Contents4"/>
            <w:tabs>
              <w:tab w:val="clear" w:pos="8176"/>
              <w:tab w:val="right" w:pos="9026" w:leader="dot"/>
            </w:tabs>
            <w:rPr/>
          </w:pPr>
          <w:hyperlink w:anchor="__RefHeading___Toc7812832_3381743652">
            <w:r>
              <w:rPr>
                <w:webHidden/>
                <w:rStyle w:val="IndexLink"/>
                <w:rtl w:val="true"/>
              </w:rPr>
              <w:t>استدلال شیخ طوسی به آیات قرآن کریم و نقد استدلال اشاعره</w:t>
            </w:r>
            <w:r>
              <w:rPr>
                <w:rStyle w:val="IndexLink"/>
                <w:rtl w:val="true"/>
              </w:rPr>
              <w:tab/>
            </w:r>
            <w:r>
              <w:rPr>
                <w:rStyle w:val="IndexLink"/>
              </w:rPr>
              <w:t>305</w:t>
            </w:r>
          </w:hyperlink>
        </w:p>
        <w:p>
          <w:pPr>
            <w:pStyle w:val="Contents4"/>
            <w:tabs>
              <w:tab w:val="clear" w:pos="8176"/>
              <w:tab w:val="right" w:pos="9026" w:leader="dot"/>
            </w:tabs>
            <w:rPr/>
          </w:pPr>
          <w:hyperlink w:anchor="__RefHeading___Toc7812834_3381743652">
            <w:r>
              <w:rPr>
                <w:webHidden/>
                <w:rStyle w:val="IndexLink"/>
                <w:rtl w:val="true"/>
              </w:rPr>
              <w:t>ادله عقلی بر رد دیدگاه مجبره</w:t>
            </w:r>
            <w:r>
              <w:rPr>
                <w:rStyle w:val="IndexLink"/>
                <w:rtl w:val="true"/>
              </w:rPr>
              <w:tab/>
            </w:r>
            <w:r>
              <w:rPr>
                <w:rStyle w:val="IndexLink"/>
              </w:rPr>
              <w:t>314</w:t>
            </w:r>
          </w:hyperlink>
        </w:p>
        <w:p>
          <w:pPr>
            <w:pStyle w:val="Contents3"/>
            <w:tabs>
              <w:tab w:val="clear" w:pos="8459"/>
              <w:tab w:val="right" w:pos="9026" w:leader="dot"/>
            </w:tabs>
            <w:rPr/>
          </w:pPr>
          <w:hyperlink w:anchor="__RefHeading___Toc7812836_3381743652">
            <w:r>
              <w:rPr>
                <w:webHidden/>
                <w:rStyle w:val="IndexLink"/>
                <w:rtl w:val="true"/>
              </w:rPr>
              <w:t>نظر شیخ طوسی درباره کسب</w:t>
            </w:r>
            <w:r>
              <w:rPr>
                <w:rStyle w:val="IndexLink"/>
                <w:rtl w:val="true"/>
              </w:rPr>
              <w:tab/>
            </w:r>
            <w:r>
              <w:rPr>
                <w:rStyle w:val="IndexLink"/>
              </w:rPr>
              <w:t>315</w:t>
            </w:r>
          </w:hyperlink>
        </w:p>
        <w:p>
          <w:pPr>
            <w:pStyle w:val="Contents3"/>
            <w:tabs>
              <w:tab w:val="clear" w:pos="8459"/>
              <w:tab w:val="right" w:pos="9026" w:leader="dot"/>
            </w:tabs>
            <w:rPr/>
          </w:pPr>
          <w:hyperlink w:anchor="__RefHeading___Toc7812838_3381743652">
            <w:r>
              <w:rPr>
                <w:webHidden/>
                <w:rStyle w:val="IndexLink"/>
                <w:rtl w:val="true"/>
              </w:rPr>
              <w:t>نظر شیخ طوسی درباره تفویض</w:t>
            </w:r>
            <w:r>
              <w:rPr>
                <w:rStyle w:val="IndexLink"/>
                <w:rtl w:val="true"/>
              </w:rPr>
              <w:tab/>
            </w:r>
            <w:r>
              <w:rPr>
                <w:rStyle w:val="IndexLink"/>
              </w:rPr>
              <w:t>318</w:t>
            </w:r>
          </w:hyperlink>
        </w:p>
        <w:p>
          <w:pPr>
            <w:pStyle w:val="Contents3"/>
            <w:tabs>
              <w:tab w:val="clear" w:pos="8459"/>
              <w:tab w:val="right" w:pos="9026" w:leader="dot"/>
            </w:tabs>
            <w:rPr/>
          </w:pPr>
          <w:hyperlink w:anchor="__RefHeading___Toc7812840_3381743652">
            <w:r>
              <w:rPr>
                <w:webHidden/>
                <w:rStyle w:val="IndexLink"/>
                <w:rtl w:val="true"/>
              </w:rPr>
              <w:t>نفی جبر و تفویض و بیان امر بین أمرین در روایات</w:t>
            </w:r>
            <w:r>
              <w:rPr>
                <w:rStyle w:val="IndexLink"/>
                <w:rtl w:val="true"/>
              </w:rPr>
              <w:tab/>
            </w:r>
            <w:r>
              <w:rPr>
                <w:rStyle w:val="IndexLink"/>
              </w:rPr>
              <w:t>320</w:t>
            </w:r>
          </w:hyperlink>
        </w:p>
        <w:p>
          <w:pPr>
            <w:pStyle w:val="Contents4"/>
            <w:tabs>
              <w:tab w:val="clear" w:pos="8176"/>
              <w:tab w:val="right" w:pos="9026" w:leader="dot"/>
            </w:tabs>
            <w:rPr/>
          </w:pPr>
          <w:hyperlink w:anchor="__RefHeading___Toc7812842_3381743652">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7812844_3381743652">
            <w:r>
              <w:rPr>
                <w:webHidden/>
                <w:rStyle w:val="IndexLink"/>
                <w:rtl w:val="true"/>
              </w:rPr>
              <w:t>بطلان نظریة تفویض</w:t>
            </w:r>
            <w:r>
              <w:rPr>
                <w:rStyle w:val="IndexLink"/>
                <w:rtl w:val="true"/>
              </w:rPr>
              <w:tab/>
            </w:r>
            <w:r>
              <w:rPr>
                <w:rStyle w:val="IndexLink"/>
              </w:rPr>
              <w:t>321</w:t>
            </w:r>
          </w:hyperlink>
        </w:p>
        <w:p>
          <w:pPr>
            <w:pStyle w:val="Contents2"/>
            <w:tabs>
              <w:tab w:val="clear" w:pos="8743"/>
              <w:tab w:val="right" w:pos="9026" w:leader="dot"/>
            </w:tabs>
            <w:rPr/>
          </w:pPr>
          <w:hyperlink w:anchor="__RefHeading___Toc7812846_3381743652">
            <w:r>
              <w:rPr>
                <w:webHidden/>
                <w:rStyle w:val="IndexLink"/>
                <w:rtl w:val="true"/>
              </w:rPr>
              <w:t>فهرست اعلام</w:t>
            </w:r>
            <w:r>
              <w:rPr>
                <w:rStyle w:val="IndexLink"/>
                <w:rtl w:val="true"/>
              </w:rPr>
              <w:tab/>
            </w:r>
            <w:r>
              <w:rPr>
                <w:rStyle w:val="IndexLink"/>
              </w:rPr>
              <w:t>323</w:t>
            </w:r>
          </w:hyperlink>
        </w:p>
        <w:p>
          <w:pPr>
            <w:pStyle w:val="Contents2"/>
            <w:tabs>
              <w:tab w:val="clear" w:pos="8743"/>
              <w:tab w:val="right" w:pos="9026" w:leader="dot"/>
            </w:tabs>
            <w:rPr/>
          </w:pPr>
          <w:hyperlink w:anchor="__RefHeading___Toc7812848_3381743652">
            <w:r>
              <w:rPr>
                <w:webHidden/>
                <w:rStyle w:val="IndexLink"/>
                <w:rtl w:val="true"/>
              </w:rPr>
              <w:t>کتاب نامه</w:t>
            </w:r>
            <w:r>
              <w:rPr>
                <w:rStyle w:val="IndexLink"/>
                <w:rtl w:val="true"/>
              </w:rPr>
              <w:tab/>
            </w:r>
            <w:r>
              <w:rPr>
                <w:rStyle w:val="IndexLink"/>
              </w:rPr>
              <w:t>334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87_143592"/>
      <w:bookmarkStart w:id="1" w:name="pg14387_143592"/>
      <w:bookmarkEnd w:id="1"/>
    </w:p>
    <w:p>
      <w:pPr>
        <w:pStyle w:val="Heading2"/>
        <w:numPr>
          <w:ilvl w:val="1"/>
          <w:numId w:val="1"/>
        </w:numPr>
        <w:rPr/>
      </w:pPr>
      <w:bookmarkStart w:id="2" w:name="pg14387_143592"/>
      <w:bookmarkStart w:id="3" w:name="__RefHeading___Toc7812084_3381743652"/>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اندیشه‌های کلامی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به‌کوشش پژوهشگران گروه فلسفه و کلام اسلامی؛ زیرنظر محمود یزدی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91990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91990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91990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91990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91990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91990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محمدبن حسن،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محمدبن حسن،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نگرشها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علوم اسلامی رضوی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۲۰۱</w:t>
      </w:r>
      <w:r>
        <w:rPr>
          <w:rFonts w:eastAsia="IRNazanin" w:cs="IRNazanin"/>
          <w:color w:val="111111"/>
          <w:sz w:val="28"/>
          <w:szCs w:val="28"/>
          <w:lang w:bidi="fa-IR"/>
        </w:rPr>
        <w:t>/</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۴۹۲۴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12086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اندیشه های کلامی شیخ طوسی</w:t>
      </w:r>
    </w:p>
    <w:p>
      <w:pPr>
        <w:pStyle w:val="BookText"/>
        <w:rPr/>
      </w:pPr>
      <w:r>
        <w:rPr>
          <w:rFonts w:ascii="IRNazanin" w:hAnsi="IRNazanin" w:eastAsia="IRNazanin"/>
          <w:color w:val="111111"/>
          <w:sz w:val="28"/>
          <w:sz w:val="28"/>
          <w:szCs w:val="28"/>
          <w:rtl w:val="true"/>
          <w:lang w:bidi="fa-IR"/>
        </w:rPr>
        <w:t>جلد سوم</w:t>
      </w:r>
    </w:p>
    <w:p>
      <w:pPr>
        <w:pStyle w:val="BookText"/>
        <w:rPr/>
      </w:pPr>
      <w:r>
        <w:rPr>
          <w:rFonts w:ascii="IRNazanin" w:hAnsi="IRNazanin" w:eastAsia="IRNazanin"/>
          <w:color w:val="111111"/>
          <w:sz w:val="28"/>
          <w:sz w:val="28"/>
          <w:szCs w:val="28"/>
          <w:rtl w:val="true"/>
          <w:lang w:bidi="fa-IR"/>
        </w:rPr>
        <w:t>به کوشش گروه فلسفه و کلام اسلامی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نظر دکتر محمود یزدی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اندیشه‌های کلامی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به‌کوشش پژوهشگران گروه فلسفه و کلام اسلامی؛ زیرنظر محمود یزدی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91990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91990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91990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91990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91990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91990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محمدبن حسن،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محمدبن حسن،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نگرشها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علوم اسلامی رضوی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۲۰۱</w:t>
      </w:r>
      <w:r>
        <w:rPr>
          <w:rFonts w:eastAsia="IRNazanin" w:cs="IRNazanin"/>
          <w:color w:val="111111"/>
          <w:sz w:val="28"/>
          <w:szCs w:val="28"/>
          <w:lang w:bidi="fa-IR"/>
        </w:rPr>
        <w:t>/</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۴۹۲۴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۳۶۱۵</w:t>
      </w:r>
      <w:r>
        <w:rPr>
          <w:rFonts w:ascii="IRNazanin" w:hAnsi="IRNazanin" w:eastAsia="IRNazanin"/>
          <w:color w:val="111111"/>
          <w:sz w:val="28"/>
          <w:sz w:val="28"/>
          <w:szCs w:val="28"/>
          <w:rtl w:val="true"/>
          <w:lang w:bidi="fa-IR"/>
        </w:rPr>
        <w:t xml:space="preserve"> </w:t>
      </w:r>
      <w:bookmarkStart w:id="7" w:name="pg14387_143596"/>
    </w:p>
    <w:p>
      <w:pPr>
        <w:pStyle w:val="Heading2"/>
        <w:numPr>
          <w:ilvl w:val="1"/>
          <w:numId w:val="1"/>
        </w:numPr>
        <w:rPr/>
      </w:pPr>
      <w:bookmarkStart w:id="8" w:name="__RefHeading___Toc7812088_338174365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3"/>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4" o:detectmouseclick="t"/>
                <v:stroke color="#3465a4" joinstyle="round" endcap="flat"/>
                <w10:wrap type="none"/>
              </v:shape>
            </w:pict>
          </mc:Fallback>
        </mc:AlternateContent>
      </w:r>
      <w:bookmarkStart w:id="10" w:name="pg14387_143608"/>
    </w:p>
    <w:p>
      <w:pPr>
        <w:pStyle w:val="Heading2"/>
        <w:numPr>
          <w:ilvl w:val="1"/>
          <w:numId w:val="1"/>
        </w:numPr>
        <w:rPr/>
      </w:pPr>
      <w:bookmarkStart w:id="11" w:name="__RefHeading___Toc7812090_3381743652"/>
      <w:bookmarkStart w:id="12" w:name="_Toc4"/>
      <w:bookmarkEnd w:id="10"/>
      <w:bookmarkEnd w:id="11"/>
      <w:r>
        <w:rPr>
          <w:rtl w:val="true"/>
        </w:rPr>
        <w:t>مقدمه</w:t>
      </w:r>
      <w:r>
        <w:rPr>
          <w:rtl w:val="true"/>
        </w:rPr>
        <w:t xml:space="preserve">: </w:t>
      </w:r>
      <w:r>
        <w:rPr>
          <w:rtl w:val="true"/>
        </w:rPr>
        <w:t>شیخ طوسی، فقیه و مفری خردگرای</w:t>
      </w:r>
      <w:bookmarkEnd w:id="12"/>
    </w:p>
    <w:p>
      <w:pPr>
        <w:pStyle w:val="BookText"/>
        <w:rPr/>
      </w:pPr>
      <w:r>
        <w:rPr>
          <w:rFonts w:ascii="IRNazanin" w:hAnsi="IRNazanin" w:eastAsia="IRNazanin"/>
          <w:color w:val="111111"/>
          <w:sz w:val="28"/>
          <w:sz w:val="28"/>
          <w:szCs w:val="28"/>
          <w:rtl w:val="true"/>
          <w:lang w:bidi="fa-IR"/>
        </w:rPr>
        <w:t>ابوجعفر، محمد بن حسن بن علی طوسی</w:t>
      </w:r>
      <w:r>
        <w:rPr>
          <w:rStyle w:val="FootnoteAnchor"/>
          <w:rtl w:val="true"/>
        </w:rPr>
        <w:footnoteReference w:id="2"/>
      </w:r>
      <w:r>
        <w:rPr>
          <w:rFonts w:ascii="IRNazanin" w:hAnsi="IRNazanin" w:eastAsia="IRNazanin"/>
          <w:color w:val="111111"/>
          <w:sz w:val="28"/>
          <w:sz w:val="28"/>
          <w:szCs w:val="28"/>
          <w:rtl w:val="true"/>
          <w:lang w:bidi="fa-IR"/>
        </w:rPr>
        <w:t>معروف به شیخ طوسی و مشهور به شیخ الطایفه</w:t>
      </w:r>
      <w:r>
        <w:rPr>
          <w:rStyle w:val="FootnoteAnchor"/>
          <w:rtl w:val="true"/>
        </w:rPr>
        <w:footnoteReference w:id="3"/>
      </w:r>
      <w:r>
        <w:rPr>
          <w:rFonts w:ascii="IRNazanin" w:hAnsi="IRNazanin" w:eastAsia="IRNazanin"/>
          <w:color w:val="111111"/>
          <w:sz w:val="28"/>
          <w:sz w:val="28"/>
          <w:szCs w:val="28"/>
          <w:rtl w:val="true"/>
          <w:lang w:bidi="fa-IR"/>
        </w:rPr>
        <w:t>از اجله علمای امامیه و از ثقات و اعیان شیعه اثناعشریه و مرجع فضلای زمان بوده است که در تمام دانشهای روز؛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رجال، اصول، کلام، ادب، تفسیر و غیره مهارت داشته و آنها را تدریس می کرده</w:t>
      </w:r>
      <w:r>
        <w:rPr>
          <w:rStyle w:val="FootnoteAnchor"/>
          <w:rtl w:val="true"/>
        </w:rPr>
        <w:footnoteReference w:id="4"/>
      </w:r>
      <w:r>
        <w:rPr>
          <w:rFonts w:ascii="IRNazanin" w:hAnsi="IRNazanin" w:eastAsia="IRNazanin"/>
          <w:color w:val="111111"/>
          <w:sz w:val="28"/>
          <w:sz w:val="28"/>
          <w:szCs w:val="28"/>
          <w:rtl w:val="true"/>
          <w:lang w:bidi="fa-IR"/>
        </w:rPr>
        <w:t>و شاگردان بسیاری تربیت کرده است؛ تا جایی که برخی از بزرگان تصریح کرده اند که سیصد مجتهد از شیعه در حوزه درس طوسی حاضر می شدند</w:t>
      </w:r>
      <w:r>
        <w:rPr>
          <w:rFonts w:eastAsia="IRNazanin" w:cs="IRNazanin"/>
          <w:color w:val="111111"/>
          <w:sz w:val="28"/>
          <w:szCs w:val="28"/>
          <w:rtl w:val="true"/>
          <w:lang w:bidi="fa-IR"/>
        </w:rPr>
        <w:t>.</w:t>
      </w:r>
      <w:r>
        <w:rPr>
          <w:rStyle w:val="FootnoteAnchor"/>
          <w:rtl w:val="true"/>
        </w:rPr>
        <w:footnoteReference w:id="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شیخ آغا بزرگ تهرانی نام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تن از اعاظم شاگردان شیخ طوسی را آورده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عموم مورخان و رجال شیعه و سنی، وی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شامی او را فقیه </w:t>
      </w:r>
    </w:p>
    <w:p>
      <w:pPr>
        <w:pStyle w:val="BookText"/>
        <w:rPr/>
      </w:pPr>
      <w:r>
        <w:rPr>
          <w:rFonts w:ascii="IRNazanin" w:hAnsi="IRNazanin" w:eastAsia="IRNazanin"/>
          <w:color w:val="111111"/>
          <w:sz w:val="28"/>
          <w:sz w:val="28"/>
          <w:szCs w:val="28"/>
          <w:rtl w:val="true"/>
          <w:lang w:bidi="fa-IR"/>
        </w:rPr>
        <w:t>شیعه معرفی کرده است</w:t>
      </w:r>
      <w:r>
        <w:rPr>
          <w:rStyle w:val="FootnoteAnchor"/>
          <w:rtl w:val="true"/>
        </w:rPr>
        <w:footnoteReference w:id="7"/>
      </w:r>
      <w:r>
        <w:rPr>
          <w:rFonts w:ascii="IRNazanin" w:hAnsi="IRNazanin" w:eastAsia="IRNazanin"/>
          <w:color w:val="111111"/>
          <w:sz w:val="28"/>
          <w:sz w:val="28"/>
          <w:szCs w:val="28"/>
          <w:rtl w:val="true"/>
          <w:lang w:bidi="fa-IR"/>
        </w:rPr>
        <w:t xml:space="preserve">،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المنتظم</w:t>
      </w:r>
      <w:r>
        <w:rPr>
          <w:rStyle w:val="FootnoteAnchor"/>
          <w:rtl w:val="true"/>
        </w:rPr>
        <w:footnoteReference w:id="8"/>
      </w:r>
      <w:r>
        <w:rPr>
          <w:rFonts w:ascii="IRNazanin" w:hAnsi="IRNazanin" w:eastAsia="IRNazanin"/>
          <w:color w:val="111111"/>
          <w:sz w:val="28"/>
          <w:sz w:val="28"/>
          <w:szCs w:val="28"/>
          <w:rtl w:val="true"/>
          <w:lang w:bidi="fa-IR"/>
        </w:rPr>
        <w:t xml:space="preserve">و 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کامل التواریخ</w:t>
      </w:r>
      <w:r>
        <w:rPr>
          <w:rStyle w:val="FootnoteAnchor"/>
          <w:rtl w:val="true"/>
        </w:rPr>
        <w:footnoteReference w:id="9"/>
      </w:r>
      <w:r>
        <w:rPr>
          <w:rFonts w:ascii="IRNazanin" w:hAnsi="IRNazanin" w:eastAsia="IRNazanin"/>
          <w:color w:val="111111"/>
          <w:sz w:val="28"/>
          <w:sz w:val="28"/>
          <w:szCs w:val="28"/>
          <w:rtl w:val="true"/>
          <w:lang w:bidi="fa-IR"/>
        </w:rPr>
        <w:t>به همین وصف، وی را موصوف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در کتاب لسان المیزان، شیخ طوسی را فقیهی شیعی می داند که در علم کلام، به مذاق امامیه، آثار بسیاری دارد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میان مؤلفان شیعه هم شهرت علمی و مقام فضل و دانش شیخ طوسی آنقدر روشن است که ما را از ذکر جزئیات زندگی اش بی نیاز می سازد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خلاصه آن که شیخ الطایفه در مراتب علمی و فضایل نفسانی، مابین الفریقین، مشارالیه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ماه مبارک رمضان سال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و مقدمات علوم را در زادگاهش آموخت؛ تا آنجا که محدثی کامل و فقیهی برجسته شد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در سن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سالگی؛ یعنی سال </w:t>
      </w: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بغداد آمد و در سلک دانشجویان خاص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پنج سال از زلال معرفت و دانش ژرف او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در حوزه درس علم الهدی، نقیب اجل،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 موقع، استادی مسلم بود و از جلالت و شأن و شکوه، حظی وافر داشت؛ تا آنجا که خلیفۂ وقت، کرسی ویژه استادی علم کلام را به او تفویض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اثر حملات شدید اهل سنت به شیعیان در محله کرخ بغداد، به خانه ابوجعفر طوسی که رئیس مذهب و شیخ الطایفه بود، حمله کردند و خانه و کرسی درس وی و آنچه از کتب یافتند،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شیخ طوسی به سوی نجف رهسپار شد و سرانجام در شب دوشنبه،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محرم سال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نجف اشرف از دنیا رفت و به موجب وصیت خود او در منزل شخصی اش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محل به مسجد تبدیل گردید که امروزه به مسجد طوس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سال </w:t>
      </w:r>
      <w:r>
        <w:rPr>
          <w:rFonts w:ascii="IRNazanin" w:hAnsi="IRNazanin" w:eastAsia="IRNazanin"/>
          <w:color w:val="111111"/>
          <w:sz w:val="28"/>
          <w:sz w:val="28"/>
          <w:szCs w:val="28"/>
          <w:lang w:bidi="fa-IR"/>
        </w:rPr>
        <w:t>۱۱۹۸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تجدید و تعمیر 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شیخ الطایفه در زمینه های مختلفی از دانشهای اسلامی کتاب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علم کلام، آثاری پدید آورده است که حاکی از عنایت و توجه خاص او به این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علامه حلی، شیخ طوسی، مهذب عقاید در اصول و فروع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از جمله تألیفات شیخ الطایفه درباره عقاید عبارت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الفهرست خود، نام این کتاب را جزو آثارش یاد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بزرگی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موفق به اتمام آن نشد و تنها مبحث توحید و قسمتی از عدل را نگاشته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در کتابخانه گوهرشاد مشهد، دو نسخه خطی به شماره </w:t>
      </w:r>
      <w:r>
        <w:rPr>
          <w:rFonts w:eastAsia="IRNazanin" w:cs="IRNazanin"/>
          <w:color w:val="111111"/>
          <w:sz w:val="28"/>
          <w:szCs w:val="28"/>
          <w:lang w:bidi="fa-IR"/>
        </w:rPr>
        <w:t>3/</w:t>
      </w:r>
      <w:r>
        <w:rPr>
          <w:rFonts w:ascii="IRNazanin" w:hAnsi="IRNazanin" w:eastAsia="IRNazanin"/>
          <w:color w:val="111111"/>
          <w:sz w:val="28"/>
          <w:sz w:val="28"/>
          <w:szCs w:val="28"/>
          <w:lang w:bidi="fa-IR"/>
        </w:rPr>
        <w:t>۸۸۶</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وجود دارد، با تحریر </w:t>
      </w:r>
      <w:r>
        <w:rPr>
          <w:rFonts w:ascii="IRNazanin" w:hAnsi="IRNazanin" w:eastAsia="IRNazanin"/>
          <w:color w:val="111111"/>
          <w:sz w:val="28"/>
          <w:sz w:val="28"/>
          <w:szCs w:val="28"/>
          <w:lang w:bidi="fa-IR"/>
        </w:rPr>
        <w:t>۸۸۵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Style w:val="FootnoteAnchor"/>
          <w:rtl w:val="true"/>
        </w:rPr>
        <w:footnoteReference w:id="16"/>
      </w:r>
      <w:r>
        <w:rPr>
          <w:rFonts w:ascii="IRNazanin" w:hAnsi="IRNazanin" w:eastAsia="IRNazanin"/>
          <w:color w:val="111111"/>
          <w:sz w:val="28"/>
          <w:sz w:val="28"/>
          <w:szCs w:val="28"/>
          <w:rtl w:val="true"/>
          <w:lang w:bidi="fa-IR"/>
        </w:rPr>
        <w:t>که احتمال می رود همین رساله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 فیما یجب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 فیما یتعلق بالاعتقاد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 الهادی الی طریق الرشاد فیما یجب علی العباد من اصول العقائد و العبادات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نام این کتاب را به همان صورتی که در اول آمده ذکر فرموده</w:t>
      </w:r>
      <w:r>
        <w:rPr>
          <w:rStyle w:val="FootnoteAnchor"/>
          <w:rtl w:val="true"/>
        </w:rPr>
        <w:footnoteReference w:id="17"/>
      </w:r>
      <w:r>
        <w:rPr>
          <w:rFonts w:ascii="IRNazanin" w:hAnsi="IRNazanin" w:eastAsia="IRNazanin"/>
          <w:color w:val="111111"/>
          <w:sz w:val="28"/>
          <w:sz w:val="28"/>
          <w:szCs w:val="28"/>
          <w:rtl w:val="true"/>
          <w:lang w:bidi="fa-IR"/>
        </w:rPr>
        <w:t>و لکن صاحب الذریعة اسم این تألیف را به گونه دیگر ضبط کرده که در بالا به آن اشاره 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پنج نسخه خطی از این کتاب در نجف اشرف موجود است و دو نسخه در کتابخانه مرکزی دانشگاه تهران و یک نسخه نزد آقای سید محمدعلی روضاتی در اصفهان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علم الهدی، علی بن حسین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شیخ طوسی، کتابی مفصل در امامت نگاشته به نام الشافی فی الامامة و ابطال حجج العامة که ردی است بر بخش امامت کتاب المغنی قاضی عبدالجبار معتزلی که در سال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چاپ سنگی شده است و پس از آن، مکرر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آن را گزینش کرده است و به نام تلخیص الشافی موسوم داشته که مکرر به چاپ رسیده است</w:t>
      </w:r>
      <w:r>
        <w:rPr>
          <w:rStyle w:val="FootnoteAnchor"/>
          <w:rtl w:val="true"/>
        </w:rPr>
        <w:footnoteReference w:id="19"/>
      </w:r>
      <w:r>
        <w:rPr>
          <w:rFonts w:ascii="IRNazanin" w:hAnsi="IRNazanin" w:eastAsia="IRNazanin"/>
          <w:color w:val="111111"/>
          <w:sz w:val="28"/>
          <w:sz w:val="28"/>
          <w:szCs w:val="28"/>
          <w:rtl w:val="true"/>
          <w:lang w:bidi="fa-IR"/>
        </w:rPr>
        <w:t>و نسخه های خطی آن، مکرر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الفهرست، از تألیفات خویش، کتابی را نام می برد با عنوان شرح ما یتعلق بالاصول من جمل العلم و العمل</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نجاشی در کتاب رجال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شیخ طوسی، کتاب تمهید الأصول، و هو شرح جمل العلم و العمل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نسخه کهنی از این کتاب در آستان قدس رضوی موجود است و دو نسخه دیگر در تهران و انگلستان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توسط آقای دکتر مشکوة به فارسی ترجمه و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ریاضة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ضمن برشمردن آثار خویش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مقدمة فی المدخل إلی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شرحی است بر این مقدمه</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نجاشی از جمله آثار شیخ طوسی را شرح المقدمة ذکر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کتاب ریاضة العقول است</w:t>
      </w:r>
      <w:r>
        <w:rPr>
          <w:rStyle w:val="FootnoteAnchor"/>
          <w:rtl w:val="true"/>
        </w:rPr>
        <w:footnoteReference w:id="23"/>
      </w:r>
      <w:r>
        <w:rPr>
          <w:rFonts w:ascii="IRNazanin" w:hAnsi="IRNazanin" w:eastAsia="IRNazanin"/>
          <w:color w:val="111111"/>
          <w:sz w:val="28"/>
          <w:sz w:val="28"/>
          <w:szCs w:val="28"/>
          <w:rtl w:val="true"/>
          <w:lang w:bidi="fa-IR"/>
        </w:rPr>
        <w:t>و ابن شهر آشوب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ریاضة العقول، همان شرح المقدمه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البته اطلاعی از نسخه خطی آن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 ابن شهر آشوب از این کتاب یاد کرده اند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این کتاب درباره راز طول عمر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چاپ شده و نسخه های خطی آن مکرر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کتاب الفهرست و ابن شهر آشوب در کتاب معالم العلماء از این کتاب یاد کرده اند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نسخه نفیسی از آن نیز در کتابخانه ملی ملک به شماره </w:t>
      </w:r>
      <w:r>
        <w:rPr>
          <w:rFonts w:eastAsia="IRNazanin" w:cs="IRNazanin"/>
          <w:color w:val="111111"/>
          <w:sz w:val="28"/>
          <w:szCs w:val="28"/>
          <w:lang w:bidi="fa-IR"/>
        </w:rPr>
        <w:t>12/</w:t>
      </w:r>
      <w:r>
        <w:rPr>
          <w:rFonts w:ascii="IRNazanin" w:hAnsi="IRNazanin" w:eastAsia="IRNazanin"/>
          <w:color w:val="111111"/>
          <w:sz w:val="28"/>
          <w:sz w:val="28"/>
          <w:szCs w:val="28"/>
          <w:lang w:bidi="fa-IR"/>
        </w:rPr>
        <w:t>۱۶۲۶</w:t>
      </w:r>
      <w:r>
        <w:rPr>
          <w:rFonts w:ascii="IRNazanin" w:hAnsi="IRNazanin" w:eastAsia="IRNazanin"/>
          <w:color w:val="111111"/>
          <w:sz w:val="28"/>
          <w:sz w:val="28"/>
          <w:szCs w:val="28"/>
          <w:rtl w:val="true"/>
          <w:lang w:bidi="fa-IR"/>
        </w:rPr>
        <w:t xml:space="preserve"> 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کتاب را ابن شهر آشوب جزو آثار شیخ طوسی ضبط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موفق به اتمام آن نشده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بیش از این، اطلاعی از این کتاب و نسخه خطی آن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کتاب به هنگام آتش زدن خانه اش سوخته باشد؛ همچون برخی دیگر از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لایسع المکلف الإخلال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لایسع المکلف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این رساله را در الفهرست جزو مصنفات خویش برشمرده و ابوالعباس نجاشی در رجال خود، آن را جزو تألیفات شیخ دانسته و ابن شهر آشوب از کتاب تعلیق ما لایسع خبر داده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یک نسخه خطی از این رساله در نجف اشرف، جزو کتابهای کتابخانه شیخ هادی آل کاشف الغطاء موجود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یعلل و ما لا یعلل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الفهرست، این کتاب را جزو تألیفات خود نگاشته</w:t>
      </w:r>
      <w:r>
        <w:rPr>
          <w:rStyle w:val="FootnoteAnchor"/>
          <w:rtl w:val="true"/>
        </w:rPr>
        <w:footnoteReference w:id="30"/>
      </w:r>
      <w:r>
        <w:rPr>
          <w:rFonts w:ascii="IRNazanin" w:hAnsi="IRNazanin" w:eastAsia="IRNazanin"/>
          <w:color w:val="111111"/>
          <w:sz w:val="28"/>
          <w:sz w:val="28"/>
          <w:szCs w:val="28"/>
          <w:rtl w:val="true"/>
          <w:lang w:bidi="fa-IR"/>
        </w:rPr>
        <w:t>و نجاشی</w:t>
      </w:r>
      <w:r>
        <w:rPr>
          <w:rStyle w:val="FootnoteAnchor"/>
          <w:rtl w:val="true"/>
        </w:rPr>
        <w:footnoteReference w:id="31"/>
      </w:r>
      <w:r>
        <w:rPr>
          <w:rFonts w:ascii="IRNazanin" w:hAnsi="IRNazanin" w:eastAsia="IRNazanin"/>
          <w:color w:val="111111"/>
          <w:sz w:val="28"/>
          <w:sz w:val="28"/>
          <w:szCs w:val="28"/>
          <w:rtl w:val="true"/>
          <w:lang w:bidi="fa-IR"/>
        </w:rPr>
        <w:t>و قاضی نورالله شوشتری</w:t>
      </w:r>
      <w:r>
        <w:rPr>
          <w:rStyle w:val="FootnoteAnchor"/>
          <w:rtl w:val="true"/>
        </w:rPr>
        <w:footnoteReference w:id="32"/>
      </w:r>
      <w:r>
        <w:rPr>
          <w:rFonts w:ascii="IRNazanin" w:hAnsi="IRNazanin" w:eastAsia="IRNazanin"/>
          <w:color w:val="111111"/>
          <w:sz w:val="28"/>
          <w:sz w:val="28"/>
          <w:szCs w:val="28"/>
          <w:rtl w:val="true"/>
          <w:lang w:bidi="fa-IR"/>
        </w:rPr>
        <w:t>و سید محمدباقر خوانساری</w:t>
      </w:r>
      <w:r>
        <w:rPr>
          <w:rStyle w:val="FootnoteAnchor"/>
          <w:rtl w:val="true"/>
        </w:rPr>
        <w:footnoteReference w:id="33"/>
      </w:r>
      <w:r>
        <w:rPr>
          <w:rFonts w:ascii="IRNazanin" w:hAnsi="IRNazanin" w:eastAsia="IRNazanin"/>
          <w:color w:val="111111"/>
          <w:sz w:val="28"/>
          <w:sz w:val="28"/>
          <w:szCs w:val="28"/>
          <w:rtl w:val="true"/>
          <w:lang w:bidi="fa-IR"/>
        </w:rPr>
        <w:t>و سید محسن امین</w:t>
      </w:r>
      <w:r>
        <w:rPr>
          <w:rStyle w:val="FootnoteAnchor"/>
          <w:rtl w:val="true"/>
        </w:rPr>
        <w:footnoteReference w:id="34"/>
      </w:r>
      <w:r>
        <w:rPr>
          <w:rFonts w:ascii="IRNazanin" w:hAnsi="IRNazanin" w:eastAsia="IRNazanin"/>
          <w:color w:val="111111"/>
          <w:sz w:val="28"/>
          <w:sz w:val="28"/>
          <w:szCs w:val="28"/>
          <w:rtl w:val="true"/>
          <w:lang w:bidi="fa-IR"/>
        </w:rPr>
        <w:t>و دیگران از این کتاب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محمدعلی مدرس درباره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مقدمه ای در مدخل علم کلام دارد که نظیر آن تألیف نشده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فی الأحوال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این کتاب را شیخ طوسی در الفهرست آورده و آن را چنین توصیف کرده است که رساله ملیحی می باشد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نجاشی و ابن شهر آشوب</w:t>
      </w:r>
      <w:r>
        <w:rPr>
          <w:rStyle w:val="FootnoteAnchor"/>
          <w:rtl w:val="true"/>
        </w:rPr>
        <w:footnoteReference w:id="37"/>
      </w:r>
      <w:r>
        <w:rPr>
          <w:rFonts w:ascii="IRNazanin" w:hAnsi="IRNazanin" w:eastAsia="IRNazanin"/>
          <w:color w:val="111111"/>
          <w:sz w:val="28"/>
          <w:sz w:val="28"/>
          <w:szCs w:val="28"/>
          <w:rtl w:val="true"/>
          <w:lang w:bidi="fa-IR"/>
        </w:rPr>
        <w:t>و دیگران از این رساله یاد کرده اند، لکن تا کنون نسخه ای از آن به دست نیامده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الرازیة فی الوعید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جوابات المسائل الرازیة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پانزده مسئله نزد سید مرتضی فرستاده اند که هم سید مرتضی به آنها پاسخ داده و هم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الفهرست طوسی به نام المسائل الرازیة فی الوعید آمده و در معالم العلماء با عنوان المسألة الرازیة فی الوعید معرفی شده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متأخران هم این کتاب را جزو آثار شیخ طوسی نام برده اند، اما هیچ گونه آگاهی از نسخه خطی این رساله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آغا بزرگ تهرانی این رساله را از آن شیخ طوسی دانسته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این رساله متضمن سی مسئله کلامی و اعتقادی است در توحید و نبوت و امامت و معاد و غیر از رسالة الاقتصاد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متعددی از این کتاب موجود است که کهن ترین آنها در کتابخانه گوهرشاد مشهد به شماره </w:t>
      </w:r>
      <w:r>
        <w:rPr>
          <w:rFonts w:eastAsia="IRNazanin" w:cs="IRNazanin"/>
          <w:color w:val="111111"/>
          <w:sz w:val="28"/>
          <w:szCs w:val="28"/>
          <w:lang w:bidi="fa-IR"/>
        </w:rPr>
        <w:t>2/</w:t>
      </w:r>
      <w:r>
        <w:rPr>
          <w:rFonts w:ascii="IRNazanin" w:hAnsi="IRNazanin" w:eastAsia="IRNazanin"/>
          <w:color w:val="111111"/>
          <w:sz w:val="28"/>
          <w:sz w:val="28"/>
          <w:szCs w:val="28"/>
          <w:lang w:bidi="fa-IR"/>
        </w:rPr>
        <w:t>۱۶۶۶</w:t>
      </w:r>
      <w:r>
        <w:rPr>
          <w:rFonts w:ascii="IRNazanin" w:hAnsi="IRNazanin" w:eastAsia="IRNazanin"/>
          <w:color w:val="111111"/>
          <w:sz w:val="28"/>
          <w:sz w:val="28"/>
          <w:szCs w:val="28"/>
          <w:rtl w:val="true"/>
          <w:lang w:bidi="fa-IR"/>
        </w:rPr>
        <w:t xml:space="preserve">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آیة الله مرعشی در قم نیز نسخه ای از این رساله به شماره </w:t>
      </w:r>
      <w:r>
        <w:rPr>
          <w:rFonts w:eastAsia="IRNazanin" w:cs="IRNazanin"/>
          <w:color w:val="111111"/>
          <w:sz w:val="28"/>
          <w:szCs w:val="28"/>
          <w:lang w:bidi="fa-IR"/>
        </w:rPr>
        <w:t>6086/5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تحریر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آثار ارزشمند و مهم شیخ طوسی، این کتاب است که شامل مباحث امامت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ابن شهر آشوب و نجاشی از آن یاد کرده اند </w:t>
      </w:r>
      <w:r>
        <w:rPr>
          <w:rStyle w:val="FootnoteAnchor"/>
          <w:rtl w:val="true"/>
        </w:rPr>
        <w:footnoteReference w:id="41"/>
      </w:r>
      <w:r>
        <w:rPr>
          <w:rFonts w:ascii="IRNazanin" w:hAnsi="IRNazanin" w:eastAsia="IRNazanin"/>
          <w:color w:val="111111"/>
          <w:sz w:val="28"/>
          <w:sz w:val="28"/>
          <w:szCs w:val="28"/>
          <w:rtl w:val="true"/>
          <w:lang w:bidi="fa-IR"/>
        </w:rPr>
        <w:t>و شیخ آغا بزرگ تهرانی چند نسخه خطی از این کتاب را نشان داده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فی المدخل الی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الفهرست و نجاشی در رجال خود از این کتاب یاد کرده اند و آن را کتابی بی نظیر توصیف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آن را به نام مقدمة فی المدخل الی صناعة الکلام موسوم داشته است</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ش در کنگره شیخ طوسی چاپ 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علی ابن شاذان فی مسألة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 ابن شهر آشوب</w:t>
      </w:r>
      <w:r>
        <w:rPr>
          <w:rStyle w:val="FootnoteAnchor"/>
          <w:rtl w:val="true"/>
        </w:rPr>
        <w:footnoteReference w:id="45"/>
      </w:r>
      <w:r>
        <w:rPr>
          <w:rFonts w:ascii="IRNazanin" w:hAnsi="IRNazanin" w:eastAsia="IRNazanin"/>
          <w:color w:val="111111"/>
          <w:sz w:val="28"/>
          <w:sz w:val="28"/>
          <w:szCs w:val="28"/>
          <w:rtl w:val="true"/>
          <w:lang w:bidi="fa-IR"/>
        </w:rPr>
        <w:t>از این کتاب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 خطی آن اطلاعی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مطالعه این آثار، به خوبی میزان خردگرایی شیخ طوسی روشن می گردد؛ گرچه برخی از آنها در دست نیست و شاید هیچگاه به آنها دست نیابیم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یک بار ضمن وقایع سال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سال ابوجعفر طوسی از بغداد به نجف گریخت و خانه اش غارت شد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و همو در وقایع سال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صفر این سال، خانه ابوجعفر طوسی، متکلم شیعه در کرخ مورد هجوم قرار گرفت و کلیه دفترها و یادداشتهایش با کرسی درس علم کلام وی را بیرون ریختند، همراه سه پرچم سفیدی که زائران محله کرخ به هنگام زیارت کوفه با خود می بردند، همه آنها را به آتش کشیدند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چون مهاجمان متعصب حنفی مذهب با روش عقل گرایی شیخ طوسی و پیروانش مخالف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تمام مسائل کلامی و اعتقادی به براهین عقلی استدلال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تفسیر عظیمش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عقل، در اندیشۀ طوسی،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تفسیر، متضمن مباحث عمده کلامی و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بود که نگارنده این سطور، طرحی را به دانشگاه علوم اسلامی رضوی ارائه داد که با همکاری دانشجویان دوره کارشناسی ارشد که علوم عالیه حوزه را نیز فراگرفته باشند، مباحث کلامی شیخ طوسی از این تفسیر و دیگر آثار کلامی وی استقصا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پیشنهاد مورد استقبال مسئولان محترم دانشگاه قرار گرفت و کار پژوهش درباره آرای کلامی شیخ الطایفه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نخست این طرح در سال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شمسی به ثمر نشست و نتیجه حاصل، در یک مجلد به چاپ رسید که شامل مباحث زیر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اندیشه های کلامی شیخ طوسی در التبیان،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و آثار شیخ،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صانع،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الهی،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احباط و تکفیر،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بخش دوم این طرح در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به پایان رسید و نتیجه آن نیز در یک مجلد به چاپ رسید که شامل مباحث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جدال احسن،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الهی،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آجال و ارزاق و اسعار،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بعثت،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w:t>
      </w:r>
    </w:p>
    <w:p>
      <w:pPr>
        <w:pStyle w:val="BookText"/>
        <w:rPr/>
      </w:pPr>
      <w:r>
        <w:rPr>
          <w:rFonts w:ascii="IRNazanin" w:hAnsi="IRNazanin" w:eastAsia="IRNazanin"/>
          <w:color w:val="111111"/>
          <w:sz w:val="28"/>
          <w:sz w:val="28"/>
          <w:szCs w:val="28"/>
          <w:rtl w:val="true"/>
          <w:lang w:bidi="fa-IR"/>
        </w:rPr>
        <w:t>و بالاخره بخش سوم این طرح، هم اکنون به پایان رسیده که پژوهش و تحقیق درباره مسائل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و کفر،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و وعید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تناسخ،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لطف،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اختیار در خاتمه، بر خود واجب می دانم از مساعدتهای ریاست محترم دانشگاه علوم اسلامی رضوی، شورای محترم پژوهش این دانشگاه، معاونت پژوهش و مدیر پژوهش، بخش کلام و فلسفه اسلامی و همه پژوهشگران و همکاران صمیمی این طرح، همچنین</w:t>
      </w:r>
    </w:p>
    <w:p>
      <w:pPr>
        <w:pStyle w:val="BookText"/>
        <w:rPr/>
      </w:pPr>
      <w:r>
        <w:rPr>
          <w:rFonts w:ascii="IRNazanin" w:hAnsi="IRNazanin" w:eastAsia="IRNazanin"/>
          <w:color w:val="111111"/>
          <w:sz w:val="28"/>
          <w:sz w:val="28"/>
          <w:szCs w:val="28"/>
          <w:rtl w:val="true"/>
          <w:lang w:bidi="fa-IR"/>
        </w:rPr>
        <w:t>در بخش اداری و امور مالی و تدارکاتی، نقلیه، تایپ و تکثیر و هر کس که به هر نحوی ما را در به ثمر رساندن این طرح یاری رسانده، صمیمانه تشکر کنم و تأییدات و توفیقات ایشان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توفیقی إلا بالله علیه توکلت</w:t>
      </w:r>
    </w:p>
    <w:p>
      <w:pPr>
        <w:pStyle w:val="BookText"/>
        <w:rPr/>
      </w:pPr>
      <w:r>
        <w:rPr>
          <w:rFonts w:ascii="IRNazanin" w:hAnsi="IRNazanin" w:eastAsia="IRNazanin"/>
          <w:color w:val="111111"/>
          <w:sz w:val="28"/>
          <w:sz w:val="28"/>
          <w:szCs w:val="28"/>
          <w:rtl w:val="true"/>
          <w:lang w:bidi="fa-IR"/>
        </w:rPr>
        <w:t xml:space="preserve">محمود یزدی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شعبان المعظم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سیزدهم مهرماه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خورشیدی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مقدس </w:t>
      </w:r>
      <w:bookmarkStart w:id="13" w:name="pg14387_143616"/>
    </w:p>
    <w:p>
      <w:pPr>
        <w:pStyle w:val="Heading2"/>
        <w:numPr>
          <w:ilvl w:val="1"/>
          <w:numId w:val="1"/>
        </w:numPr>
        <w:rPr/>
      </w:pPr>
      <w:bookmarkStart w:id="14" w:name="__RefHeading___Toc7812092_3381743652"/>
      <w:bookmarkStart w:id="15" w:name="_Toc5"/>
      <w:bookmarkEnd w:id="13"/>
      <w:bookmarkEnd w:id="14"/>
      <w:r>
        <w:rPr>
          <w:rtl w:val="true"/>
        </w:rPr>
        <w:t>ایمان و کفر</w:t>
      </w:r>
      <w:bookmarkEnd w:id="15"/>
    </w:p>
    <w:p>
      <w:pPr>
        <w:pStyle w:val="Heading3"/>
        <w:numPr>
          <w:ilvl w:val="2"/>
          <w:numId w:val="1"/>
        </w:numPr>
        <w:rPr/>
      </w:pPr>
      <w:bookmarkStart w:id="16" w:name="__RefHeading___Toc7812094_3381743652"/>
      <w:bookmarkStart w:id="17" w:name="_Toc6"/>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ایمان از منظر اسلام، برترین فضیلت انسان و یکی از مهمترین مقولات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ایمان را دارای آثار و برکات بسیار زیادی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و مشتقات آن </w:t>
      </w:r>
      <w:r>
        <w:rPr>
          <w:rFonts w:ascii="IRNazanin" w:hAnsi="IRNazanin" w:eastAsia="IRNazanin"/>
          <w:color w:val="111111"/>
          <w:sz w:val="28"/>
          <w:sz w:val="28"/>
          <w:szCs w:val="28"/>
          <w:lang w:bidi="fa-IR"/>
        </w:rPr>
        <w:t>۸۷۹</w:t>
      </w:r>
      <w:r>
        <w:rPr>
          <w:rFonts w:ascii="IRNazanin" w:hAnsi="IRNazanin" w:eastAsia="IRNazanin"/>
          <w:color w:val="111111"/>
          <w:sz w:val="28"/>
          <w:sz w:val="28"/>
          <w:szCs w:val="28"/>
          <w:rtl w:val="true"/>
          <w:lang w:bidi="fa-IR"/>
        </w:rPr>
        <w:t xml:space="preserve"> بار در قرآن به کار رفته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مفهوم ایمان در چند قرن آغازین اسلام، مسائل بسیاری را فراروی متفکران اسلامی نهاد که اشاره به عمده ترین آنها، هم گستره بحث ایمان را تا حدودی پیش چشم خواننده ترسیم می کند و هم او را اندکی با جغرافیای معرفتی شیخ در باب ایمان آشنا می سازد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و غم متکلمان اسلامی در باب ایمان، معطوف فهم این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سنت، چه ساختاری برای ایمان تصویر می کند و آن را دارای چه ماهیتی می داند؟ آیا ایمان از سنخ معرفت است یا از سنخ تصدیق؟ اقرار به زبان و عمل جوارحی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ایمان، سهیم است یا خیر؟ متعلق ایمان چیست؟ آیا ایمان، به موجودات عینی خارجی تعلق می گیرد یا به گزاره ها یا به هر دو؟ جایگاه ایمان در کجاست؟ میان </w:t>
      </w:r>
      <w:bookmarkStart w:id="18" w:name="pg14387_143617"/>
    </w:p>
    <w:p>
      <w:pPr>
        <w:pStyle w:val="BookText"/>
        <w:rPr/>
      </w:pPr>
      <w:bookmarkEnd w:id="18"/>
      <w:r>
        <w:rPr>
          <w:rFonts w:ascii="IRNazanin" w:hAnsi="IRNazanin" w:eastAsia="IRNazanin"/>
          <w:color w:val="111111"/>
          <w:sz w:val="28"/>
          <w:sz w:val="28"/>
          <w:szCs w:val="28"/>
          <w:rtl w:val="true"/>
          <w:lang w:bidi="fa-IR"/>
        </w:rPr>
        <w:t>اسلام و ایمان، چه رابطه ای وجود دارد؟ آیا ایمان، مخلوق است؟ آیا ایمان، قابل افزایش و کاهش است؟ آیا میان ایمان و کفر، واسطه ای هست؟ مرتکب کبیره، مؤمن محسوب می شود یا کافر یا هیچ کدام؟ ایمان دارای چه آثار و برکاتی است؟</w:t>
      </w:r>
    </w:p>
    <w:p>
      <w:pPr>
        <w:pStyle w:val="BookText"/>
        <w:rPr/>
      </w:pPr>
      <w:r>
        <w:rPr>
          <w:rFonts w:ascii="IRNazanin" w:hAnsi="IRNazanin" w:eastAsia="IRNazanin"/>
          <w:color w:val="111111"/>
          <w:sz w:val="28"/>
          <w:sz w:val="28"/>
          <w:szCs w:val="28"/>
          <w:rtl w:val="true"/>
          <w:lang w:bidi="fa-IR"/>
        </w:rPr>
        <w:t>نوشتار حاضر، کاوشی است در جمع آوری و تبیین آرای شیخ ابوجعفر محمد بن حسن طوسی در باب ایمان و مسائل مطروحه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بیشتر مسائل این باب، مورد اختلاف است و رهیافتهای متعددی در آن وجود دارد، در هر مسئله، نخست عمده ترین قولها را یاد آور شده، سپس به تفصیل به بررسی و تحقیق رهیافت شیخ می پردازیم</w:t>
      </w:r>
      <w:r>
        <w:rPr>
          <w:rFonts w:eastAsia="IRNazanin" w:cs="IRNazanin"/>
          <w:color w:val="111111"/>
          <w:sz w:val="28"/>
          <w:szCs w:val="28"/>
          <w:rtl w:val="true"/>
          <w:lang w:bidi="fa-IR"/>
        </w:rPr>
        <w:t>.</w:t>
      </w:r>
    </w:p>
    <w:p>
      <w:pPr>
        <w:pStyle w:val="Heading3"/>
        <w:numPr>
          <w:ilvl w:val="2"/>
          <w:numId w:val="1"/>
        </w:numPr>
        <w:rPr/>
      </w:pPr>
      <w:bookmarkStart w:id="19" w:name="__RefHeading___Toc7812096_3381743652"/>
      <w:bookmarkStart w:id="20" w:name="_Toc7"/>
      <w:bookmarkEnd w:id="19"/>
      <w:r>
        <w:rPr>
          <w:rtl w:val="true"/>
        </w:rPr>
        <w:t>معنای ایمان در لغت</w:t>
      </w:r>
      <w:bookmarkEnd w:id="20"/>
    </w:p>
    <w:p>
      <w:pPr>
        <w:pStyle w:val="BookText"/>
        <w:rPr/>
      </w:pPr>
      <w:r>
        <w:rPr>
          <w:rFonts w:ascii="IRNazanin" w:hAnsi="IRNazanin" w:eastAsia="IRNazanin"/>
          <w:color w:val="111111"/>
          <w:sz w:val="28"/>
          <w:sz w:val="28"/>
          <w:szCs w:val="28"/>
          <w:rtl w:val="true"/>
          <w:lang w:bidi="fa-IR"/>
        </w:rPr>
        <w:t xml:space="preserve">ایمان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دو معنی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که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آن، آرامش دل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بمؤمن 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یعنی تو ما را تصدیق نمیکنی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ایمان، مقابل کفر و به معنای تصدیق است که مقابل تکذیب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مصدر است، آمن، یؤمن، ایمان ، فهو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اعم از لغت دانان و غیر آنان اتفاق دارند که معنای ایمان، تصدیق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شیخ فخرالدین طریحی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همه، معنای ایمان در لغت، تصدیق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ابن اثیر نیز در این عقیده با زجاج و طریحی هم رأی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نفس و از میان رفتن ترس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مصدرند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نام حالتی قرار داده می شود که انسان در آن آرامش دارد و گاهی نام چیزی قرار داده می شود که سبب در امان بودن انسان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مواردی نام شریعتی قرار می گیرد که حضرت محمد آورده است و کسی متصف به ایمان می گردد که با اقرار به خدا و نبوت پیامبر داخل در شریعت </w:t>
      </w:r>
      <w:bookmarkStart w:id="21" w:name="pg14387_143618"/>
    </w:p>
    <w:p>
      <w:pPr>
        <w:pStyle w:val="BookText"/>
        <w:rPr/>
      </w:pPr>
      <w:bookmarkEnd w:id="21"/>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برای مدح به کار می رود و غرض از آن، این است که نفس، به حق گرویده و نسبت به آن، تصدیق می ورزد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هرچند که در ریشه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معنای حقیقی نهفته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معنای حقیقی ایمان، طبق اتفاقی که از اهل لغت ذکر شد، همان تصدیق است که در فارسی از آن به گرویدن و راستگو شمردن تعبیر می شود</w:t>
      </w:r>
      <w:r>
        <w:rPr>
          <w:rFonts w:eastAsia="IRNazanin" w:cs="IRNazanin"/>
          <w:color w:val="111111"/>
          <w:sz w:val="28"/>
          <w:szCs w:val="28"/>
          <w:rtl w:val="true"/>
          <w:lang w:bidi="fa-IR"/>
        </w:rPr>
        <w:t>.</w:t>
      </w:r>
    </w:p>
    <w:p>
      <w:pPr>
        <w:pStyle w:val="Heading3"/>
        <w:numPr>
          <w:ilvl w:val="2"/>
          <w:numId w:val="1"/>
        </w:numPr>
        <w:rPr/>
      </w:pPr>
      <w:bookmarkStart w:id="22" w:name="__RefHeading___Toc7812098_3381743652"/>
      <w:bookmarkStart w:id="23" w:name="_Toc8"/>
      <w:bookmarkEnd w:id="22"/>
      <w:r>
        <w:rPr>
          <w:rtl w:val="true"/>
        </w:rPr>
        <w:t>معنای کفر در لغت</w:t>
      </w:r>
      <w:bookmarkEnd w:id="23"/>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معنای واحدی دارد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زرهش را پوشانده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درعه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چون زارع بذر را با خاک می پوشاند و کافر را از این رو کافر می خوانند که کفر، تمام قلب او را می پوشاند و او را در حجاب قرار می دهد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24" w:name="__RefHeading___Toc7812100_3381743652"/>
      <w:bookmarkStart w:id="25" w:name="_Toc9"/>
      <w:bookmarkEnd w:id="24"/>
      <w:r>
        <w:rPr>
          <w:rtl w:val="true"/>
        </w:rPr>
        <w:t>تطورکلامی مفهوم ایمان</w:t>
      </w:r>
      <w:bookmarkEnd w:id="25"/>
    </w:p>
    <w:p>
      <w:pPr>
        <w:pStyle w:val="BookText"/>
        <w:rPr/>
      </w:pPr>
      <w:r>
        <w:rPr>
          <w:rFonts w:ascii="IRNazanin" w:hAnsi="IRNazanin" w:eastAsia="IRNazanin"/>
          <w:color w:val="111111"/>
          <w:sz w:val="28"/>
          <w:sz w:val="28"/>
          <w:szCs w:val="28"/>
          <w:rtl w:val="true"/>
          <w:lang w:bidi="fa-IR"/>
        </w:rPr>
        <w:t>ایمان از نظر تاریخی، نخستین و مهمترین مفهوم کلامی در اسلام بود و در چند قرن آغازین فرهنگ اسلامی، چندین مسئله مهم را فراروی دانشوران اسلامی نهاد که بی تردید، پاره ای از آن مسائل برای امت اسلامی، از مسائل حیاتی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بحثهایی که در باب مفهوم ایمان درگرفت، نقطه آغازین تفکر کلامی در میان مسلمانان صدر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نخست در یک فضای سیاسی و کلامی راجع به خلافت و مسائل پیرامون آن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جنگ صفین که چیزی از فروپاشی سپاه معاویة بن ابی سفیان باقی نمانده بود، با نیرنگی که به ابتکار عمروعاص صورت گرفت، گروهی از سپاه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 آن حضرت سر برتافته، حکمیت را بر او تحمیل کردند و بدین سان، گروه متعصب و بدعت پیشه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در باب خلافت بر این باور بودند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هیچ کدام در </w:t>
      </w:r>
    </w:p>
    <w:p>
      <w:pPr>
        <w:pStyle w:val="BookText"/>
        <w:rPr/>
      </w:pPr>
      <w:r>
        <w:rPr>
          <w:rFonts w:ascii="IRNazanin" w:hAnsi="IRNazanin" w:eastAsia="IRNazanin"/>
          <w:color w:val="111111"/>
          <w:sz w:val="28"/>
          <w:sz w:val="28"/>
          <w:szCs w:val="28"/>
          <w:rtl w:val="true"/>
          <w:lang w:bidi="fa-IR"/>
        </w:rPr>
        <w:t>خور خلافت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 نیازی به خلیفه نیست، کتاب خدا کافی است؛ اما می افزودند که اگر هیچ راه دیگری نباشد، مناسبترین فرد برای خلافت، باید از میان مردم برگزیده شود، حتی اگر غلام حبشی باشد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این اوضاع و احوال، از دیدگاه امروزی می تواند دارای ماهیت سیاسی قلمداد شود؛ هرچند که خود آنان، مسئله را به عنوان مسئله ای صرفا سیاسی مورد بحث قرار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برای شکست دادن و محکوم کردن مخالفان سیاسی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طرد رهبران آن دو گروه، پرسش اصلی خود را از امت اسلامی،</w:t>
      </w:r>
      <w:r>
        <w:rPr>
          <w:rStyle w:val="FootnoteAnchor"/>
          <w:rtl w:val="true"/>
        </w:rPr>
        <w:footnoteReference w:id="57"/>
      </w:r>
      <w:r>
        <w:rPr>
          <w:rFonts w:ascii="IRNazanin" w:hAnsi="IRNazanin" w:eastAsia="IRNazanin"/>
          <w:color w:val="111111"/>
          <w:sz w:val="28"/>
          <w:sz w:val="28"/>
          <w:szCs w:val="28"/>
          <w:rtl w:val="true"/>
          <w:lang w:bidi="fa-IR"/>
        </w:rPr>
        <w:t>چنین 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تابع علی و پشتیبان اوست، کافر است یا مؤمن؟ تابع و پشتیبان معاویه، کافر است یا مؤمن؟</w:t>
      </w:r>
    </w:p>
    <w:p>
      <w:pPr>
        <w:pStyle w:val="BookText"/>
        <w:rPr/>
      </w:pPr>
      <w:r>
        <w:rPr>
          <w:rFonts w:ascii="IRNazanin" w:hAnsi="IRNazanin" w:eastAsia="IRNazanin"/>
          <w:color w:val="111111"/>
          <w:sz w:val="28"/>
          <w:sz w:val="28"/>
          <w:szCs w:val="28"/>
          <w:rtl w:val="true"/>
          <w:lang w:bidi="fa-IR"/>
        </w:rPr>
        <w:t>آنان در سطح نظری تر، همین سؤال را اینگونه 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مرتکب گناه کبیره می شود، هنوز باید مؤمن انگاشته شود یا به سبب همین امر، کافر تمام عیار است؟ از همین جا بود که مسئله مشهور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پرسش به این جا منتهی شد، کاملا روشن است که پاسخ مناسب به آن، بدون داشتن نظریه ای معین در باب ایمان و حقیقت آن،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سبب شد که بحثهای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میان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خوارج به جای این که مستقیما به مسئله ایمان بپردازند، تمام توجه خود را به مفهوم کفر معطوف می کردند؛ یعنی آنها سؤال نمی کردند که ایمان چیست یا حتی کفر چیست؟ بلکه این پرسش را مطرح می کردند که غیرمؤمن یا کافر کیست؟</w:t>
      </w:r>
      <w:r>
        <w:rPr>
          <w:rStyle w:val="FootnoteAnchor"/>
          <w:rtl w:val="true"/>
        </w:rPr>
        <w:footnoteReference w:id="5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بحث از مسئله ایمان، در فضای سیاسی به وجود آمده، سپس اندک اندک جنبه کلامی آن اهمیت بیشتری یافت و آنگونه که در آینده به تفصیل، راجع به رویکرد خوارج سخن خواهیم گفت، این جماعت پذیرفتند که اعمال جوارحی؛ یعنی انجام طاعات، از عناصر متشکله و از ارکان ایمان می باشد و بنابراین، مرتکب کبیره، کافر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مقابل نظریه افراطی خوارج، این نظریه افراطی و بدعت آمیز از سوی جهمیه پیروان جهم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که ایمان، صرفا معرفت باطنی است و هیچ چیز دیگر، خواه قول یا عمل، در حقیقت آن سهیم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برخورد و تقابل آرا بود که سبب شد مسئله ایمان و کفر و رابطه عمل با ایمان، در نظام کلام سنتی، جایگاه مهمی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طرز تلقی خوارج در باب ایمان، از لحاظ نظری به دست اهل اعتزال بسط یافت و آنان در کل پذیرفتند که اعمال جوارحی در حقیقت ایمان سهم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خصوص مرتکب کبیره، بر خلاف گروه خوارج، رهیافت دیگری به نام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مذهبی و کلامی شیعه نیز از دیرباز، بحث کفر و ایمان مطرح بوده و در پاره ای از کتب روایی امامیه، احادیث این موضوع را با عنوان مستقل کتاب 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کرده اند</w:t>
      </w:r>
      <w:r>
        <w:rPr>
          <w:rStyle w:val="FootnoteAnchor"/>
          <w:rtl w:val="true"/>
        </w:rPr>
        <w:footnoteReference w:id="59"/>
      </w:r>
      <w:r>
        <w:rPr>
          <w:rFonts w:ascii="IRNazanin" w:hAnsi="IRNazanin" w:eastAsia="IRNazanin"/>
          <w:color w:val="111111"/>
          <w:sz w:val="28"/>
          <w:sz w:val="28"/>
          <w:szCs w:val="28"/>
          <w:rtl w:val="true"/>
          <w:lang w:bidi="fa-IR"/>
        </w:rPr>
        <w:t>و روایات بسیاری درباره مسائل مختلف ایمان و کفر از ائمه طلا به دست ما رسیده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در قدیمی ترین کتاب کلامی شیعی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ابراهیم بن نوبخت این مسئله را به بحث گذاشته و برای اثبات مدعای خویش در حقیقت ایمان، از آیات قرآنی مدد جسته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باری، در گذشته، مسئله ایمان و کفر،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گذاشته می شد و در میان متقدمان، همین عنوان شایع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آنان از اسماء، نامهای مکلفان است، از این منظر که مورد ستایش یا نکوهش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نامهایی که مورد ستایش قرار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گیرد؛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مسلمان، متقی، صالح و عناوین دیگری از این دست، و نامهایی که در خور نکوهش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فاسق 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آنان از احکام، پیامدهای دنیوی؛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بودن یا نبودن ازدواج و جواز یا عدم جواز دفن در قبرستان مسلمانان و مانند آن یا پیامدهای اخروی؛ یعنی پاداش و کیفر و چگونگی آن است که در آخرت بر هر یک از اسماء مزبور تعلق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bookmarkStart w:id="26" w:name="pg14387_143621"/>
    </w:p>
    <w:p>
      <w:pPr>
        <w:pStyle w:val="Heading3"/>
        <w:numPr>
          <w:ilvl w:val="2"/>
          <w:numId w:val="1"/>
        </w:numPr>
        <w:rPr/>
      </w:pPr>
      <w:bookmarkStart w:id="27" w:name="__RefHeading___Toc7812102_3381743652"/>
      <w:bookmarkStart w:id="28" w:name="_Toc10"/>
      <w:bookmarkEnd w:id="26"/>
      <w:bookmarkEnd w:id="27"/>
      <w:r>
        <w:rPr>
          <w:rtl w:val="true"/>
        </w:rPr>
        <w:t>ساختار معنی شناختی ایمان</w:t>
      </w:r>
      <w:bookmarkEnd w:id="28"/>
    </w:p>
    <w:p>
      <w:pPr>
        <w:pStyle w:val="BookText"/>
        <w:rPr/>
      </w:pPr>
      <w:r>
        <w:rPr>
          <w:rFonts w:ascii="IRNazanin" w:hAnsi="IRNazanin" w:eastAsia="IRNazanin"/>
          <w:color w:val="111111"/>
          <w:sz w:val="28"/>
          <w:sz w:val="28"/>
          <w:szCs w:val="28"/>
          <w:rtl w:val="true"/>
          <w:lang w:bidi="fa-IR"/>
        </w:rPr>
        <w:t>در ساختار معنی شناختی ایمان، چند نکته اساسی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مسئله ایمان را از زوایای مختلفی می توان مورد بررسی و بازکاوی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 فاعل؛ هنگامی که از این منظر به مسئله نظر می افکنیم، می خواهیم این نکته را بشکافیم که مؤمن حقیقی کیست؟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 متعلق، یعنی این که مؤمن باید به چه چیزی ایمان آورد و متعلق ایمان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ساختار درونی خود ایمان؛ که حقیقت ایمان چیست؟</w:t>
      </w:r>
    </w:p>
    <w:p>
      <w:pPr>
        <w:pStyle w:val="BookText"/>
        <w:rPr/>
      </w:pPr>
      <w:r>
        <w:rPr>
          <w:rFonts w:ascii="IRNazanin" w:hAnsi="IRNazanin" w:eastAsia="IRNazanin"/>
          <w:color w:val="111111"/>
          <w:sz w:val="28"/>
          <w:sz w:val="28"/>
          <w:szCs w:val="28"/>
          <w:rtl w:val="true"/>
          <w:lang w:bidi="fa-IR"/>
        </w:rPr>
        <w:t>عمده ترین بحث درباره ایمان، در بعد دوم و سوم است که در آن، نکات مهمی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صرف فعل قلب است یا تنها اقرار به زبان؟ یا این که حقیقت ایمان، مرکب از هر دو است و یا بالاتر از آن، ایمان مرکب از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قلبی، اقرار زبانی و عمل با سایر جوارح؟ دربارۀ متعلق ایمان نیز پرسشهایی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متعلق ایمان موجود عینی خارجی است یا گزاره ها یا هر دو؟</w:t>
      </w:r>
    </w:p>
    <w:p>
      <w:pPr>
        <w:pStyle w:val="BookText"/>
        <w:rPr/>
      </w:pPr>
      <w:r>
        <w:rPr>
          <w:rFonts w:ascii="IRNazanin" w:hAnsi="IRNazanin" w:eastAsia="IRNazanin"/>
          <w:color w:val="111111"/>
          <w:sz w:val="28"/>
          <w:sz w:val="28"/>
          <w:szCs w:val="28"/>
          <w:rtl w:val="true"/>
          <w:lang w:bidi="fa-IR"/>
        </w:rPr>
        <w:t>از ساختار معنی شناختی ایمان که بگذریم، نکات عمده و قابل توجه دیگر نیز در بحث ایمان به چشم می خورد که پاره ای از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اسلام و ایمان، از حیث معنی، متحدند یا متغایر؟</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قابل افزایش و کاهش است؟</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واسطه ای میان کفر و ایمان وجود دارد؟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 بزرگ و کوچک دارد و اگر پاسخ مثبت است، تمایز آن دو در چیست؟</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کبیره، مؤمن است یا کافر؟</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دارای چه آثار و برکاتی است؟</w:t>
      </w:r>
    </w:p>
    <w:p>
      <w:pPr>
        <w:pStyle w:val="Heading3"/>
        <w:numPr>
          <w:ilvl w:val="2"/>
          <w:numId w:val="1"/>
        </w:numPr>
        <w:rPr/>
      </w:pPr>
      <w:bookmarkStart w:id="29" w:name="__RefHeading___Toc7812104_3381743652"/>
      <w:bookmarkStart w:id="30" w:name="_Toc11"/>
      <w:bookmarkEnd w:id="29"/>
      <w:r>
        <w:rPr>
          <w:rtl w:val="true"/>
        </w:rPr>
        <w:t>حقیقت ایمان</w:t>
      </w:r>
      <w:bookmarkEnd w:id="3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که آیا حقیقت ایمان، تصدیق قلبی است یا اقرار زبانی یا مرکب از هر دو و نیز این که اعمال جوارحی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 ایمان سهیم است یا خیر؟ از مسائلی است که مورد اختلاف شدید متکلمان قرار گرفته و راجع به آن، رویکردهایی ابراز شده است </w:t>
      </w:r>
      <w:bookmarkStart w:id="31" w:name="pg14387_143622"/>
    </w:p>
    <w:p>
      <w:pPr>
        <w:pStyle w:val="BookText"/>
        <w:rPr/>
      </w:pPr>
      <w:bookmarkEnd w:id="31"/>
      <w:r>
        <w:rPr>
          <w:rFonts w:ascii="IRNazanin" w:hAnsi="IRNazanin" w:eastAsia="IRNazanin"/>
          <w:color w:val="111111"/>
          <w:sz w:val="28"/>
          <w:sz w:val="28"/>
          <w:szCs w:val="28"/>
          <w:rtl w:val="true"/>
          <w:lang w:bidi="fa-IR"/>
        </w:rPr>
        <w:t xml:space="preserve">که به اختصار،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انگاری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انگاری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انگاری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انگاری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رویکردی که از روایات استفاده می شود و ایمان را مرکب از تصدیق قلبی، اقرار زبانی و عمل به ارکان می داند،</w:t>
      </w:r>
      <w:r>
        <w:rPr>
          <w:rStyle w:val="FootnoteAnchor"/>
          <w:rtl w:val="true"/>
        </w:rPr>
        <w:footnoteReference w:id="63"/>
      </w:r>
      <w:r>
        <w:rPr>
          <w:rFonts w:ascii="IRNazanin" w:hAnsi="IRNazanin" w:eastAsia="IRNazanin"/>
          <w:color w:val="111111"/>
          <w:sz w:val="28"/>
          <w:sz w:val="28"/>
          <w:szCs w:val="28"/>
          <w:rtl w:val="true"/>
          <w:lang w:bidi="fa-IR"/>
        </w:rPr>
        <w:t>بررسی می شود</w:t>
      </w:r>
      <w:r>
        <w:rPr>
          <w:rFonts w:eastAsia="IRNazanin" w:cs="IRNazanin"/>
          <w:color w:val="111111"/>
          <w:sz w:val="28"/>
          <w:szCs w:val="28"/>
          <w:rtl w:val="true"/>
          <w:lang w:bidi="fa-IR"/>
        </w:rPr>
        <w:t>.</w:t>
      </w:r>
    </w:p>
    <w:p>
      <w:pPr>
        <w:pStyle w:val="Heading3"/>
        <w:numPr>
          <w:ilvl w:val="2"/>
          <w:numId w:val="1"/>
        </w:numPr>
        <w:rPr/>
      </w:pPr>
      <w:bookmarkStart w:id="32" w:name="__RefHeading___Toc7812106_3381743652"/>
      <w:bookmarkStart w:id="33" w:name="_Toc12"/>
      <w:bookmarkEnd w:id="32"/>
      <w:r>
        <w:rPr>
          <w:rtl w:val="true"/>
        </w:rPr>
        <w:t>تمایز معرفت و تصدیق</w:t>
      </w:r>
      <w:bookmarkEnd w:id="33"/>
    </w:p>
    <w:p>
      <w:pPr>
        <w:pStyle w:val="BookText"/>
        <w:rPr/>
      </w:pPr>
      <w:r>
        <w:rPr>
          <w:rFonts w:ascii="IRNazanin" w:hAnsi="IRNazanin" w:eastAsia="IRNazanin"/>
          <w:color w:val="111111"/>
          <w:sz w:val="28"/>
          <w:sz w:val="28"/>
          <w:szCs w:val="28"/>
          <w:rtl w:val="true"/>
          <w:lang w:bidi="fa-IR"/>
        </w:rPr>
        <w:t xml:space="preserve">چنان که ملاحظه شد و بعدا به تفصیل خواهد آمد، برخی از نحله های کلامی، حقیقت ایمان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حقیقت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پرسش مطرح می شود که آیا میان معرفت و تصدیق، واقعا تمایزی وجود دارد؟</w:t>
      </w:r>
    </w:p>
    <w:p>
      <w:pPr>
        <w:pStyle w:val="BookText"/>
        <w:rPr/>
      </w:pPr>
      <w:r>
        <w:rPr>
          <w:rFonts w:ascii="IRNazanin" w:hAnsi="IRNazanin" w:eastAsia="IRNazanin"/>
          <w:color w:val="111111"/>
          <w:sz w:val="28"/>
          <w:sz w:val="28"/>
          <w:szCs w:val="28"/>
          <w:rtl w:val="true"/>
          <w:lang w:bidi="fa-IR"/>
        </w:rPr>
        <w:t>کسانی که ایمان را تصدیق صرف و کسان دیگری که ایمان را معرفت تنها می دانند، یقینا میان معرفت و تصدیق، فرقهایی قائلند و نمی شود گفت که اختلاف آنان تنها نزاع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دو فرق میان تصدیق و معرفت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مقابل و ضد تکذیب است، در حالی که معرفت، مقابل جهالت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پیوند قلبی به چیزی است که علم به آن دارد؛ بنابراین، تصدیق، امری اختیاری و اکتسابی است و از همین رو به آن امر می شود و به آن، پاداش و کیفر تعلق می گیرد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برخی از آیات قرآن صراحت دارد که میان یقین و علم و ایمان، فرق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جحدوا بها و استیقنتها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با آنکه دلهایشان بدان یقین داشت، از روی ظلم و تکبر، آن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درباره فرعون و اتباع اوست که با این که یقین داشتند آیات و نشانه هایی که در دست حضرت موسی علت است، از خداوند می باشد، به او ایمان نمی آوردند و او را تصدیق نمی کردند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آتیناهم الکتاب یعرفونه کما یعرفون أبناءهم و إن فریقا منهم لیکتمون الحق و هم یعلمون</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با کسانی که به ایشان کتاب آسمانی داده ایم، همانگونه که پسران خود را </w:t>
      </w:r>
      <w:bookmarkStart w:id="34" w:name="pg14387_143623"/>
    </w:p>
    <w:p>
      <w:pPr>
        <w:pStyle w:val="BookText"/>
        <w:rPr/>
      </w:pPr>
      <w:bookmarkEnd w:id="34"/>
      <w:r>
        <w:rPr>
          <w:rFonts w:ascii="IRNazanin" w:hAnsi="IRNazanin" w:eastAsia="IRNazanin"/>
          <w:color w:val="111111"/>
          <w:sz w:val="28"/>
          <w:sz w:val="28"/>
          <w:szCs w:val="28"/>
          <w:rtl w:val="true"/>
          <w:lang w:bidi="fa-IR"/>
        </w:rPr>
        <w:t xml:space="preserve">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شناسند و مسلما برخی از آنان حقیقت را پنهان می کنند و خودشان هم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به خوبی می رساند که ایمان، ورای معرفت است؛ چه این که برخی از کافران با اینکه علم به نبوت پیامبر داشتند، او را تصدیق نمی کردند و به او ایمان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الذین أوتوا الکتاب لیعلمون أنه الحق من ربهم و ما الله بغافل عما یعملون</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در حقیقت، اهل کتاب نیک می دانند که این تغییر قبله از جانب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و درست است و خدا از آنچه می کنند،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آیه پیش ذکر شد، تقریب استدلال به این آیه نیز روشن می شود</w:t>
      </w:r>
      <w:r>
        <w:rPr>
          <w:rFonts w:eastAsia="IRNazanin" w:cs="IRNazanin"/>
          <w:color w:val="111111"/>
          <w:sz w:val="28"/>
          <w:szCs w:val="28"/>
          <w:rtl w:val="true"/>
          <w:lang w:bidi="fa-IR"/>
        </w:rPr>
        <w:t>.</w:t>
      </w:r>
    </w:p>
    <w:p>
      <w:pPr>
        <w:pStyle w:val="Heading3"/>
        <w:numPr>
          <w:ilvl w:val="2"/>
          <w:numId w:val="1"/>
        </w:numPr>
        <w:rPr/>
      </w:pPr>
      <w:bookmarkStart w:id="35" w:name="__RefHeading___Toc7812108_3381743652"/>
      <w:bookmarkStart w:id="36" w:name="_Toc13"/>
      <w:bookmarkEnd w:id="35"/>
      <w:r>
        <w:rPr>
          <w:rtl w:val="true"/>
        </w:rPr>
        <w:t>طاعت انگاری ایمان</w:t>
      </w:r>
      <w:bookmarkEnd w:id="36"/>
    </w:p>
    <w:p>
      <w:pPr>
        <w:pStyle w:val="BookText"/>
        <w:rPr/>
      </w:pPr>
      <w:r>
        <w:rPr>
          <w:rFonts w:ascii="IRNazanin" w:hAnsi="IRNazanin" w:eastAsia="IRNazanin"/>
          <w:color w:val="111111"/>
          <w:sz w:val="28"/>
          <w:sz w:val="28"/>
          <w:szCs w:val="28"/>
          <w:rtl w:val="true"/>
          <w:lang w:bidi="fa-IR"/>
        </w:rPr>
        <w:t xml:space="preserve">گروه خوارج و معتزله در باب ایمان، رویکرد عمل گرایانه را در پیش گرفته، تنها اقرار زبانی و تصدیق قلبی را در حقیقت ایمان کافی نمی دانند و بر این باورند که اعمال جوارحی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لاینفک ایمان و از عناصر تشکیل دهنده آن است؛ با این تفاوت که گروه خوارج، مرتکب گناه کبیره را به کلی از قلمرو مؤمنان خارج و کافر تمام عیار می انگارند، اما گروه معتزله، مرتکب کبیره را در برزخ میان ایمان 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دهند</w:t>
      </w:r>
      <w:r>
        <w:rPr>
          <w:rFonts w:eastAsia="IRNazanin" w:cs="IRNazanin"/>
          <w:color w:val="111111"/>
          <w:sz w:val="28"/>
          <w:szCs w:val="28"/>
          <w:rtl w:val="true"/>
          <w:lang w:bidi="fa-IR"/>
        </w:rPr>
        <w:t>.</w:t>
      </w:r>
    </w:p>
    <w:p>
      <w:pPr>
        <w:pStyle w:val="Heading3"/>
        <w:numPr>
          <w:ilvl w:val="2"/>
          <w:numId w:val="1"/>
        </w:numPr>
        <w:rPr/>
      </w:pPr>
      <w:bookmarkStart w:id="37" w:name="__RefHeading___Toc7812110_3381743652"/>
      <w:bookmarkStart w:id="38" w:name="_Toc14"/>
      <w:bookmarkEnd w:id="37"/>
      <w:r>
        <w:rPr>
          <w:rtl w:val="true"/>
        </w:rPr>
        <w:t>روی آورد خوارج</w:t>
      </w:r>
      <w:bookmarkEnd w:id="38"/>
    </w:p>
    <w:p>
      <w:pPr>
        <w:pStyle w:val="BookText"/>
        <w:rPr/>
      </w:pPr>
      <w:r>
        <w:rPr>
          <w:rFonts w:ascii="IRNazanin" w:hAnsi="IRNazanin" w:eastAsia="IRNazanin"/>
          <w:color w:val="111111"/>
          <w:sz w:val="28"/>
          <w:sz w:val="28"/>
          <w:szCs w:val="28"/>
          <w:rtl w:val="true"/>
          <w:lang w:bidi="fa-IR"/>
        </w:rPr>
        <w:t>کعبی هنگامی که اصول مورد اتفاق خوارج را بر می شمارد،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امر ذیل مورد اتفاق این جماعت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کافر انگاشتن امام علی علی ، عثمان، دو 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 و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رضایت به حکم آن دو حکم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انگاشتن مرتکب کبیره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قیام همه مؤمنان علیه امام جائر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9" w:name="pg14387_143624"/>
    </w:p>
    <w:p>
      <w:pPr>
        <w:pStyle w:val="BookText"/>
        <w:rPr/>
      </w:pPr>
      <w:bookmarkEnd w:id="39"/>
      <w:r>
        <w:rPr>
          <w:rFonts w:ascii="IRNazanin" w:hAnsi="IRNazanin" w:eastAsia="IRNazanin"/>
          <w:color w:val="111111"/>
          <w:sz w:val="28"/>
          <w:sz w:val="28"/>
          <w:szCs w:val="28"/>
          <w:rtl w:val="true"/>
          <w:lang w:bidi="fa-IR"/>
        </w:rPr>
        <w:t>اشعری، تنها امر نخست</w:t>
      </w:r>
      <w:r>
        <w:rPr>
          <w:rStyle w:val="FootnoteAnchor"/>
          <w:rtl w:val="true"/>
        </w:rPr>
        <w:footnoteReference w:id="67"/>
      </w:r>
      <w:r>
        <w:rPr>
          <w:rFonts w:ascii="IRNazanin" w:hAnsi="IRNazanin" w:eastAsia="IRNazanin"/>
          <w:color w:val="111111"/>
          <w:sz w:val="28"/>
          <w:sz w:val="28"/>
          <w:szCs w:val="28"/>
          <w:rtl w:val="true"/>
          <w:lang w:bidi="fa-IR"/>
        </w:rPr>
        <w:t>را مورد اتفاق گروه خوارج می داند، ولی درباره مرتکب کبیره، اذعان دارد که نجدات که فرقه ای از خوارجند، مرتکب کبیره را کافر نمی دانند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از این دو نقل قول به طور غیرمستقیم استفاده می شود که همه خوارج، بجز فرقه نجدات، عمل جوارحی را در حقیقت ایمان سهیم می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رویکرد این جماعت در حقیقت کفر نیز روشن شد؛ زیرا این گروه، هنگامی که طاعات را در حقیقت ایمان سهیم می داند، یقینا معتقد است که با ارتکاب گناه، یکی از عناصر تشکیل دهنده ایمان از میان می رود و بنابراین، کسی که در عمل، مرتکب کبیره می گردد، از قلمرو مؤمنان خارج و به یک کافر تمام عیار تبدیل می شود؛ هرچند که قلب به وحدانیت خداوند و سایر معارف، تصدیق داشته باشد و در زبان نیز بر آنها اصرار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این جماعت، واسطه ای میان ایمان وکفر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با سرکشی و تمرد از فرمانهای الهی، از قلمرو ایمان خارج شد، بلافاصله در قلمرو کفر داخل می گردد</w:t>
      </w:r>
      <w:r>
        <w:rPr>
          <w:rFonts w:eastAsia="IRNazanin" w:cs="IRNazanin"/>
          <w:color w:val="111111"/>
          <w:sz w:val="28"/>
          <w:szCs w:val="28"/>
          <w:rtl w:val="true"/>
          <w:lang w:bidi="fa-IR"/>
        </w:rPr>
        <w:t>.</w:t>
      </w:r>
    </w:p>
    <w:p>
      <w:pPr>
        <w:pStyle w:val="Heading3"/>
        <w:numPr>
          <w:ilvl w:val="2"/>
          <w:numId w:val="1"/>
        </w:numPr>
        <w:rPr/>
      </w:pPr>
      <w:bookmarkStart w:id="40" w:name="__RefHeading___Toc7812112_3381743652"/>
      <w:bookmarkStart w:id="41" w:name="_Toc15"/>
      <w:bookmarkEnd w:id="40"/>
      <w:r>
        <w:rPr>
          <w:rtl w:val="true"/>
        </w:rPr>
        <w:t>روی آورد معتزله</w:t>
      </w:r>
      <w:bookmarkEnd w:id="41"/>
    </w:p>
    <w:p>
      <w:pPr>
        <w:pStyle w:val="BookText"/>
        <w:rPr/>
      </w:pPr>
      <w:r>
        <w:rPr>
          <w:rFonts w:ascii="IRNazanin" w:hAnsi="IRNazanin" w:eastAsia="IRNazanin"/>
          <w:color w:val="111111"/>
          <w:sz w:val="28"/>
          <w:sz w:val="28"/>
          <w:szCs w:val="28"/>
          <w:rtl w:val="true"/>
          <w:lang w:bidi="fa-IR"/>
        </w:rPr>
        <w:t>طرز تلقی بسیط خوارج در باب ایمان، مدتی بعد، از لحاظ نظری، به دست معتزله بسط یافت و آنها در کل، پذیرفتند که افعال جوارحی در حقیقت ایمان سهیم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بسیاری از متفکران معتزلی؛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ابوالهذیل علاف، هشام الفوطی، نظام، جبایی و برخی دیگر از این جماعت، ایمان را بر حسب طاعات؛ یعنی وظایف دینی تعریف کرده اند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قاضی عبدالجبار در تعریف ایمان می گوید</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نزد ابوعلی و ابوهاشم عبارت است از انجام عبادات واجب، نه عبادات مستحب و نیز دوری از قبایح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ابوالهذیل ایمان را انجام عبادات واجب و مستحب، هر دو میداند و سخن صحیح، همان سخن ابوالهذیل است</w:t>
      </w:r>
      <w:r>
        <w:rPr>
          <w:rFonts w:eastAsia="IRNazanin" w:cs="IRNazanin"/>
          <w:color w:val="111111"/>
          <w:sz w:val="28"/>
          <w:szCs w:val="28"/>
          <w:rtl w:val="true"/>
          <w:lang w:bidi="fa-IR"/>
        </w:rPr>
        <w:t>.</w:t>
      </w:r>
      <w:r>
        <w:rPr>
          <w:rStyle w:val="FootnoteAnchor"/>
          <w:rtl w:val="true"/>
        </w:rPr>
        <w:footnoteReference w:id="70"/>
      </w:r>
      <w:bookmarkStart w:id="42" w:name="pg14387_143625"/>
    </w:p>
    <w:p>
      <w:pPr>
        <w:pStyle w:val="BookText"/>
        <w:rPr/>
      </w:pPr>
      <w:bookmarkEnd w:id="42"/>
      <w:r>
        <w:rPr>
          <w:rFonts w:ascii="IRNazanin" w:hAnsi="IRNazanin" w:eastAsia="IRNazanin"/>
          <w:color w:val="111111"/>
          <w:sz w:val="28"/>
          <w:sz w:val="28"/>
          <w:szCs w:val="28"/>
          <w:rtl w:val="true"/>
          <w:lang w:bidi="fa-IR"/>
        </w:rPr>
        <w:t>بنابراین، انجام عبادات، خواه مستحب باشد یا واجب، از منظر قاضی در حقیقت ایمان سهیم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رویکرد عمومی معتزله را اینگونه تبیین می کند که طاعات از منظر آنها رکن واقعی و حقیقت ایمان را تشکیل می دهد، به نحوی که هر کس از اعمال عبادی غفلت بورزد، مؤمن نیست</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43" w:name="__RefHeading___Toc7812114_3381743652"/>
      <w:bookmarkStart w:id="44" w:name="_Toc16"/>
      <w:bookmarkEnd w:id="43"/>
      <w:r>
        <w:rPr>
          <w:rtl w:val="true"/>
        </w:rPr>
        <w:t>معنای کفر از دید معتزله</w:t>
      </w:r>
      <w:bookmarkEnd w:id="44"/>
    </w:p>
    <w:p>
      <w:pPr>
        <w:pStyle w:val="BookText"/>
        <w:rPr/>
      </w:pPr>
      <w:r>
        <w:rPr>
          <w:rFonts w:ascii="IRNazanin" w:hAnsi="IRNazanin" w:eastAsia="IRNazanin"/>
          <w:color w:val="111111"/>
          <w:sz w:val="28"/>
          <w:sz w:val="28"/>
          <w:szCs w:val="28"/>
          <w:rtl w:val="true"/>
          <w:lang w:bidi="fa-IR"/>
        </w:rPr>
        <w:t>اگر از زاویه تقابل میان ایمان و کفر، به مسئله نظر افکنیم و بر اساس تعریفی که معتزله برای ایمان ارائه دادند، تعریفی برای کفر داشته باشیم، کفر از منظر این جماعت، فقدان طاعات و ارتکاب گناه می باشد؛ چه این که اگر انجام طاعات در تحقق ایمان سهیم باشد، یقینا به قرینه تقابل، فقدان طاعات، مخل به حقیقت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در عمل، مرتکب گناه می گردد، از قلمرو مؤمنان خارج است؛ آنگونه که خوارج درست به همین امر ملتزم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اهل اعتزال، میان کفر و ایمان، واسطه قائلند و</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اصول خمسه اعتقادی آنان به شمار می رود، این جماعت در باب کفر رویکردی را برگزیده اند که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نداشته باشد و بنابراین، تعریف آنان از کفر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در لغت به معنای پوشاندن است، اما در شرع، کافر نام کسی است که سزاوار کیفر عظیم باشد و هیچ یک از احکام مسلمانان؛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بردن ارث و دفن شدن در قبرستان مسلمانان بر او جاری نگردد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آنگونه که ملاحظه می شود، آنچه این جماعت را به ارائه چنین تعریفی در باب کفر واداشته و سبب شده که آنان از لازم بین سخنشان در باب ایمان سر برتافته و به آن گردن ننهند، نظریه آنان در باب مرتکب کبیره است که معتزله چنین کسی را نه مؤمن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انگارند و نه کافر، بلکه فسق و ارتکاب گناه را واسطه و برزخی می دانند میان ایمان و کفر</w:t>
      </w:r>
      <w:r>
        <w:rPr>
          <w:rFonts w:eastAsia="IRNazanin" w:cs="IRNazanin"/>
          <w:color w:val="111111"/>
          <w:sz w:val="28"/>
          <w:szCs w:val="28"/>
          <w:rtl w:val="true"/>
          <w:lang w:bidi="fa-IR"/>
        </w:rPr>
        <w:t xml:space="preserve">. </w:t>
      </w:r>
      <w:bookmarkStart w:id="45" w:name="pg14387_143626"/>
    </w:p>
    <w:p>
      <w:pPr>
        <w:pStyle w:val="Heading3"/>
        <w:numPr>
          <w:ilvl w:val="2"/>
          <w:numId w:val="1"/>
        </w:numPr>
        <w:rPr/>
      </w:pPr>
      <w:bookmarkStart w:id="46" w:name="__RefHeading___Toc7812116_3381743652"/>
      <w:bookmarkStart w:id="47" w:name="_Toc17"/>
      <w:bookmarkEnd w:id="45"/>
      <w:bookmarkEnd w:id="46"/>
      <w:r>
        <w:rPr>
          <w:rtl w:val="true"/>
        </w:rPr>
        <w:t>روی آورد مرجئه</w:t>
      </w:r>
      <w:bookmarkEnd w:id="47"/>
    </w:p>
    <w:p>
      <w:pPr>
        <w:pStyle w:val="Heading4"/>
        <w:numPr>
          <w:ilvl w:val="3"/>
          <w:numId w:val="1"/>
        </w:numPr>
        <w:rPr/>
      </w:pPr>
      <w:bookmarkStart w:id="48" w:name="__RefHeading___Toc7812118_3381743652"/>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روی آورد مرجئه</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 جماعت در باب ایمان دیدگاههای متفاوتی را ابراز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در کتاب مقالات الاسلامیین دوازده قول را از این جماعت در حقیقت ایمان و هفت قول را در حقیقت کفر یاد آور شده است </w:t>
      </w:r>
      <w:r>
        <w:rPr>
          <w:rStyle w:val="FootnoteAnchor"/>
          <w:rtl w:val="true"/>
        </w:rPr>
        <w:footnoteReference w:id="74"/>
      </w:r>
      <w:r>
        <w:rPr>
          <w:rFonts w:ascii="IRNazanin" w:hAnsi="IRNazanin" w:eastAsia="IRNazanin"/>
          <w:color w:val="111111"/>
          <w:sz w:val="28"/>
          <w:sz w:val="28"/>
          <w:szCs w:val="28"/>
          <w:rtl w:val="true"/>
          <w:lang w:bidi="fa-IR"/>
        </w:rPr>
        <w:t>که در این نوشتار به ذکر دو قول عمده آنان اکتفا می کنیم</w:t>
      </w:r>
      <w:r>
        <w:rPr>
          <w:rFonts w:eastAsia="IRNazanin" w:cs="IRNazanin"/>
          <w:color w:val="111111"/>
          <w:sz w:val="28"/>
          <w:szCs w:val="28"/>
          <w:rtl w:val="true"/>
          <w:lang w:bidi="fa-IR"/>
        </w:rPr>
        <w:t>:</w:t>
      </w:r>
    </w:p>
    <w:p>
      <w:pPr>
        <w:pStyle w:val="Heading4"/>
        <w:numPr>
          <w:ilvl w:val="3"/>
          <w:numId w:val="1"/>
        </w:numPr>
        <w:rPr/>
      </w:pPr>
      <w:bookmarkStart w:id="50" w:name="__RefHeading___Toc7812120_3381743652"/>
      <w:bookmarkStart w:id="51" w:name="_Toc19"/>
      <w:bookmarkEnd w:id="50"/>
      <w:r>
        <w:rPr/>
        <w:t>١</w:t>
      </w:r>
      <w:r>
        <w:rPr>
          <w:rtl w:val="true"/>
        </w:rPr>
        <w:t xml:space="preserve">. </w:t>
      </w:r>
      <w:r>
        <w:rPr>
          <w:rtl w:val="true"/>
        </w:rPr>
        <w:t xml:space="preserve">معرفت انگاری ایمان </w:t>
      </w:r>
      <w:r>
        <w:rPr>
          <w:rtl w:val="true"/>
        </w:rPr>
        <w:t>(</w:t>
      </w:r>
      <w:r>
        <w:rPr>
          <w:rtl w:val="true"/>
        </w:rPr>
        <w:t>روی آورد جهمیه</w:t>
      </w:r>
      <w:r>
        <w:rPr>
          <w:rtl w:val="true"/>
        </w:rPr>
        <w:t>)</w:t>
      </w:r>
      <w:bookmarkEnd w:id="51"/>
    </w:p>
    <w:p>
      <w:pPr>
        <w:pStyle w:val="BookText"/>
        <w:rPr/>
      </w:pPr>
      <w:r>
        <w:rPr>
          <w:rFonts w:ascii="IRNazanin" w:hAnsi="IRNazanin" w:eastAsia="IRNazanin"/>
          <w:color w:val="111111"/>
          <w:sz w:val="28"/>
          <w:sz w:val="28"/>
          <w:szCs w:val="28"/>
          <w:rtl w:val="true"/>
          <w:lang w:bidi="fa-IR"/>
        </w:rPr>
        <w:t>جهم بن صفوان و پیروان او، ایمان را تنها معرفت باطنی انگاشته، اقرار زبانی و فعل جوارحی را در حقیقت آن دخیل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دیدگاه بدعت آمیز وی، کسی که در باطن به خدای یگانه معرفت داشته باشد، مؤمن راستین است؛ هرچند که در عمل،</w:t>
      </w:r>
    </w:p>
    <w:p>
      <w:pPr>
        <w:pStyle w:val="BookText"/>
        <w:rPr/>
      </w:pPr>
      <w:r>
        <w:rPr>
          <w:rFonts w:ascii="IRNazanin" w:hAnsi="IRNazanin" w:eastAsia="IRNazanin"/>
          <w:color w:val="111111"/>
          <w:sz w:val="28"/>
          <w:sz w:val="28"/>
          <w:szCs w:val="28"/>
          <w:rtl w:val="true"/>
          <w:lang w:bidi="fa-IR"/>
        </w:rPr>
        <w:t>گناهان بی شماری را مرتکب گردیده، نماز هم نخواهد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ابن حزم در تبیین این دیدگاه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مدعی اند که ایمان، تنها اعتقاد باطنی است؛ حتی اگر آشکارا و بدور از تقیه اظهار کفر کند، حتی اگر بت پرست باشد و در قلمرو اسلام، خود را منسوب به یهودیت و مسیحیت کند، حتی اگر صلیب را بپرستد و در قلمرو اسلام، اظهار ایمان به تثلیث کند و در این حالت بمیرد، مادامی که اعتقاد باطنی داشته باشد، در نظر خدا مؤمنی راستین و دوست خدا و در زمره بهشتیان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بنابراین، کفر از دید این جماعت، جهل و اعتقاد نداشتن به خدا و رسول اوست</w:t>
      </w:r>
      <w:r>
        <w:rPr>
          <w:rFonts w:eastAsia="IRNazanin" w:cs="IRNazanin"/>
          <w:color w:val="111111"/>
          <w:sz w:val="28"/>
          <w:szCs w:val="28"/>
          <w:rtl w:val="true"/>
          <w:lang w:bidi="fa-IR"/>
        </w:rPr>
        <w:t>.</w:t>
      </w:r>
    </w:p>
    <w:p>
      <w:pPr>
        <w:pStyle w:val="Heading4"/>
        <w:numPr>
          <w:ilvl w:val="3"/>
          <w:numId w:val="1"/>
        </w:numPr>
        <w:rPr/>
      </w:pPr>
      <w:bookmarkStart w:id="52" w:name="__RefHeading___Toc7812122_3381743652"/>
      <w:bookmarkStart w:id="53" w:name="_Toc20"/>
      <w:bookmarkEnd w:id="52"/>
      <w:r>
        <w:rPr/>
        <w:t>٢</w:t>
      </w:r>
      <w:r>
        <w:rPr>
          <w:rtl w:val="true"/>
        </w:rPr>
        <w:t xml:space="preserve">. </w:t>
      </w:r>
      <w:r>
        <w:rPr>
          <w:rtl w:val="true"/>
        </w:rPr>
        <w:t xml:space="preserve">اقرارانگاری ایمان </w:t>
      </w:r>
      <w:r>
        <w:rPr>
          <w:rtl w:val="true"/>
        </w:rPr>
        <w:t>(</w:t>
      </w:r>
      <w:r>
        <w:rPr>
          <w:rtl w:val="true"/>
        </w:rPr>
        <w:t>روی آورد کرامیه</w:t>
      </w:r>
      <w:r>
        <w:rPr>
          <w:rtl w:val="true"/>
        </w:rPr>
        <w:t>)</w:t>
      </w:r>
      <w:bookmarkEnd w:id="5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کرامیه در این نظر مشهورند که ایمان، تنها اقرار به زبان است و از این جهت، مقابل نظریة جهمیه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بر این پندارند که مادامی که انسان با زبان اظهار ایمان کند، در نظر خدا مؤمن است؛ حتی اگر اعتقاد باطنی او کفر باشد، دوست خداست و در </w:t>
      </w:r>
      <w:bookmarkStart w:id="54" w:name="pg14387_143627"/>
    </w:p>
    <w:p>
      <w:pPr>
        <w:pStyle w:val="BookText"/>
        <w:rPr/>
      </w:pPr>
      <w:bookmarkEnd w:id="54"/>
      <w:r>
        <w:rPr>
          <w:rFonts w:ascii="IRNazanin" w:hAnsi="IRNazanin" w:eastAsia="IRNazanin"/>
          <w:color w:val="111111"/>
          <w:sz w:val="28"/>
          <w:sz w:val="28"/>
          <w:szCs w:val="28"/>
          <w:rtl w:val="true"/>
          <w:lang w:bidi="fa-IR"/>
        </w:rPr>
        <w:t>آخرت از بهشتیان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کفر از منظر این جماعت عبارت است از انکار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منظر آنان، اعمال عبادی، در حقیقت کفر دخیل نیست</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55" w:name="__RefHeading___Toc7812124_3381743652"/>
      <w:bookmarkStart w:id="56" w:name="_Toc21"/>
      <w:bookmarkEnd w:id="55"/>
      <w:r>
        <w:rPr>
          <w:rtl w:val="true"/>
        </w:rPr>
        <w:t>تصدیق انگاری ایمان</w:t>
      </w:r>
      <w:bookmarkEnd w:id="56"/>
    </w:p>
    <w:p>
      <w:pPr>
        <w:pStyle w:val="Heading4"/>
        <w:numPr>
          <w:ilvl w:val="3"/>
          <w:numId w:val="1"/>
        </w:numPr>
        <w:rPr/>
      </w:pPr>
      <w:bookmarkStart w:id="57" w:name="__RefHeading___Toc7812126_3381743652"/>
      <w:bookmarkStart w:id="58" w:name="_Toc22"/>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این رویکرد در میان دو دیدگاه کلامی امامیه و اشعری طرفداران زیادی دارد که نخست رویکرد اشعریها و پس از آن، دیدگاه امامیه را یاد آور می شویم</w:t>
      </w:r>
      <w:r>
        <w:rPr>
          <w:rFonts w:eastAsia="IRNazanin" w:cs="IRNazanin"/>
          <w:color w:val="111111"/>
          <w:sz w:val="28"/>
          <w:szCs w:val="28"/>
          <w:rtl w:val="true"/>
          <w:lang w:bidi="fa-IR"/>
        </w:rPr>
        <w:t>.</w:t>
      </w:r>
    </w:p>
    <w:p>
      <w:pPr>
        <w:pStyle w:val="Heading4"/>
        <w:numPr>
          <w:ilvl w:val="3"/>
          <w:numId w:val="1"/>
        </w:numPr>
        <w:rPr/>
      </w:pPr>
      <w:bookmarkStart w:id="59" w:name="__RefHeading___Toc7812128_3381743652"/>
      <w:bookmarkStart w:id="60" w:name="_Toc23"/>
      <w:bookmarkEnd w:id="59"/>
      <w:r>
        <w:rPr>
          <w:rtl w:val="true"/>
        </w:rPr>
        <w:t>رویکرد اشعری ها</w:t>
      </w:r>
      <w:bookmarkEnd w:id="60"/>
    </w:p>
    <w:p>
      <w:pPr>
        <w:pStyle w:val="BookText"/>
        <w:rPr/>
      </w:pPr>
      <w:r>
        <w:rPr>
          <w:rFonts w:ascii="IRNazanin" w:hAnsi="IRNazanin" w:eastAsia="IRNazanin"/>
          <w:color w:val="111111"/>
          <w:sz w:val="28"/>
          <w:sz w:val="28"/>
          <w:szCs w:val="28"/>
          <w:rtl w:val="true"/>
          <w:lang w:bidi="fa-IR"/>
        </w:rPr>
        <w:t xml:space="preserve">از آنجا که شخص ابوالحسن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بسیار عظیمی بر جریان اشعریگری در کلام اسلامی دارد، روشن است که موضع وی در خور بررسی و توجه دقیق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بررسی رویکرد اشعریان را در باب ایمان، نخست با کاوش دیدگاه وی آغاز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اشعری در تعریف ایمان و این که آیا از نظر وی، رکن اساسی ایمان، صرف تصدیق است یا آن که اقرار زبانی و عمل جوارحی نیز در حقیقت ایمان سهیم است، در بدو امر، مضطرب به نظر می رسد و در این خصوص، برداشتهای متفاوتی به دست ما رسیده است اولا، خود اشعری در دو اثر عمده کلامی خویش، کتاب الابانة و کتاب اللمع دو تعریف کاملا متفاوت ارائه می کند و ثانیا، پیروان متأخر وی نیز برآنند که او در موارد گوناگون، تعاریف مختلفی از ایمان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در کتاب مقالات الاسلامیین و نیز در کتا ب الابانة تصریح می کند که ایمان عبارت است از اقرار و عمل و قابل افزایش و کاهش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در این جا واقعا درخور تأمل است که چرا وی از میان عناصر ایمان، تنها گفتار و کردار را ذکر کرده، عنصر تصدیق را کاملا حذف می کند؟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در تعریف دیگر وی از ایمان که در کتاب اللمع ارائه شده، دقت شود، به روشنی به دست می آید که حذف عنصر تصدیق در تعریف گذشته، دلالت ندارد بر این که تصدیق از نظر وی در تعریف ایمان ضروری نیست، بلکه برعکس، تصدیق را به </w:t>
      </w:r>
      <w:bookmarkStart w:id="61" w:name="pg14387_143628"/>
    </w:p>
    <w:p>
      <w:pPr>
        <w:pStyle w:val="BookText"/>
        <w:rPr/>
      </w:pPr>
      <w:bookmarkEnd w:id="61"/>
      <w:r>
        <w:rPr>
          <w:rFonts w:ascii="IRNazanin" w:hAnsi="IRNazanin" w:eastAsia="IRNazanin"/>
          <w:color w:val="111111"/>
          <w:sz w:val="28"/>
          <w:sz w:val="28"/>
          <w:szCs w:val="28"/>
          <w:rtl w:val="true"/>
          <w:lang w:bidi="fa-IR"/>
        </w:rPr>
        <w:t>گونه ای مهم و ضروری می داند که نیاز به ذکر آن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اللمع، نه قول و نه عمل را در تعریف ایمان نمی آورد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عبارت است از تصدیق</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شهرستانی به طور قطع اعلام می کند که به نظر اشعری، تصدیق، تنها رکن ایمان و اقرار به زبان و عمل به ارکان، از متفرعات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 راستین کسی است که قلبا به یگانگی خدا اعتراف کند و آنچه را پیامبران از جانب خدا آورده اند، تصدیق کند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بغدادی در کتاب الفرق بین الفرق خود صراحت بیشتری دارد؛ آنجا که پانزده اصل اساسی مشترک میان همه اهل سنت را بر می شمارد،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آنان قبول دارند که مبانی ایمان، معرفت و تصدیق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نکته ای که در و آن اختلاف دارند، این مسئله است که آیا اقرار و طاعتی را که توسط جوارح انجام می شود نیز باید ایمان خواند یا نه</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بنابراین، کفر در دید اشعری عبارت است از نسبت دروغ دادن؛ یعنی تکذیب خدا و پیامبرانش</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اما رویکرد سایر متکلمان اشاعره نیز درباره ایمان، همان موضع مؤسس این نحله کلامی است؛ مثلا قاضی عضدالدین 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ایمان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در شرع به معنای تصدیق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از آن صریحتر، بیان سعدالدین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به صورت شفاف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ایمان، فعل قلب است، نه تنها فعل زبان، ثانیا، ایمان، تصدیق است، نه معرفت و اعتقاد و ثالثا، اعمال، دخیل در ایمان نیست تا به انتفای اعمال، ایمان نیز منتفی گردد</w:t>
      </w:r>
      <w:r>
        <w:rPr>
          <w:rFonts w:eastAsia="IRNazanin" w:cs="IRNazanin"/>
          <w:color w:val="111111"/>
          <w:sz w:val="28"/>
          <w:szCs w:val="28"/>
          <w:rtl w:val="true"/>
          <w:lang w:bidi="fa-IR"/>
        </w:rPr>
        <w:t xml:space="preserve">. </w:t>
      </w:r>
      <w:r>
        <w:rPr>
          <w:rStyle w:val="FootnoteAnchor"/>
          <w:rtl w:val="true"/>
        </w:rPr>
        <w:footnoteReference w:id="83"/>
      </w:r>
    </w:p>
    <w:p>
      <w:pPr>
        <w:pStyle w:val="Heading4"/>
        <w:numPr>
          <w:ilvl w:val="3"/>
          <w:numId w:val="1"/>
        </w:numPr>
        <w:rPr/>
      </w:pPr>
      <w:bookmarkStart w:id="62" w:name="__RefHeading___Toc7812130_3381743652"/>
      <w:bookmarkStart w:id="63" w:name="_Toc24"/>
      <w:bookmarkEnd w:id="62"/>
      <w:r>
        <w:rPr>
          <w:rtl w:val="true"/>
        </w:rPr>
        <w:t>روی آورد امامیه</w:t>
      </w:r>
      <w:bookmarkEnd w:id="6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قدیمی ترین کتاب کلامی شیعی موجود، ابواسحاق ابراهیم بن نوبخت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اول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چنین تعریف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ایمان همان تصدیق است و طاعات جزو ایمان نیست، وگرنه قول خداوند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مستلزم تکرار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دارای سه عنصر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به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ارکان</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از عبارت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نعمان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برمی آید که وی تصدیق و معرفت قلبی و اقرار به زبان را در حقیقت ایمان دخیل می داند، ولی عمل به ارکان را از عناصر ایمان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متفقند که مرتکب گناهان کبیره، از اهل معرفت و اقرار، با این عمل خود از اسلام خارج نمی شود و او مسلمان است؛ هرچند به سبب گناهانی که مرتکب شده، فاسق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این عبارت، هرچند که محور اصلی سخن، در حکم مرتکب کبیره است، ولی شیخ مفید ضمنا به حقیقت ایمان نیز پرداخته است؛ زیرا در آغاز عبارتش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مرتکب کبیره از اهل معرفت و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ایمان از نظر وی عبارت است از تصدیق قلبی و اقرار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این که وی عمل به ارکان را دخیل در حقیقت ایمان نمی داند، این است که مرتکب کبیره را از اسلام خارج نمی داند و تنها به فسق او حکم می کند و معلوم است که اگر عمل به ارکان، از عناصر تشکیل دهنده ایمان انگاشته شود، یقینا مرتکب کبیره جزو مؤمنان محسوب نخواهد شد؛ چنان که معتزله مرتکب کبیره را از این جهت که از دید آنها عنصر تشکیل دهنده ایمان؛ یعنی اعمال عبادی در او موجود نیست، جزو مؤمنان نمی شمارند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صرف تصدیق قلبی می داند و اقرار به زبان را در حقیقت ایمان معتبر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وی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هو التصدیق بالقلب و لا اعتبار بما یجری علی اللسان</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خواجه طوسی در دو اثر خود، دو نظریه متفاوت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تجرید الاعتقاد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تصدیق به قلب و اقرار به لسان است و تصدیق به تنهایی کفایت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اما در کتاب دیگر خود، همان رویکرد متکلمان بزرگ شیعی رابرگزیده که ایمان، تصدیق قلبی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دیگر متکلمان شیعی؛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سیوری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تصدیق قلبی می دانند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حکیم متأله، صدرالمتألهین شیرازی درباره ایمان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عبارت است از معرفت و تصدیق خداوند، تصدیق رسول و اعتقاد به روز جزا و پاداش و کیفر و میزان و حساب</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حکیم ملا عبدالرزاق لاهیجی در تعریف ایمان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ایمان نیست مگر تصدیق قلبی</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علامه طباطبایی نیز در این عقیده با سایر بزرگان یاد شده، هم رأی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همان عقد قلبی بر دین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مرحوم حاج ملاهادی سبزواری نیز ایمان را به تصدیق تعریف نموده و آن را به اقسامی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 الإیمان بالتصدیق</w:t>
      </w:r>
    </w:p>
    <w:p>
      <w:pPr>
        <w:pStyle w:val="BookText"/>
        <w:rPr/>
      </w:pPr>
      <w:r>
        <w:rPr>
          <w:rFonts w:ascii="IRNazanin" w:hAnsi="IRNazanin" w:eastAsia="IRNazanin"/>
          <w:color w:val="111111"/>
          <w:sz w:val="28"/>
          <w:sz w:val="28"/>
          <w:szCs w:val="28"/>
          <w:rtl w:val="true"/>
          <w:lang w:bidi="fa-IR"/>
        </w:rPr>
        <w:t>بما أتی النبی علی التحقیق</w:t>
      </w:r>
    </w:p>
    <w:p>
      <w:pPr>
        <w:pStyle w:val="BookText"/>
        <w:rPr/>
      </w:pPr>
      <w:r>
        <w:rPr>
          <w:rFonts w:ascii="Amiri" w:hAnsi="Amiri" w:eastAsia="Amiri" w:cs="Amiri"/>
          <w:color w:val="111111"/>
          <w:sz w:val="28"/>
          <w:sz w:val="28"/>
          <w:szCs w:val="28"/>
          <w:rtl w:val="true"/>
          <w:lang w:bidi="ar-SA"/>
        </w:rPr>
        <w:t>وقد بدا لسانة أو جنانا</w:t>
      </w:r>
    </w:p>
    <w:p>
      <w:pPr>
        <w:pStyle w:val="BookText"/>
        <w:rPr/>
      </w:pPr>
      <w:r>
        <w:rPr>
          <w:rFonts w:ascii="IRNazanin" w:hAnsi="IRNazanin" w:eastAsia="IRNazanin"/>
          <w:color w:val="111111"/>
          <w:sz w:val="28"/>
          <w:sz w:val="28"/>
          <w:szCs w:val="28"/>
          <w:rtl w:val="true"/>
          <w:lang w:bidi="fa-IR"/>
        </w:rPr>
        <w:t>تقلید أو برهانة أو عیانة</w:t>
      </w:r>
    </w:p>
    <w:p>
      <w:pPr>
        <w:pStyle w:val="BookText"/>
        <w:rPr/>
      </w:pPr>
      <w:r>
        <w:rPr>
          <w:rFonts w:ascii="IRNazanin" w:hAnsi="IRNazanin" w:eastAsia="IRNazanin"/>
          <w:color w:val="111111"/>
          <w:sz w:val="28"/>
          <w:sz w:val="28"/>
          <w:szCs w:val="28"/>
          <w:rtl w:val="true"/>
          <w:lang w:bidi="fa-IR"/>
        </w:rPr>
        <w:t>و الکفر نفی قنیة الإیمان</w:t>
      </w:r>
    </w:p>
    <w:p>
      <w:pPr>
        <w:pStyle w:val="BookText"/>
        <w:rPr/>
      </w:pPr>
      <w:r>
        <w:rPr>
          <w:rFonts w:ascii="IRNazanin" w:hAnsi="IRNazanin" w:eastAsia="IRNazanin"/>
          <w:color w:val="111111"/>
          <w:sz w:val="28"/>
          <w:sz w:val="28"/>
          <w:szCs w:val="28"/>
          <w:rtl w:val="true"/>
          <w:lang w:bidi="fa-IR"/>
        </w:rPr>
        <w:t>و هو کالإیمان علی أفنان</w:t>
      </w:r>
    </w:p>
    <w:p>
      <w:pPr>
        <w:pStyle w:val="BookText"/>
        <w:rPr/>
      </w:pPr>
      <w:r>
        <w:rPr>
          <w:rFonts w:ascii="IRNazanin" w:hAnsi="IRNazanin" w:eastAsia="IRNazanin"/>
          <w:color w:val="111111"/>
          <w:sz w:val="28"/>
          <w:sz w:val="28"/>
          <w:szCs w:val="28"/>
          <w:rtl w:val="true"/>
          <w:lang w:bidi="fa-IR"/>
        </w:rPr>
        <w:t>کفر النفاق النکر فی الباطن لا</w:t>
      </w:r>
    </w:p>
    <w:p>
      <w:pPr>
        <w:pStyle w:val="BookText"/>
        <w:rPr/>
      </w:pPr>
      <w:r>
        <w:rPr>
          <w:rFonts w:ascii="IRNazanin" w:hAnsi="IRNazanin" w:eastAsia="IRNazanin"/>
          <w:color w:val="111111"/>
          <w:sz w:val="28"/>
          <w:sz w:val="28"/>
          <w:szCs w:val="28"/>
          <w:rtl w:val="true"/>
          <w:lang w:bidi="fa-IR"/>
        </w:rPr>
        <w:t>فی الظاهر التهود عکسا جلا</w:t>
      </w:r>
    </w:p>
    <w:p>
      <w:pPr>
        <w:pStyle w:val="BookText"/>
        <w:rPr/>
      </w:pPr>
      <w:r>
        <w:rPr>
          <w:rFonts w:ascii="IRNazanin" w:hAnsi="IRNazanin" w:eastAsia="IRNazanin"/>
          <w:color w:val="111111"/>
          <w:sz w:val="28"/>
          <w:sz w:val="28"/>
          <w:szCs w:val="28"/>
          <w:rtl w:val="true"/>
          <w:lang w:bidi="fa-IR"/>
        </w:rPr>
        <w:t>و لیس بین المنزلین منزلة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أثبتها بعض من المعتزلة</w:t>
      </w:r>
      <w:r>
        <w:rPr>
          <w:rStyle w:val="FootnoteAnchor"/>
          <w:rtl w:val="true"/>
        </w:rPr>
        <w:footnoteReference w:id="95"/>
      </w:r>
      <w:bookmarkStart w:id="64" w:name="pg14387_143631"/>
    </w:p>
    <w:p>
      <w:pPr>
        <w:pStyle w:val="Heading4"/>
        <w:numPr>
          <w:ilvl w:val="3"/>
          <w:numId w:val="1"/>
        </w:numPr>
        <w:rPr/>
      </w:pPr>
      <w:bookmarkStart w:id="65" w:name="__RefHeading___Toc7812132_3381743652"/>
      <w:bookmarkStart w:id="66" w:name="_Toc25"/>
      <w:bookmarkEnd w:id="64"/>
      <w:bookmarkEnd w:id="65"/>
      <w:r>
        <w:rPr>
          <w:rtl w:val="true"/>
        </w:rPr>
        <w:t>روی آورد شیخ</w:t>
      </w:r>
      <w:bookmarkEnd w:id="66"/>
    </w:p>
    <w:p>
      <w:pPr>
        <w:pStyle w:val="BookText"/>
        <w:rPr/>
      </w:pPr>
      <w:r>
        <w:rPr>
          <w:rFonts w:ascii="IRNazanin" w:hAnsi="IRNazanin" w:eastAsia="IRNazanin"/>
          <w:color w:val="111111"/>
          <w:sz w:val="28"/>
          <w:sz w:val="28"/>
          <w:szCs w:val="28"/>
          <w:rtl w:val="true"/>
          <w:lang w:bidi="fa-IR"/>
        </w:rPr>
        <w:t xml:space="preserve">همانگونه که در گذشته یادآور شدیم، متکلمان پیشین، مبحث ایمان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شیخ له نخست به تعریف عناوینی همچون کفر، فسق، نفاق، ایمان و اسلام پرداخته است و چون تعریف فسق و نفاق، مختصر است،</w:t>
      </w:r>
    </w:p>
    <w:p>
      <w:pPr>
        <w:pStyle w:val="BookText"/>
        <w:rPr/>
      </w:pPr>
      <w:r>
        <w:rPr>
          <w:rFonts w:ascii="IRNazanin" w:hAnsi="IRNazanin" w:eastAsia="IRNazanin"/>
          <w:color w:val="111111"/>
          <w:sz w:val="28"/>
          <w:sz w:val="28"/>
          <w:szCs w:val="28"/>
          <w:rtl w:val="true"/>
          <w:lang w:bidi="fa-IR"/>
        </w:rPr>
        <w:t>نخست تعریف آن دو را یاد آور شده، سپس به بحث ایمان و کفر و احکام آن می پردازیم</w:t>
      </w:r>
      <w:r>
        <w:rPr>
          <w:rFonts w:eastAsia="IRNazanin" w:cs="IRNazanin"/>
          <w:color w:val="111111"/>
          <w:sz w:val="28"/>
          <w:szCs w:val="28"/>
          <w:rtl w:val="true"/>
          <w:lang w:bidi="fa-IR"/>
        </w:rPr>
        <w:t>.</w:t>
      </w:r>
    </w:p>
    <w:p>
      <w:pPr>
        <w:pStyle w:val="Heading4"/>
        <w:numPr>
          <w:ilvl w:val="3"/>
          <w:numId w:val="1"/>
        </w:numPr>
        <w:rPr/>
      </w:pPr>
      <w:bookmarkStart w:id="67" w:name="__RefHeading___Toc7812134_3381743652"/>
      <w:bookmarkStart w:id="68" w:name="_Toc26"/>
      <w:bookmarkEnd w:id="67"/>
      <w:r>
        <w:rPr>
          <w:rtl w:val="true"/>
        </w:rPr>
        <w:t>تعریف فسق</w:t>
      </w:r>
      <w:bookmarkEnd w:id="68"/>
    </w:p>
    <w:p>
      <w:pPr>
        <w:pStyle w:val="BookText"/>
        <w:rPr/>
      </w:pPr>
      <w:r>
        <w:rPr>
          <w:rFonts w:ascii="IRNazanin" w:hAnsi="IRNazanin" w:eastAsia="IRNazanin"/>
          <w:color w:val="111111"/>
          <w:sz w:val="28"/>
          <w:sz w:val="28"/>
          <w:szCs w:val="28"/>
          <w:rtl w:val="true"/>
          <w:lang w:bidi="fa-IR"/>
        </w:rPr>
        <w:t>فسق در لغت به معنای بیرون شدن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هسته خرما از آن خارج می گردد،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فسقت الرطبة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موش را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که از سوراخ خارج می گردد؛ جز این که در عرف، تنها خروج از حسن به قبیح را فسق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فسق در شرع این است که بنده با ارتکاب گناه خواه گناه کوچک باشد یا بزرگ از اطاعت خداوند بیرون رود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69" w:name="__RefHeading___Toc7812136_3381743652"/>
      <w:bookmarkStart w:id="70" w:name="_Toc27"/>
      <w:bookmarkEnd w:id="69"/>
      <w:r>
        <w:rPr>
          <w:rtl w:val="true"/>
        </w:rPr>
        <w:t>تعریف نفاق</w:t>
      </w:r>
      <w:bookmarkEnd w:id="70"/>
    </w:p>
    <w:p>
      <w:pPr>
        <w:pStyle w:val="BookText"/>
        <w:rPr/>
      </w:pPr>
      <w:r>
        <w:rPr>
          <w:rFonts w:ascii="IRNazanin" w:hAnsi="IRNazanin" w:eastAsia="IRNazanin"/>
          <w:color w:val="111111"/>
          <w:sz w:val="28"/>
          <w:sz w:val="28"/>
          <w:szCs w:val="28"/>
          <w:rtl w:val="true"/>
          <w:lang w:bidi="fa-IR"/>
        </w:rPr>
        <w:t xml:space="preserve">نفاق در لغت به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یربوع</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از حجره خودش به کار می رود </w:t>
      </w:r>
      <w:r>
        <w:rPr>
          <w:rStyle w:val="FootnoteAnchor"/>
          <w:rtl w:val="true"/>
        </w:rPr>
        <w:footnoteReference w:id="98"/>
      </w:r>
      <w:r>
        <w:rPr>
          <w:rFonts w:ascii="IRNazanin" w:hAnsi="IRNazanin" w:eastAsia="IRNazanin"/>
          <w:color w:val="111111"/>
          <w:sz w:val="28"/>
          <w:sz w:val="28"/>
          <w:szCs w:val="28"/>
          <w:rtl w:val="true"/>
          <w:lang w:bidi="fa-IR"/>
        </w:rPr>
        <w:t xml:space="preserve">و در شرع به این معنی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کفرش را در دل پنهان کرده، در زبان، اظهار اسلام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بأفواههم ما لیس فی قلوبهم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حال برای آگاهی از دیدگاه شیخ درباره ایمان، نخست شایسته است روی آورد شیخ را در حقیقت ایمان، مؤمن واقعی، متعلق ایمان و جایگاه آن، به اختصار بیان کنیم، سپس هر یک از امور یاد شده را به تفصیل مورد بررسی و تحقیق قرار دهیم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سخن شیخ در تعریف ایمان، چنین برمی آید که وی ایمان را تصدیق قلبی می داند و اقرار زبانی و اعمال عبادی را در حقیقت ایمان سهیم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مؤمن </w:t>
      </w:r>
    </w:p>
    <w:p>
      <w:pPr>
        <w:pStyle w:val="BookText"/>
        <w:rPr/>
      </w:pPr>
      <w:r>
        <w:rPr>
          <w:rFonts w:ascii="IRNazanin" w:hAnsi="IRNazanin" w:eastAsia="IRNazanin"/>
          <w:color w:val="111111"/>
          <w:sz w:val="28"/>
          <w:sz w:val="28"/>
          <w:szCs w:val="28"/>
          <w:rtl w:val="true"/>
          <w:lang w:bidi="fa-IR"/>
        </w:rPr>
        <w:t>حقیقی از منظر وی کسی است که به خداوند متعال و یگانگی او و نبوت پیامبر و تمام آنچه خداوند معرفت آن را واجب فرموده، باور و تصدیق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دقت و تأمل در این دو مطلب به دست می آید که جایگاه ایمان از دید شیخ، قلب آدمی و متعلق آن، خداوند، توحید، عدل، نبوت، امامت و تمام آنچه معرفت آن واجب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عبارت شیخ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الإیمان فهو التصدیق بالقلب و لا اعتبار بما یجری علی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کان عارف بالله و نبیه و بکل ما أوجب علیه معرفته مقر بذلک مصدقا فهو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الکفر نقیض ذلک و هو الجحود بالقلب دون اللسان بما أوجب الله تعالی المعرفة به</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آنجا که بسیاری از مسائل ایمان؛ همچون حقیقت ایمان و مؤمن، تصدیق دانستن یا معرفت دانستن ایمان، سهیم بودن یا نبودن اعمال جوارحی در حقیقت آن و متعلق ایمان، محور بحثها قرار دارد، این عبارت شیخ در خور دقت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نخستین فراز، ضمن تعریف ایمان چند نکته اساسی را در این باره یاد آور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زبانی، به تنهایی اعتبار ندارد و با صرف اقرار زبانی، حقیقت ایمان تکون نمی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اعتبار بما یجری علی اللسان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عبادی، هرچند که واجب باشد، در حقیقت ایمان سهیم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تفسیر التبیان با صراحت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أفعال الجوارح لیست من الإیمان و إن کانت واجبة</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رد رویکرد جهمیه دارد که ایمان را صرف اقرار می انگاشتند 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سخن معتزله است که اعمال عبادی را در حقیقت ایمان سهیم می دانستند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اساسی دیگری که باقی می ماند، این است که اگر ایمان از منظر شیخ، تصدیق قلبی می باشد، چرا در تعریف مؤمن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عارف بالله ونبیه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آوردن قید </w:t>
      </w:r>
    </w:p>
    <w:p>
      <w:pPr>
        <w:pStyle w:val="BookText"/>
        <w:rPr/>
      </w:pPr>
      <w:r>
        <w:rPr>
          <w:rFonts w:ascii="IRNazanin" w:hAnsi="IRNazanin" w:eastAsia="IRNazanin"/>
          <w:color w:val="111111"/>
          <w:sz w:val="28"/>
          <w:sz w:val="28"/>
          <w:szCs w:val="28"/>
          <w:rtl w:val="true"/>
          <w:lang w:bidi="fa-IR"/>
        </w:rPr>
        <w:t>معرفت، این پرسش را در ذهن ایجاد می کند که شاید ایمان در نزد شیخ، معرفت باشد و اگر به عبارت شیخ در اثر دیگر وی دقت شود، این پرسش با جدیت بیشتر مطرح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عبارت شیخ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سألک سائل و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الإیمان؟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التصدیق بالله و بالرسول و بما جاء به الرسول و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بالدلیل، لا بالتقلید، و هو مرکب علی خمسة أرکان، من عرفها فهو مؤمن و من جهلها کان کافر؛ و هی التوحید، و العدل، و النبوة،</w:t>
      </w:r>
    </w:p>
    <w:p>
      <w:pPr>
        <w:pStyle w:val="BookText"/>
        <w:rPr/>
      </w:pPr>
      <w:r>
        <w:rPr>
          <w:rFonts w:ascii="Amiri" w:hAnsi="Amiri" w:eastAsia="Amiri" w:cs="Amiri"/>
          <w:color w:val="111111"/>
          <w:sz w:val="28"/>
          <w:sz w:val="28"/>
          <w:szCs w:val="28"/>
          <w:rtl w:val="true"/>
          <w:lang w:bidi="ar-SA"/>
        </w:rPr>
        <w:t>و الإمامة، و المعاد</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چنان که ملاحظه می شود، شیخ در تعریف ایمان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تصدیق خداوند و پیامبران و آنچه پیامبر و امامان عالی آورده اند،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مرکب از پنج رکن است، کسی که این ارکان را بشناسد، مؤمن است و کسی که نسبت به آنها</w:t>
      </w:r>
    </w:p>
    <w:p>
      <w:pPr>
        <w:pStyle w:val="BookText"/>
        <w:rPr/>
      </w:pPr>
      <w:r>
        <w:rPr>
          <w:rFonts w:ascii="IRNazanin" w:hAnsi="IRNazanin" w:eastAsia="IRNazanin"/>
          <w:color w:val="111111"/>
          <w:sz w:val="28"/>
          <w:sz w:val="28"/>
          <w:szCs w:val="28"/>
          <w:rtl w:val="true"/>
          <w:lang w:bidi="fa-IR"/>
        </w:rPr>
        <w:t>جهل داشته باشد،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عبارت شیخ، خواننده را در آغاز، به تردید می افکند که واقعا نظر شیخ درباره ایمان چیست؟ آیا ایمان از منظر او تصدیق قلبی است یا معرفت؟</w:t>
      </w:r>
    </w:p>
    <w:p>
      <w:pPr>
        <w:pStyle w:val="BookText"/>
        <w:rPr/>
      </w:pPr>
      <w:r>
        <w:rPr>
          <w:rFonts w:ascii="IRNazanin" w:hAnsi="IRNazanin" w:eastAsia="IRNazanin"/>
          <w:color w:val="111111"/>
          <w:sz w:val="28"/>
          <w:sz w:val="28"/>
          <w:szCs w:val="28"/>
          <w:rtl w:val="true"/>
          <w:lang w:bidi="fa-IR"/>
        </w:rPr>
        <w:t>فهم نگارنده از مجموع سخنان شیخ در این باره چنین است که وی ایمان را تصدیق قلبی می داند، ولی از آنجا که رابطه ایمان با معرفت، رابطه بسیار نزدیک و ناگسستنی می باشد، در برخی موارد از ایمان به معرفت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زیر، این مدعا را به</w:t>
      </w:r>
    </w:p>
    <w:p>
      <w:pPr>
        <w:pStyle w:val="BookText"/>
        <w:rPr/>
      </w:pPr>
      <w:r>
        <w:rPr>
          <w:rFonts w:ascii="IRNazanin" w:hAnsi="IRNazanin" w:eastAsia="IRNazanin"/>
          <w:color w:val="111111"/>
          <w:sz w:val="28"/>
          <w:sz w:val="28"/>
          <w:szCs w:val="28"/>
          <w:rtl w:val="true"/>
          <w:lang w:bidi="fa-IR"/>
        </w:rPr>
        <w:t>اثبات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هر دو عبارت ذکر شده در تعریف ایمان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تفاوت که در عبارت تمهید الأصول و الاقتصاد، کلمه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ولی در عبارت الرسائل العشر این جمله نیامده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تعریف کفر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الکفر نقیض ذلک و هو الجحود بالقلب دون اللسان، بما أوجب الله تعالی علیه المعرفة به</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شیخ با توجه به تقابلی که میان ایمان و کفر وجود دارد، کفر را جحود و انکار قلبی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ایمان را معرفت بداند، باید در این دو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الأصول و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را به جهل به خداوند، توحید، عدل و نبوت </w:t>
      </w:r>
      <w:bookmarkStart w:id="71" w:name="pg14387_143634"/>
    </w:p>
    <w:p>
      <w:pPr>
        <w:pStyle w:val="BookText"/>
        <w:rPr/>
      </w:pPr>
      <w:bookmarkEnd w:id="71"/>
      <w:r>
        <w:rPr>
          <w:rFonts w:ascii="IRNazanin" w:hAnsi="IRNazanin" w:eastAsia="IRNazanin"/>
          <w:color w:val="111111"/>
          <w:sz w:val="28"/>
          <w:sz w:val="28"/>
          <w:szCs w:val="28"/>
          <w:rtl w:val="true"/>
          <w:lang w:bidi="fa-IR"/>
        </w:rPr>
        <w:t>تعریف کند؛ چه اینکه مقابل معرفت، جهالت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هنگامی که برای مدعای خود استدلال می کند، از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جسته،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لغت به معنای تصدیق است و در شرع نیز از این معنی به معنای دیگر انتقال نیافته؛ چه این که اصل، عدم نقل است، بلکه به همان معنای لغوی به</w:t>
      </w:r>
    </w:p>
    <w:p>
      <w:pPr>
        <w:pStyle w:val="BookText"/>
        <w:rPr/>
      </w:pPr>
      <w:r>
        <w:rPr>
          <w:rFonts w:ascii="IRNazanin" w:hAnsi="IRNazanin" w:eastAsia="IRNazanin"/>
          <w:color w:val="111111"/>
          <w:sz w:val="28"/>
          <w:sz w:val="28"/>
          <w:szCs w:val="28"/>
          <w:rtl w:val="true"/>
          <w:lang w:bidi="fa-IR"/>
        </w:rPr>
        <w:t>کار رفته است؛ مثل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بمؤمن لنا</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از قرآن کریم، میان ایمان و معرفت صرف، فرق می نهد و ایمان را چیزی فراتر از معرفت می داند، چنان که رویکرد اکثر دانشوران و متکلمان شیعی در حقیقت ایمان، تصدیق دانستن آن است، نه معرفت انگاری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بعید است که شیخ الطایفه با این که خود مفسری توانمند و چیره دست بوده و با آرای متکلمان پیش از خود آشنایی کامل داشته است، درباره ایمان، بر خلاف آیات قرآن و متکلمان امامی نظریه ای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این ادله و نیز رابطه ای که میان معرفت و ایمان وجود دارد، در فهم عبارت شیخ در کتاب الرسائل الاعتقادیه که مؤمن را به عالم به توحید و سایر اصول دین، تعریف کرده بود، می توان گفت که مراد وی از معرفت، تصدیق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ایمان و معرفت، رابطه ای بسیار نزدیک و ناگسستنی است؛ ایمان، معرفت نیست، بلکه معرفت، یکی از اسباب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جهل نیز به تنهایی کفر نیست، بلکه یکی از اسباب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این است که معرفت، شرط لازم ایمان است، نه شرط کافی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ایمان، چیزی نیست که معرفت به تنهایی آن را پر کند، بلکه ایمان به جز معرفت و فراتر از آن، باید با زیور تسلیم، خضوع و انقیاد آراسته گردد به گونه ای که در پی آن، آثار ایمان که همان عمل صالح است، بدون این که جزو حقیقت ایمان باشد، در مؤمن ظهور یابد</w:t>
      </w:r>
      <w:r>
        <w:rPr>
          <w:rFonts w:eastAsia="IRNazanin" w:cs="IRNazanin"/>
          <w:color w:val="111111"/>
          <w:sz w:val="28"/>
          <w:szCs w:val="28"/>
          <w:rtl w:val="true"/>
          <w:lang w:bidi="fa-IR"/>
        </w:rPr>
        <w:t>.</w:t>
      </w:r>
    </w:p>
    <w:p>
      <w:pPr>
        <w:pStyle w:val="Heading4"/>
        <w:numPr>
          <w:ilvl w:val="3"/>
          <w:numId w:val="1"/>
        </w:numPr>
        <w:rPr/>
      </w:pPr>
      <w:bookmarkStart w:id="72" w:name="__RefHeading___Toc7812138_3381743652"/>
      <w:bookmarkStart w:id="73" w:name="_Toc28"/>
      <w:bookmarkEnd w:id="72"/>
      <w:r>
        <w:rPr>
          <w:rtl w:val="true"/>
        </w:rPr>
        <w:t>ادله شیخ</w:t>
      </w:r>
      <w:bookmarkEnd w:id="7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الطایفه برای این مدعا که ایمان، تنها گرویدن قلبی است و اقرار به زبان، در حقیقت آن سهیم نیست، به ادله زیر تمسک جسته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ایمان در لغت به معنای تصدیق است</w:t>
      </w:r>
      <w:r>
        <w:rPr>
          <w:rStyle w:val="FootnoteAnchor"/>
          <w:rtl w:val="true"/>
        </w:rPr>
        <w:footnoteReference w:id="105"/>
      </w:r>
      <w:r>
        <w:rPr>
          <w:rFonts w:ascii="IRNazanin" w:hAnsi="IRNazanin" w:eastAsia="IRNazanin"/>
          <w:color w:val="111111"/>
          <w:sz w:val="28"/>
          <w:sz w:val="28"/>
          <w:szCs w:val="28"/>
          <w:rtl w:val="true"/>
          <w:lang w:bidi="fa-IR"/>
        </w:rPr>
        <w:t>و بر افعال جوارحی اطلاق نمی شود؛ زیرا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یؤمن بمعاد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لایؤمن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فلانی معاد را تصدیق می کند و به آن باور دارد و فلان کس به آن باور نداشته، آن</w:t>
      </w:r>
    </w:p>
    <w:p>
      <w:pPr>
        <w:pStyle w:val="BookText"/>
        <w:rPr/>
      </w:pPr>
      <w:r>
        <w:rPr>
          <w:rFonts w:ascii="IRNazanin" w:hAnsi="IRNazanin" w:eastAsia="IRNazanin"/>
          <w:color w:val="111111"/>
          <w:sz w:val="28"/>
          <w:sz w:val="28"/>
          <w:szCs w:val="28"/>
          <w:rtl w:val="true"/>
          <w:lang w:bidi="fa-IR"/>
        </w:rPr>
        <w:t>را تصدیق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نیز نقلی از معنای لغوی صورت نگرفته و در چنین مواردی اصل بر عدم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ثابت شد ایمان در لغت به معنای تصدیق است و نقل از آن معنی صورت نگرفته، اگر به معنای دیگری به کار برده شود، با عربی بودن قرآن که آیات زیر بر آن صراحت دارد، سازگاری ندارد</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بلسان عربی مبین</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قرآنا عربیا لعلکم تعقلون</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جعلناه قرآنا عربیا لعلکم تعقلون</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بلسان قومه</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 که در ادامه ذکر می شود، دلالت دارد که ایمان به معنای تصدیق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بالجبت و الطاغوت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بمؤمن لنا</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خطاب فرزندان یعقوب عال به آن حضرت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سخن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گوییم یوسف را گرگ خورده است تصدیق نخواهی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آیه و نیز در آیات دیگر</w:t>
      </w:r>
      <w:r>
        <w:rPr>
          <w:rStyle w:val="FootnoteAnchor"/>
          <w:rtl w:val="true"/>
        </w:rPr>
        <w:footnoteReference w:id="111"/>
      </w:r>
      <w:r>
        <w:rPr>
          <w:rFonts w:ascii="IRNazanin" w:hAnsi="IRNazanin" w:eastAsia="IRNazanin"/>
          <w:color w:val="111111"/>
          <w:sz w:val="28"/>
          <w:sz w:val="28"/>
          <w:szCs w:val="28"/>
          <w:rtl w:val="true"/>
          <w:lang w:bidi="fa-IR"/>
        </w:rPr>
        <w:t>واژه ایمان به معنای تصدیق به کار رفته است و ظاهر این استعمال، حقیقت است و این به خوبی می رساند که معنی و حقیقت ایمان، تصدیق قلبی است</w:t>
      </w:r>
      <w:r>
        <w:rPr>
          <w:rFonts w:eastAsia="IRNazanin" w:cs="IRNazanin"/>
          <w:color w:val="111111"/>
          <w:sz w:val="28"/>
          <w:szCs w:val="28"/>
          <w:rtl w:val="true"/>
          <w:lang w:bidi="fa-IR"/>
        </w:rPr>
        <w:t>.</w:t>
      </w:r>
      <w:r>
        <w:rPr>
          <w:rStyle w:val="FootnoteAnchor"/>
          <w:rtl w:val="true"/>
        </w:rPr>
        <w:footnoteReference w:id="112"/>
      </w:r>
      <w:bookmarkStart w:id="74" w:name="pg14387_143636"/>
    </w:p>
    <w:p>
      <w:pPr>
        <w:pStyle w:val="BookText"/>
        <w:rPr/>
      </w:pPr>
      <w:bookmarkEnd w:id="74"/>
      <w:r>
        <w:rPr>
          <w:rFonts w:ascii="IRNazanin" w:hAnsi="IRNazanin" w:eastAsia="IRNazanin"/>
          <w:color w:val="111111"/>
          <w:sz w:val="28"/>
          <w:sz w:val="28"/>
          <w:szCs w:val="28"/>
          <w:rtl w:val="true"/>
          <w:lang w:bidi="fa-IR"/>
        </w:rPr>
        <w:t>آیات ختم و طبع و آیات دیگری که در مطلب بعدی از آن برای یافتن محل ایمان مدد خواهیم جست نیز مؤید گفتار شیخ است</w:t>
      </w:r>
      <w:r>
        <w:rPr>
          <w:rFonts w:eastAsia="IRNazanin" w:cs="IRNazanin"/>
          <w:color w:val="111111"/>
          <w:sz w:val="28"/>
          <w:szCs w:val="28"/>
          <w:rtl w:val="true"/>
          <w:lang w:bidi="fa-IR"/>
        </w:rPr>
        <w:t>.</w:t>
      </w:r>
    </w:p>
    <w:p>
      <w:pPr>
        <w:pStyle w:val="Heading4"/>
        <w:numPr>
          <w:ilvl w:val="3"/>
          <w:numId w:val="1"/>
        </w:numPr>
        <w:rPr/>
      </w:pPr>
      <w:bookmarkStart w:id="75" w:name="__RefHeading___Toc7812140_3381743652"/>
      <w:bookmarkStart w:id="76" w:name="_Toc29"/>
      <w:bookmarkEnd w:id="75"/>
      <w:r>
        <w:rPr>
          <w:rtl w:val="true"/>
        </w:rPr>
        <w:t>شبهات و پاسخها</w:t>
      </w:r>
      <w:bookmarkEnd w:id="76"/>
    </w:p>
    <w:p>
      <w:pPr>
        <w:pStyle w:val="BookText"/>
        <w:rPr/>
      </w:pPr>
      <w:r>
        <w:rPr>
          <w:rFonts w:ascii="IRNazanin" w:hAnsi="IRNazanin" w:eastAsia="IRNazanin"/>
          <w:color w:val="111111"/>
          <w:sz w:val="28"/>
          <w:sz w:val="28"/>
          <w:szCs w:val="28"/>
          <w:rtl w:val="true"/>
          <w:lang w:bidi="fa-IR"/>
        </w:rPr>
        <w:t>شبهات و پاسخها</w:t>
      </w:r>
      <w:r>
        <w:rPr>
          <w:rStyle w:val="FootnoteAnchor"/>
          <w:rtl w:val="true"/>
        </w:rPr>
        <w:footnoteReference w:id="113"/>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شیخ خرده بگیرند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معنای لغوی را رها کرده اید؛ چه این که معنای لغوی ایمان، مطلق تصدیق است، خواه تصدیق به خدا باشد یا به طاغوت و یا به چیزهای دیگر و شما لفظ ایمان را تنها به معنای تصدیق خداوند و آنچه او معرفت آن را واجب کرده، می 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لفظ به برخی از مصادیق آن، غیر از نقل از معنای اصلی آن است؛ مثلا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جنبنده است و به برخی از حیواناتی که آهسته بر زمین گام می نهند اختصاص یافته، در حالی که نخست،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حیواناتی که آهسته بر زمین گام می نهند، اطلاق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لفظ ایمان رخ داده، اختصاص است؛ نه 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سجده برای خورشید را نشانه کفر می دانید؛ چرا در سایر گناهان، به این سخن ملتزم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که برای خورشید سجده می کند، از این رو کافر می دانیم که اجماع، قائم بر کفر چنین کسی می باشد و هر جا دلیل قطعی بر این مطلب وجود داشته باشد که عملی موجب کفر است، ما آن را علامت قطعی بر فقدان تصدیق و معرفت فاعل آن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سایر گناهان، چنین دلیلی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از صرف گناه کشف کرد که فاعل آن، معرفت و تصدیق به حق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حسب نظر شیخ، کسی که در حال اندیشه و فکر است و هنوز به معرفتی دست نیافته،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مؤمن بر چنین کسی به این اعتبار می باشد که او قسمتی از راه را پیموده است؛ زیرا به جایی گام نهاده که با اندک تلاشی، به مقصود می رسد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نمی تواند به معنای لغوی ایمان ملتزم بماند؛ زیرا معنای لغوی </w:t>
      </w:r>
      <w:bookmarkStart w:id="77" w:name="pg14387_143637"/>
    </w:p>
    <w:p>
      <w:pPr>
        <w:pStyle w:val="BookText"/>
        <w:rPr/>
      </w:pPr>
      <w:bookmarkEnd w:id="77"/>
      <w:r>
        <w:rPr>
          <w:rFonts w:ascii="IRNazanin" w:hAnsi="IRNazanin" w:eastAsia="IRNazanin"/>
          <w:color w:val="111111"/>
          <w:sz w:val="28"/>
          <w:sz w:val="28"/>
          <w:szCs w:val="28"/>
          <w:rtl w:val="true"/>
          <w:lang w:bidi="fa-IR"/>
        </w:rPr>
        <w:t>ایمان که تصدیق باشد، تنها به کسی قابل اطلاق است که فعلا در حال تصدیق و یا معرفت باشد؛ یعنی به عمل معرفت در معنای مصدری مشغول باشد؛ چه این که معرفت، تنها یک بار حاصل می شود و قابل تجدد در حدوث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در حال تصدیق و معرفت نیست، نباید مؤمن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امری دائم التجدید است و عارف، هر دم، معرفتی تازه می یابد و از همین رو می توان عارف به خدا و رسولش را هماره مؤمن خواند</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78" w:name="__RefHeading___Toc7812142_3381743652"/>
      <w:bookmarkStart w:id="79" w:name="_Toc30"/>
      <w:bookmarkEnd w:id="78"/>
      <w:r>
        <w:rPr>
          <w:rtl w:val="true"/>
        </w:rPr>
        <w:t>متعلق ایمان</w:t>
      </w:r>
      <w:bookmarkEnd w:id="79"/>
    </w:p>
    <w:p>
      <w:pPr>
        <w:pStyle w:val="BookText"/>
        <w:rPr/>
      </w:pPr>
      <w:r>
        <w:rPr>
          <w:rFonts w:ascii="IRNazanin" w:hAnsi="IRNazanin" w:eastAsia="IRNazanin"/>
          <w:color w:val="111111"/>
          <w:sz w:val="28"/>
          <w:sz w:val="28"/>
          <w:szCs w:val="28"/>
          <w:rtl w:val="true"/>
          <w:lang w:bidi="fa-IR"/>
        </w:rPr>
        <w:t xml:space="preserve">صرف نظر از این که اعمال جوارحی، در حقیقت ایمان دخیل باشد یا نباشد، و ایمان، از سنخ علم باشد یا از سنخ تصدیق، این پرسش مطرح می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ایمان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اگر حقیقت ایمان را علم یا تصدیق بدانیم، بدیهی است که علم و یا تصدیق به مطلق چیزها ایمان نیست، بلکه ایمان، علم و یا تصدیق به چیزهای خاصی است؛ آن وقت می شود سؤال را به صورت دقیقتری مطرح کرد که آیا ایمان، به موجودات عینی خارجی تعلق می گیرد یا به گزاره ها یا به هر دو، به سخن دیگر، آیا به چیزی خاص یا کسی خاص ایمان می آوریم یا به گزاره های خاص یا به هر دو؟</w:t>
      </w:r>
    </w:p>
    <w:p>
      <w:pPr>
        <w:pStyle w:val="BookText"/>
        <w:rPr/>
      </w:pPr>
      <w:r>
        <w:rPr>
          <w:rFonts w:ascii="IRNazanin" w:hAnsi="IRNazanin" w:eastAsia="IRNazanin"/>
          <w:color w:val="111111"/>
          <w:sz w:val="28"/>
          <w:sz w:val="28"/>
          <w:szCs w:val="28"/>
          <w:rtl w:val="true"/>
          <w:lang w:bidi="fa-IR"/>
        </w:rPr>
        <w:t>این مسئله به صورت مستقیم در آثار کلامی شیخ مطرح نشده، لیکن از دقت در تعریفی که وی برای ایمان و مؤمن ارائه داد، می شود به نظر او در این باره دست یافت؛ زیرا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می توان مؤمن خواند که به خداوند و پیامبر او و به تمام آنچه خداوند، معرفت آن را واجب فرموده، معرفت و تصدیق داشته باشد</w:t>
      </w:r>
      <w:r>
        <w:rPr>
          <w:rFonts w:eastAsia="IRNazanin" w:cs="IRNazanin"/>
          <w:color w:val="111111"/>
          <w:sz w:val="28"/>
          <w:szCs w:val="28"/>
          <w:rtl w:val="true"/>
          <w:lang w:bidi="fa-IR"/>
        </w:rPr>
        <w:t>.</w:t>
      </w:r>
      <w:r>
        <w:rPr>
          <w:rStyle w:val="FootnoteAnchor"/>
          <w:rtl w:val="true"/>
        </w:rPr>
        <w:footnoteReference w:id="11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 به روشنی به این نتیجه دست می یابیم که متعلق ایمان از منظر شیخ، هم وجود شیء و اشیای خاص است و هم گزاره 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و علم به خدا و پیامبرا تصدیق به چیزی خاص است و تصدیق به تمام آنچه خدا معرفت آنها را واجب فرموده، تصدیق به گزاره های کلامی و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تمام اصول و فروع </w:t>
      </w:r>
      <w:bookmarkStart w:id="80" w:name="pg14387_143638"/>
    </w:p>
    <w:p>
      <w:pPr>
        <w:pStyle w:val="BookText"/>
        <w:rPr/>
      </w:pPr>
      <w:bookmarkEnd w:id="80"/>
      <w:r>
        <w:rPr>
          <w:rFonts w:ascii="IRNazanin" w:hAnsi="IRNazanin" w:eastAsia="IRNazanin"/>
          <w:color w:val="111111"/>
          <w:sz w:val="28"/>
          <w:sz w:val="28"/>
          <w:szCs w:val="28"/>
          <w:rtl w:val="true"/>
          <w:lang w:bidi="fa-IR"/>
        </w:rPr>
        <w:t>دین را می توان متعلق ایمان دانست؛ چه این که معرفت و تصدیق همه آنها را، خداوند واجب فرموده</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81" w:name="__RefHeading___Toc7812144_3381743652"/>
      <w:bookmarkStart w:id="82" w:name="_Toc31"/>
      <w:bookmarkEnd w:id="81"/>
      <w:r>
        <w:rPr>
          <w:rtl w:val="true"/>
        </w:rPr>
        <w:t>جایگاه ایمان</w:t>
      </w:r>
      <w:bookmarkEnd w:id="82"/>
    </w:p>
    <w:p>
      <w:pPr>
        <w:pStyle w:val="BookText"/>
        <w:rPr/>
      </w:pPr>
      <w:r>
        <w:rPr>
          <w:rFonts w:ascii="IRNazanin" w:hAnsi="IRNazanin" w:eastAsia="IRNazanin"/>
          <w:color w:val="111111"/>
          <w:sz w:val="28"/>
          <w:sz w:val="28"/>
          <w:szCs w:val="28"/>
          <w:rtl w:val="true"/>
          <w:lang w:bidi="fa-IR"/>
        </w:rPr>
        <w:t>نکته قابل توجه دیگری که درباره ایمان مطرح می باشد، جایگاه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خواه معرفت باشد یا تصدیق، محل و موضع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موضع آن کجاست؟</w:t>
      </w:r>
    </w:p>
    <w:p>
      <w:pPr>
        <w:pStyle w:val="BookText"/>
        <w:rPr/>
      </w:pPr>
      <w:r>
        <w:rPr>
          <w:rFonts w:ascii="IRNazanin" w:hAnsi="IRNazanin" w:eastAsia="IRNazanin"/>
          <w:color w:val="111111"/>
          <w:sz w:val="28"/>
          <w:sz w:val="28"/>
          <w:szCs w:val="28"/>
          <w:rtl w:val="true"/>
          <w:lang w:bidi="fa-IR"/>
        </w:rPr>
        <w:t>مرحوم شیخ الطایفه و بسیاری از متکلمان و دانشوران شیعی و متکلمان اشعری و ماتریدی، جایگاه ایمان را قلب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مدعا این است که اینها هرگاه از معرفت یا تصدیق به عنوان عنصری از ایمان سخن به میان می آورند، عبارت بالقلب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افزایند</w:t>
      </w:r>
      <w:r>
        <w:rPr>
          <w:rStyle w:val="FootnoteAnchor"/>
          <w:rtl w:val="true"/>
        </w:rPr>
        <w:footnoteReference w:id="117"/>
      </w:r>
      <w:r>
        <w:rPr>
          <w:rFonts w:ascii="IRNazanin" w:hAnsi="IRNazanin" w:eastAsia="IRNazanin"/>
          <w:color w:val="111111"/>
          <w:sz w:val="28"/>
          <w:sz w:val="28"/>
          <w:szCs w:val="28"/>
          <w:rtl w:val="true"/>
          <w:lang w:bidi="fa-IR"/>
        </w:rPr>
        <w:t>و این به خوبی می رساند که قلب از منظر آنان جایگاه ایمان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برخی از متکلمان برای اثبات این مدعا که جایگاه ایمان قلب است، به آیاتی از قرآن تمسک جسته اند که برخی از آنها را یادآور می شویم</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کتب فی قلوبهم الإیمان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یدخل الإیمان فی قلوبکم</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قلبه مطمئن بالإیمان</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ختم الله علی قلوبهم و علی سمعهم و علی أبصارهم غشاوة </w:t>
      </w:r>
      <w:r>
        <w:rPr>
          <w:rFonts w:eastAsia="IRNazanin" w:cs="IRNazanin"/>
          <w:color w:val="111111"/>
          <w:sz w:val="28"/>
          <w:szCs w:val="28"/>
          <w:rtl w:val="true"/>
          <w:lang w:bidi="fa-IR"/>
        </w:rPr>
        <w:t>...»</w:t>
      </w:r>
      <w:r>
        <w:rPr>
          <w:rStyle w:val="FootnoteAnchor"/>
          <w:rtl w:val="true"/>
        </w:rPr>
        <w:footnoteReference w:id="12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الذین طبع الله علی قلوبهم و سمعهم و أبصارهم </w:t>
      </w:r>
      <w:r>
        <w:rPr>
          <w:rFonts w:eastAsia="IRNazanin" w:cs="IRNazanin"/>
          <w:color w:val="111111"/>
          <w:sz w:val="28"/>
          <w:szCs w:val="28"/>
          <w:rtl w:val="true"/>
          <w:lang w:bidi="fa-IR"/>
        </w:rPr>
        <w:t>...»</w:t>
      </w:r>
      <w:r>
        <w:rPr>
          <w:rStyle w:val="FootnoteAnchor"/>
          <w:rtl w:val="true"/>
        </w:rPr>
        <w:footnoteReference w:id="122"/>
      </w:r>
      <w:bookmarkStart w:id="83" w:name="pg14387_143639"/>
    </w:p>
    <w:p>
      <w:pPr>
        <w:pStyle w:val="Heading3"/>
        <w:numPr>
          <w:ilvl w:val="2"/>
          <w:numId w:val="1"/>
        </w:numPr>
        <w:rPr/>
      </w:pPr>
      <w:bookmarkStart w:id="84" w:name="__RefHeading___Toc7812146_3381743652"/>
      <w:bookmarkStart w:id="85" w:name="_Toc32"/>
      <w:bookmarkEnd w:id="83"/>
      <w:bookmarkEnd w:id="84"/>
      <w:r>
        <w:rPr>
          <w:rtl w:val="true"/>
        </w:rPr>
        <w:t>خلق ایمان</w:t>
      </w:r>
      <w:bookmarkEnd w:id="85"/>
    </w:p>
    <w:p>
      <w:pPr>
        <w:pStyle w:val="BookText"/>
        <w:rPr/>
      </w:pPr>
      <w:r>
        <w:rPr>
          <w:rFonts w:ascii="IRNazanin" w:hAnsi="IRNazanin" w:eastAsia="IRNazanin"/>
          <w:color w:val="111111"/>
          <w:sz w:val="28"/>
          <w:sz w:val="28"/>
          <w:szCs w:val="28"/>
          <w:rtl w:val="true"/>
          <w:lang w:bidi="fa-IR"/>
        </w:rPr>
        <w:t>خلق ایمان</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بحث دیگری که درباره ایمان شدید مورد نزاع متکلمان واقع شده، مسئله خلق ایمان است؛ پرسش اصلی در این جا این است که هنگامی که انسان به خدا ایمان می آورد، آیا ایمان را خداوند در قلب او خلق می کند یا این که ایمان چیزی است که او آن را با توان و مسؤولیت و انتخاب خودش انجام می دهد؟ این مسئله، پرسش جدی دیگری در کلام اسلامی پدید می آورد و آن این است که رابطه خلق ایمان و اراده خداوند چیست؟ همین پرسش درباره کفر به صورت جدی تر مطرح می گردد که اگر خدا خالق ایمان باشد، خالق کفر نیز خواهد بود و در نتیجه، این سؤال مطرح می شود که اگر خداوند کفر را خلق کند، آیا کفر را اراده نموده، و آیا قابل تصور است که خداوند، خلق قبیحی همچون کفر را اراده کند؟</w:t>
      </w:r>
    </w:p>
    <w:p>
      <w:pPr>
        <w:pStyle w:val="BookText"/>
        <w:rPr/>
      </w:pPr>
      <w:r>
        <w:rPr>
          <w:rFonts w:ascii="IRNazanin" w:hAnsi="IRNazanin" w:eastAsia="IRNazanin"/>
          <w:color w:val="111111"/>
          <w:sz w:val="28"/>
          <w:sz w:val="28"/>
          <w:szCs w:val="28"/>
          <w:rtl w:val="true"/>
          <w:lang w:bidi="fa-IR"/>
        </w:rPr>
        <w:t xml:space="preserve">پیش از این که به ذکر و بررسی دیدگاههای متکلمان در این باره بپردازیم، یادکرد این نکته را لازم می دانیم که پیدایش مسئله خلق ایمان در پی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بحثی بسیار جدی میان معتزله و اشاعره بود، پدید آمد و دقیقا همانگونه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یا غیر مخلوق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مورد بحث بود، درباره ایمان نیز مسئله به همان صورت مطرح شده و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خلق ایمان نیز نگرشهایی ابراز شده که به برخی از عمده ترین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جبریون و ماتریدیها در این باره رویکرد جبرگرایانه ای اتخاذ نموده،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کفر، مخلوقند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ابوالحسن اشعری مؤسس نحله کلامی اشعری قائلند که ایمان،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اشعری در تبیین روی آورد معتزله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معتزله اتفاق دارند که خداوند، کفر و معاصی را نمی آفریند، تنها کسی که در این امر مخالف است، صالح قبه می باشد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وی در رساله مختصری که درباره ایمان نگاشته است، این موضع قطعی را اتخاذ می کند که ایمان، غیر مخلوق است</w:t>
      </w:r>
      <w:r>
        <w:rPr>
          <w:rFonts w:eastAsia="IRNazanin" w:cs="IRNazanin"/>
          <w:color w:val="111111"/>
          <w:sz w:val="28"/>
          <w:szCs w:val="28"/>
          <w:rtl w:val="true"/>
          <w:lang w:bidi="fa-IR"/>
        </w:rPr>
        <w:t>.</w:t>
      </w:r>
      <w:r>
        <w:rPr>
          <w:rStyle w:val="FootnoteAnchor"/>
          <w:rtl w:val="true"/>
        </w:rPr>
        <w:footnoteReference w:id="126"/>
      </w:r>
      <w:bookmarkStart w:id="86" w:name="pg14387_143640"/>
    </w:p>
    <w:p>
      <w:pPr>
        <w:pStyle w:val="BookText"/>
        <w:rPr/>
      </w:pPr>
      <w:bookmarkEnd w:id="86"/>
      <w:r>
        <w:rPr>
          <w:rFonts w:ascii="IRNazanin" w:hAnsi="IRNazanin" w:eastAsia="IRNazanin"/>
          <w:color w:val="111111"/>
          <w:sz w:val="28"/>
          <w:sz w:val="28"/>
          <w:szCs w:val="28"/>
          <w:rtl w:val="true"/>
          <w:lang w:bidi="fa-IR"/>
        </w:rPr>
        <w:t xml:space="preserve">مرحوم شیخ الطایفه روی آورد جبرگرایانه مجبره را مردود دانسته، در رد آن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ماذا علیهم لو آمنوا بالله و الیوم الآخر</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مدد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صراحت، کافران را مورد سرزنش قرار داده و آنان را در کفر ورزیدنشان معذور نمی داند و اگر آنها قادر به ایمان آوردن نمی بودند، این روشنترین عذر بود برایشان و در چنین فرضی نباید به آنها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زیانی بر آنها می رسد اگر به خدا و روز بازپسین ایمان بیاورند؟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اگر سخن جبریها درست باشد که خداوند، کفر را در کافران آفریده، بدیهی است که کفار می توانند احتجاج کنند که ما گناهی مرتکب نشده ایم؛ این خداست که کفر را در ما آفریده و ما را از ایمان باز داشته است</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87" w:name="__RefHeading___Toc7812148_3381743652"/>
      <w:bookmarkStart w:id="88" w:name="_Toc33"/>
      <w:bookmarkEnd w:id="87"/>
      <w:r>
        <w:rPr>
          <w:rtl w:val="true"/>
        </w:rPr>
        <w:t>حقیقت کفر</w:t>
      </w:r>
      <w:bookmarkEnd w:id="88"/>
    </w:p>
    <w:p>
      <w:pPr>
        <w:pStyle w:val="Heading4"/>
        <w:numPr>
          <w:ilvl w:val="3"/>
          <w:numId w:val="1"/>
        </w:numPr>
        <w:rPr/>
      </w:pPr>
      <w:bookmarkStart w:id="89" w:name="__RefHeading___Toc7812150_3381743652"/>
      <w:bookmarkStart w:id="90" w:name="_Toc34"/>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کفر در مقابل ایمان قرار دارد و عبارت است از انکار قلبی به اموری که خداوند، معرفت و تصدیق آنان را واجب گردانیده است، اما با انکار به زبان، کسی داخل در حقیقت کفر نمی شود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شیخ در آغاز بحث اسماء و احکام می گوید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در لغت، عبارت است از پوشاندن و انکار ورزیدن و در شرع، عبارت است از چیزی که سبب کیفر عظیم و همیشگی می گردد و در این دنیا نیز برخی از احکام؛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ارث و نکاح با مسلمانان و احکام دیگری از این دست، بر انسان کافر جاری است و از آنجا که عقل نمی تواند دریابد که چه چیزی سبب استحقاق کیفر دائمی می گردد، باید در یافتن پاسخ این پرسش، از شرع مدد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تعیین حدود و قلمرو کفر، تنها با ادله شرعی نقلی امکان پذیر است و امت اسلامی اتفاق دارند که اخلال به معرفت خداوند و یگانگی و عدل او و اخلال به معرفت پیامبرش، کفر است و به جز اصحاب معارف،</w:t>
      </w:r>
      <w:r>
        <w:rPr>
          <w:rStyle w:val="FootnoteAnchor"/>
          <w:rtl w:val="true"/>
        </w:rPr>
        <w:footnoteReference w:id="131"/>
      </w:r>
      <w:r>
        <w:rPr>
          <w:rFonts w:ascii="IRNazanin" w:hAnsi="IRNazanin" w:eastAsia="IRNazanin"/>
          <w:color w:val="111111"/>
          <w:sz w:val="28"/>
          <w:sz w:val="28"/>
          <w:szCs w:val="28"/>
          <w:rtl w:val="true"/>
          <w:lang w:bidi="fa-IR"/>
        </w:rPr>
        <w:t>به هیچ کسی در آن اختلافی ندارد</w:t>
      </w:r>
      <w:r>
        <w:rPr>
          <w:rFonts w:eastAsia="IRNazanin" w:cs="IRNazanin"/>
          <w:color w:val="111111"/>
          <w:sz w:val="28"/>
          <w:szCs w:val="28"/>
          <w:rtl w:val="true"/>
          <w:lang w:bidi="fa-IR"/>
        </w:rPr>
        <w:t>.</w:t>
      </w:r>
      <w:r>
        <w:rPr>
          <w:rStyle w:val="FootnoteAnchor"/>
          <w:rtl w:val="true"/>
        </w:rPr>
        <w:footnoteReference w:id="132"/>
      </w:r>
      <w:bookmarkStart w:id="91" w:name="pg14387_143641"/>
    </w:p>
    <w:p>
      <w:pPr>
        <w:pStyle w:val="BookText"/>
        <w:rPr/>
      </w:pPr>
      <w:bookmarkEnd w:id="91"/>
      <w:r>
        <w:rPr>
          <w:rFonts w:ascii="IRNazanin" w:hAnsi="IRNazanin" w:eastAsia="IRNazanin"/>
          <w:color w:val="111111"/>
          <w:sz w:val="28"/>
          <w:sz w:val="28"/>
          <w:szCs w:val="28"/>
          <w:rtl w:val="true"/>
          <w:lang w:bidi="fa-IR"/>
        </w:rPr>
        <w:t>در دو عبارتی که از مرحوم شیخ الطایفه ذکر شد، نکاتی در خور دقت و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تعریف کفر، از تقابل میان ایمان و کفر مدد جسته، با در نظر داشت آنچه در تعریف ایمان گفته است، کفر را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روشی که در تعریف ایمان پیموده بود که در آنجا بیشتر از کاوش در معنای لغوی ایمان و اصل عدم نقل از آن، مدد</w:t>
      </w:r>
    </w:p>
    <w:p>
      <w:pPr>
        <w:pStyle w:val="BookText"/>
        <w:rPr/>
      </w:pPr>
      <w:r>
        <w:rPr>
          <w:rFonts w:ascii="IRNazanin" w:hAnsi="IRNazanin" w:eastAsia="IRNazanin"/>
          <w:color w:val="111111"/>
          <w:sz w:val="28"/>
          <w:sz w:val="28"/>
          <w:szCs w:val="28"/>
          <w:rtl w:val="true"/>
          <w:lang w:bidi="fa-IR"/>
        </w:rPr>
        <w:t>جسته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حقیقی کفر از منظر شیخ، همان سخن نخست است که از وی نقل شد و قرینه تقابل میان کفر و ایمان، مؤید این مطلب است؛ چه این که اگر حقیقت ایمان عبارت باشد از تصدیق قلبی خداوند و یگانگی او و اموری که او معرفت آنها را واجب فرموده، به قرینه تقابل، حقیقت کفر، انکار قلبی و کذب شمردن امور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دوم شیخ که کفر را از طریق آثار آن؛ یعنی در پی داشتن کیفر عظیم و همیشگی و جاری نشدن احکام مسلمانان بر آن تعریف نموده، با این تعریف منافاتی ندارد؛ چه این که شیخ در سخن دوم بالاخره به این نکته اشاره دارد که در تعیین حدود و قلمرو کفر، تنها راهی که می توان از آن مدد جست، ادله شرعی می باشد و از منظر دلیل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 به معرفت خداوند و یگانگی و عدل او و اخلال به شناخت پیامبر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 به شناخت و تصدیق خداوند و سایر معارف واجب، به هر نحوی که باشد، سبب کفر است؛ خواه به کلی نسبت به این امور جاهل باشد یا اینکه شک و تردید داشته باشد، بنابراین، جبر پیشگان، اصحاب تشبیه و آنان که خداوند را دارای صفات قدیم می انگارند، کافرند، زیرا انگاره های نادرست آنها با شناخت خداوند و تصدیق به یگانگی او و حکمت و عدالت حق تعالی سازگاری ندارد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92" w:name="__RefHeading___Toc7812152_3381743652"/>
      <w:bookmarkStart w:id="93" w:name="_Toc35"/>
      <w:bookmarkEnd w:id="92"/>
      <w:r>
        <w:rPr>
          <w:rtl w:val="true"/>
        </w:rPr>
        <w:t>احکام مؤمنان و کافران</w:t>
      </w:r>
      <w:bookmarkEnd w:id="9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اشاره شد، مسئله ایمان، در گذشته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و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شد و متکلمان در پی تعریف نامهایی همچون ایمان، کفر، نفاق و فسق، احکام هر کدام را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احکام پاره ای از عنوانهای نامبرده را با صراحت و پاره ای دیگر را با اشاره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احکام کافر می گوید</w:t>
      </w:r>
      <w:r>
        <w:rPr>
          <w:rFonts w:eastAsia="IRNazanin" w:cs="IRNazanin"/>
          <w:color w:val="111111"/>
          <w:sz w:val="28"/>
          <w:szCs w:val="28"/>
          <w:rtl w:val="true"/>
          <w:lang w:bidi="fa-IR"/>
        </w:rPr>
        <w:t xml:space="preserve">: </w:t>
      </w:r>
      <w:bookmarkStart w:id="94" w:name="pg14387_143642"/>
    </w:p>
    <w:p>
      <w:pPr>
        <w:pStyle w:val="BookText"/>
        <w:rPr/>
      </w:pPr>
      <w:bookmarkEnd w:id="94"/>
      <w:r>
        <w:rPr>
          <w:rFonts w:ascii="IRNazanin" w:hAnsi="IRNazanin" w:eastAsia="IRNazanin"/>
          <w:color w:val="111111"/>
          <w:sz w:val="28"/>
          <w:sz w:val="28"/>
          <w:szCs w:val="28"/>
          <w:rtl w:val="true"/>
          <w:lang w:bidi="fa-IR"/>
        </w:rPr>
        <w:t>کافر با کفر ورزیدن خویش سزاوار کیفر بسیار و همیشگی می گردد و در این جهان نیز از بردن ارث، ازدواج با مسلمانان، دفن شدن در قبرستان آنها و سایر امتیازهایی که یک فرد مسلمان دارد، محروم می گردد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 آنچه شیخ در احکام کافر بیان کرده است، به قرینه تقابل، احکام مؤمن نیز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 راستین سزاوار پاداش عظیم و پایدار می باشد و از تمام آنچه کافر محروم بود، بهره مند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اما این که دوام پاداش و کیفر برای مؤمنان و کافران، به حکم عقل است یا به دلیل شرعی؟ شیخ رویکرد دوم را برمی گزیند</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95" w:name="__RefHeading___Toc7812154_3381743652"/>
      <w:bookmarkStart w:id="96" w:name="_Toc36"/>
      <w:bookmarkEnd w:id="95"/>
      <w:r>
        <w:rPr>
          <w:rtl w:val="true"/>
        </w:rPr>
        <w:t>مرتکب کبیره</w:t>
      </w:r>
      <w:bookmarkEnd w:id="96"/>
    </w:p>
    <w:p>
      <w:pPr>
        <w:pStyle w:val="Heading4"/>
        <w:numPr>
          <w:ilvl w:val="3"/>
          <w:numId w:val="1"/>
        </w:numPr>
        <w:rPr/>
      </w:pPr>
      <w:bookmarkStart w:id="97" w:name="__RefHeading___Toc7812156_3381743652"/>
      <w:bookmarkStart w:id="98" w:name="_Toc37"/>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گفته شد که برخی از متکلمان، ایمان را مرکب از سه چیز می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زبان، تصدیق قلبی و اعمال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سخن مطرح می شود که با فقدان یکی از این عناصر سه گانه، بخصوص عنصر سوم؛ یعنی فقدان اعمال عبادی و ارتکاب گناه کبیره،</w:t>
      </w:r>
    </w:p>
    <w:p>
      <w:pPr>
        <w:pStyle w:val="BookText"/>
        <w:rPr/>
      </w:pPr>
      <w:r>
        <w:rPr>
          <w:rFonts w:ascii="IRNazanin" w:hAnsi="IRNazanin" w:eastAsia="IRNazanin"/>
          <w:color w:val="111111"/>
          <w:sz w:val="28"/>
          <w:sz w:val="28"/>
          <w:szCs w:val="28"/>
          <w:rtl w:val="true"/>
          <w:lang w:bidi="fa-IR"/>
        </w:rPr>
        <w:t>آیا مرتکب گناه کبیره، مؤمن است یا کافر یا هیچ کدام؟</w:t>
      </w:r>
    </w:p>
    <w:p>
      <w:pPr>
        <w:pStyle w:val="BookText"/>
        <w:rPr/>
      </w:pPr>
      <w:r>
        <w:rPr>
          <w:rFonts w:ascii="IRNazanin" w:hAnsi="IRNazanin" w:eastAsia="IRNazanin"/>
          <w:color w:val="111111"/>
          <w:sz w:val="28"/>
          <w:sz w:val="28"/>
          <w:szCs w:val="28"/>
          <w:rtl w:val="true"/>
          <w:lang w:bidi="fa-IR"/>
        </w:rPr>
        <w:t>پرسش دیگر این که مفهوم کبیره چیست و اصولا گناه کبیره و صغیره دارد یا همه گناهان، بزرگند؟ و اگر گناه، بزرگ و کوچک داشته باشد، ملاک و تمایز آن دو چیست؟</w:t>
      </w:r>
    </w:p>
    <w:p>
      <w:pPr>
        <w:pStyle w:val="BookText"/>
        <w:rPr/>
      </w:pPr>
      <w:r>
        <w:rPr>
          <w:rFonts w:ascii="IRNazanin" w:hAnsi="IRNazanin" w:eastAsia="IRNazanin"/>
          <w:color w:val="111111"/>
          <w:sz w:val="28"/>
          <w:sz w:val="28"/>
          <w:szCs w:val="28"/>
          <w:rtl w:val="true"/>
          <w:lang w:bidi="fa-IR"/>
        </w:rPr>
        <w:t>در قرآن کریم آیاتی وجود دارد که به روشنی به تقسیم گناهان به کبیره و صغیره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کبائر ما تنهون عنه نکفر عنکم سیئاتکم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اگر از گناهان بزرگی که از آن نهی می شوید، بپرهیزید، گناهان کوچک شما را می 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مبارکه، به قرینه مقابله، همان گناهان کوچک است</w:t>
      </w:r>
      <w:r>
        <w:rPr>
          <w:rFonts w:eastAsia="IRNazanin" w:cs="IRNazanin"/>
          <w:color w:val="111111"/>
          <w:sz w:val="28"/>
          <w:szCs w:val="28"/>
          <w:rtl w:val="true"/>
          <w:lang w:bidi="fa-IR"/>
        </w:rPr>
        <w:t>.</w:t>
      </w:r>
      <w:r>
        <w:rPr>
          <w:rStyle w:val="FootnoteAnchor"/>
          <w:rtl w:val="true"/>
        </w:rPr>
        <w:footnoteReference w:id="13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ویلتنا ما هذا الکتاب لایغادر صغیرة ولا کبیرة إلا أحصاها</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میگویند 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 که هیچ عمل کوچک و بزرگی را فرونگذاشته، مگر این که آن را به شمار آورده است؟ کلمه صغیره و کبیره دو وصفی است که جایگزین موصوف خطیئه و معصیت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یجتنبون کبائر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 همان کسانی که از گناهان بزرگ و اعمال زشت اجتناب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آیه نیز بر تقسیم گناه به کبیره و صغیره، تا حدودی روشن است؛ زیرا مفهوم گناه بزرگ در مقابل گناه کوچک است و اگر گناه بزرگی باشد، منطقة گناه کوچک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مسئله تقسیم بندی گناه به بزرگ و کوچک، چیزی است که خود قرآن به روشنی به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 مهم این است که تمایز گناه بزرگ از کوچک در چیست؟ در کتب کلامی و تفسیر، اقوال متعددی در تمایز گناه بزرگ از کوچک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به قول را در این باره ذکر می کند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برخی از رویکردهای مشهور در این مسئله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در شریعت، در مقابل آن، بیم و تهدید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گناه کبیره است و هر عمل عصیان آمیزی که در برابر آن، وعیدی صورت نگرفته، گناه صغیره است</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معتزله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 چیزی است که برای آن، کیفر شرعی معین، به عنوان امر الزامی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همه گناهان کبیره، انباز گرفتن چیزی با خداست و کوچکترین همه آنها، شرب خمر است</w:t>
      </w:r>
      <w:r>
        <w:rPr>
          <w:rFonts w:eastAsia="IRNazanin" w:cs="IRNazanin"/>
          <w:color w:val="111111"/>
          <w:sz w:val="28"/>
          <w:szCs w:val="28"/>
          <w:rtl w:val="true"/>
          <w:lang w:bidi="fa-IR"/>
        </w:rPr>
        <w:t>.</w:t>
      </w:r>
      <w:r>
        <w:rPr>
          <w:rStyle w:val="FootnoteAnchor"/>
          <w:rtl w:val="true"/>
        </w:rPr>
        <w:footnoteReference w:id="14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سید مرتضی، شیخ طوسی و جمعی دیگر از متکلمان و مفسران شیعی بر این عقیده اند که تمام اعمال عصیان آمیز، کبیره محسوب می شود و صغیره بودن آن، نسبی است</w:t>
      </w:r>
      <w:r>
        <w:rPr>
          <w:rFonts w:eastAsia="IRNazanin" w:cs="IRNazanin"/>
          <w:color w:val="111111"/>
          <w:sz w:val="28"/>
          <w:szCs w:val="28"/>
          <w:rtl w:val="true"/>
          <w:lang w:bidi="fa-IR"/>
        </w:rPr>
        <w:t xml:space="preserve">. </w:t>
      </w:r>
      <w:r>
        <w:rPr>
          <w:rStyle w:val="FootnoteAnchor"/>
          <w:rtl w:val="true"/>
        </w:rPr>
        <w:footnoteReference w:id="144"/>
      </w:r>
      <w:bookmarkStart w:id="99" w:name="pg14387_143644"/>
    </w:p>
    <w:p>
      <w:pPr>
        <w:pStyle w:val="BookText"/>
        <w:rPr/>
      </w:pPr>
      <w:bookmarkEnd w:id="99"/>
      <w:r>
        <w:rPr>
          <w:rFonts w:ascii="IRNazanin" w:hAnsi="IRNazanin" w:eastAsia="IRNazanin"/>
          <w:color w:val="111111"/>
          <w:sz w:val="28"/>
          <w:sz w:val="28"/>
          <w:szCs w:val="28"/>
          <w:rtl w:val="true"/>
          <w:lang w:bidi="fa-IR"/>
        </w:rPr>
        <w:t>در نظر ما همه گناهان کبیره است و آنهایی را که صغیره می نامند، هنگامی است که با نافرمانیهای دیگری که کیفر بزرگتر دارد، سنجیده می شود و از این رو، آنها را صغیره می گوییم و هرگاه آنها را با گناهی که کیفر کمتر داشته باشد بسنجیم، کبیره می نامیم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علامه طباطبایی نیز همان رویکرد ذکر شده را پذیرفته،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عصیان و تمرد بنده را در مقابل خدای بزرگ بسنجیم، گناه، عظیم و بزرگ است و اگر آن را نسبت به معصیت دیگر در نظر بگیریم، هر معصیتی به اعتباری، ممکن است از معصیت دیگر بزرگتر یا کوچکتر باشد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100" w:name="__RefHeading___Toc7812158_3381743652"/>
      <w:bookmarkStart w:id="101" w:name="_Toc38"/>
      <w:bookmarkEnd w:id="100"/>
      <w:r>
        <w:rPr>
          <w:rtl w:val="true"/>
        </w:rPr>
        <w:t>مرتکب کبیره، مؤمن است یا کافر</w:t>
      </w:r>
      <w:bookmarkEnd w:id="101"/>
    </w:p>
    <w:p>
      <w:pPr>
        <w:pStyle w:val="BookText"/>
        <w:rPr/>
      </w:pPr>
      <w:r>
        <w:rPr>
          <w:rFonts w:ascii="IRNazanin" w:hAnsi="IRNazanin" w:eastAsia="IRNazanin"/>
          <w:color w:val="111111"/>
          <w:sz w:val="28"/>
          <w:sz w:val="28"/>
          <w:szCs w:val="28"/>
          <w:rtl w:val="true"/>
          <w:lang w:bidi="fa-IR"/>
        </w:rPr>
        <w:t>این مسئله یکی از مباحث مهم کلامی است که در بحث ایمان و کفر، جایگاه ویژه دارد و متکلمان راجع به آن، رویکردهای متعددی دارند که به عمده ترین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مرتکب کبیره، مشرک یا کافر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با چنین انسانی، نه مؤمن است، نه کافر، بلکه از مقوله ای مستقل است میان کفر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مرتکب کبیره را باید منافق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چنین کسی، کافر نعمت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Style w:val="FootnoteAnchor"/>
          <w:rtl w:val="true"/>
        </w:rPr>
        <w:footnoteReference w:id="148"/>
      </w:r>
      <w:r>
        <w:rPr>
          <w:rFonts w:ascii="IRNazanin" w:hAnsi="IRNazanin" w:eastAsia="IRNazanin"/>
          <w:color w:val="111111"/>
          <w:sz w:val="28"/>
          <w:sz w:val="28"/>
          <w:szCs w:val="28"/>
          <w:rtl w:val="true"/>
          <w:lang w:bidi="fa-IR"/>
        </w:rPr>
        <w:t xml:space="preserve">و اشاعره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مرتکب کبیره، مؤمن فاسق است</w:t>
      </w:r>
      <w:r>
        <w:rPr>
          <w:rFonts w:eastAsia="IRNazanin" w:cs="IRNazanin"/>
          <w:color w:val="111111"/>
          <w:sz w:val="28"/>
          <w:szCs w:val="28"/>
          <w:rtl w:val="true"/>
          <w:lang w:bidi="fa-IR"/>
        </w:rPr>
        <w:t>.</w:t>
      </w:r>
    </w:p>
    <w:p>
      <w:pPr>
        <w:pStyle w:val="Heading4"/>
        <w:numPr>
          <w:ilvl w:val="3"/>
          <w:numId w:val="1"/>
        </w:numPr>
        <w:rPr/>
      </w:pPr>
      <w:bookmarkStart w:id="102" w:name="__RefHeading___Toc7812160_3381743652"/>
      <w:bookmarkStart w:id="103" w:name="_Toc39"/>
      <w:bookmarkEnd w:id="102"/>
      <w:r>
        <w:rPr>
          <w:rtl w:val="true"/>
        </w:rPr>
        <w:t>دیدگاه خوارج و پاسخ شیخ</w:t>
      </w:r>
      <w:bookmarkEnd w:id="10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دلیل این گروه برای ادله کافر انگاشتن مرتکب کبیره، نصوص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این که بررسی و نقد آن را یاد آور شویم، به ذکر و بررسی دلیل دیگر آنان که شیخ آن را بیان نموده است، می پردازیم</w:t>
      </w:r>
      <w:r>
        <w:rPr>
          <w:rFonts w:eastAsia="IRNazanin" w:cs="IRNazanin"/>
          <w:color w:val="111111"/>
          <w:sz w:val="28"/>
          <w:szCs w:val="28"/>
          <w:rtl w:val="true"/>
          <w:lang w:bidi="fa-IR"/>
        </w:rPr>
        <w:t xml:space="preserve">. </w:t>
      </w:r>
      <w:bookmarkStart w:id="104" w:name="pg14387_143645"/>
    </w:p>
    <w:p>
      <w:pPr>
        <w:pStyle w:val="BookText"/>
        <w:rPr/>
      </w:pPr>
      <w:bookmarkEnd w:id="104"/>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عصیان و سرکشی فاسق نسبت به فرمانهای الهی، در می یابیم که او به خداوند و معارفی که او واجب نموده،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باید کافر خواند؛ آنگونه که شیخ خود درباره کسی که برای خورشید سجده می کند، همین سخن را 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این است که حکم به تکفیر کسی که در مقابل خورشید کرنش می کند، به این دلیل است که همه فرقه های مسلمانان بر کافر بودن چنین کسی اتفاق دارند، ولی درباره فاسق، چنین دلیلی بر کفر او وجود ندارد تا از آن دریابیم که او به خداوند و معارف حقه دین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اگر مرتکب کبیره به خاطر گناهی که از او سر زده، کافر شود، باید احکام کافر نیز بر او جاری گردد؛ مثلا از ارث محروم گردد و در گورستان مسلمانان دفن نشود و بر مرده او نماز برپا ندارند، در حالی که هیچ یک از مسلمانان، احکام مزبور را بر فاسق جاری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وجهی برای کافر خواندن او وجود ندارد</w:t>
      </w:r>
      <w:r>
        <w:rPr>
          <w:rFonts w:eastAsia="IRNazanin" w:cs="IRNazanin"/>
          <w:color w:val="111111"/>
          <w:sz w:val="28"/>
          <w:szCs w:val="28"/>
          <w:rtl w:val="true"/>
          <w:lang w:bidi="fa-IR"/>
        </w:rPr>
        <w:t>.</w:t>
      </w:r>
    </w:p>
    <w:p>
      <w:pPr>
        <w:pStyle w:val="Heading4"/>
        <w:numPr>
          <w:ilvl w:val="3"/>
          <w:numId w:val="1"/>
        </w:numPr>
        <w:rPr/>
      </w:pPr>
      <w:bookmarkStart w:id="105" w:name="__RefHeading___Toc7812162_3381743652"/>
      <w:bookmarkStart w:id="106" w:name="_Toc40"/>
      <w:bookmarkEnd w:id="105"/>
      <w:r>
        <w:rPr>
          <w:rtl w:val="true"/>
        </w:rPr>
        <w:t>ادله نقلی خوارج بر کافر انگاشتن مرتکب کبیره</w:t>
      </w:r>
      <w:bookmarkEnd w:id="106"/>
    </w:p>
    <w:p>
      <w:pPr>
        <w:pStyle w:val="BookText"/>
        <w:rPr/>
      </w:pPr>
      <w:r>
        <w:rPr>
          <w:rFonts w:ascii="IRNazanin" w:hAnsi="IRNazanin" w:eastAsia="IRNazanin"/>
          <w:color w:val="111111"/>
          <w:sz w:val="28"/>
          <w:sz w:val="28"/>
          <w:szCs w:val="28"/>
          <w:rtl w:val="true"/>
          <w:lang w:bidi="fa-IR"/>
        </w:rPr>
        <w:t>آیاتی که آنان برای اثبات مدعایشان به آنها تمسک جسته اند،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یحکم بما أنزل الله فأولئک هم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 آنها که به احکامی که خدا فرود آورده حکم نمی کنند،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این است که در این آیه مبارکه، خداوند کسی را که به احکام او حکم نمی کند، کافر خوانده است و از سوی دیگر، حکم نکردن به احکام الهی و حکم کردن به غیر آن، همانند سایر گناهان، سرپیچی و گردن نهادن به فرمانهای الهی است و در این جهت با هم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کسانی دیگر را که گناهان دیگری مرتکب شده اند نیز طبق آیه مبارکه، کافر بخوانیم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ناتمام است؛ چه این که آیه نسبت به تمام گناهان، عموم و شمول ندارد و تنها شامل کسانی می شود که بر خلاف حکم خداوند حکم نموده، چنین عملی را حلال می انگارند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تبیض وجوه و تسود وجوه فأما الذین اسودت وجوههم أکفرتم بعد إیمانکم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عذاب عظیم روزی خواهد بود که چهره هایی سفید و چهره هایی سیاه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که صورتهایشان سیاه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ایمان کافر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چنین انگاشته اند که این آیه بر این نکته دلالت دارد که واسطه ای میان کفر و ایمان وجود ندارد؛ یعنی هر انسانی ناگزیر، یا کافر است و یا مؤمن؛ زیرا در آیه، آنهایی که چهره هایشان سفید شده، مؤمن خوانده شده اند و آنهایی که چهره یشان سیاه شده،</w:t>
      </w:r>
    </w:p>
    <w:p>
      <w:pPr>
        <w:pStyle w:val="BookText"/>
        <w:rPr/>
      </w:pP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فاسق به خاطر ارتکاب گناه، از حقیقت ایمان بهره ای ندارد و در زمره مؤمنان نیست، پس ناگزیر، کافر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الطایفه این پندار آنان را نیز باطل می داند؛ چه این که سفید شدن چهره ها و سیاه شدن برخی از چهره ها هرگز دلالت بر این ندارد که چهره های دیگری با رنگهای دیگر وجود نداشته باشد؛ زیرا ادات عموم وارد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تا مفید عموم و شمول باشد و گفته شود که تمام چهره ها منحصر در همان دو چهره است که در آیه، نامبرده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گنهکاران از باب تغلیب، در زمرۂ کافران قرار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مهمتر، اصلا آیه دلالت ندارد که آنهایی که چهره هایشان سیاه گردیده، کافرند، بلکه ذیل آیه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بعد از ایمان، کافر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می رساند که مقصود، کسانی است که بعد از ایمان آوردن، از دین برگشته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سیاهی چهره، ویژه مرتدهاست و همه کفار چهره هایشان اینگونه نیست و بر این اساس، ممکن است فاسقان همانند کافران که دارای چهره های متعددند، چهره هایی با رنگهای دیگر داشته باشند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مسفرة ضاحکة مستبشرة و وجوه یومئذ علیها غبرة ترهقها قترة أولئک هم الکفرة الفجرة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چهره هایی در آن روز، گشاده و نورانی و خندان و مسرور است و چهره هایی در آن روز، غبارآلود است و دود تاریکی آنها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کافران و بزهکارانند</w:t>
      </w:r>
      <w:r>
        <w:rPr>
          <w:rFonts w:eastAsia="IRNazanin" w:cs="IRNazanin"/>
          <w:color w:val="111111"/>
          <w:sz w:val="28"/>
          <w:szCs w:val="28"/>
          <w:rtl w:val="true"/>
          <w:lang w:bidi="fa-IR"/>
        </w:rPr>
        <w:t xml:space="preserve">. </w:t>
      </w:r>
      <w:bookmarkStart w:id="107" w:name="pg14387_143647"/>
    </w:p>
    <w:p>
      <w:pPr>
        <w:pStyle w:val="BookText"/>
        <w:rPr/>
      </w:pPr>
      <w:bookmarkEnd w:id="107"/>
      <w:r>
        <w:rPr>
          <w:rFonts w:ascii="IRNazanin" w:hAnsi="IRNazanin" w:eastAsia="IRNazanin"/>
          <w:color w:val="111111"/>
          <w:sz w:val="28"/>
          <w:sz w:val="28"/>
          <w:szCs w:val="28"/>
          <w:rtl w:val="true"/>
          <w:lang w:bidi="fa-IR"/>
        </w:rPr>
        <w:t>خوارج مدعی شده اند که خداوند در این آیات دو چهره مقابل هم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چهره مؤمنان که گشاده، نورانی، خندان و مسرور است و دیگری چهره های کافران و گناهکاران که غبار آلوده و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تمام کسانی که جزو مؤمنان نیستند، در زمره کافران قرار دارند؛ بنابراین، فاسقان را باید کافر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نیز از دید شیخ، مردود است؛ زیرا این که در آیه، برخی از چهره ها را به این وصف می کند که بر آنها غبار و تیرگی نشسته، نمی رساند که چهره های طیفهای دیگر از اهل عقاب، به رنگها و نشانه های ورای آن وجود ندارد، بلکه ممکن است برخی از اهل عقاب، دارای چهره ها و نشانه های دیگر باشند و فاسقان جزو آنان باشند، نه جزو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جهنم لمحیطة بالکافرین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 جهنم، کافران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به سبب عصیانشان به طور مسلم در جهنم مورد کیفر قرار میگیرند و از سوی دیگر، آیه شریفه دلالت دارد که جهنم، تنها کافران را فرا می گیرد؛ بنابراین، فاسقان که در جهنم قرار دارند، جزو کافرانند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نادرستی این استدلال نیز روشن است؛ چه این که آیه به هیچ رو حصر را نمی رساند، که جهنم تنها کافران را فرا می گیرد و گنهکاران را فرانمی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محیط بالکافرین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رساند که خدا از احوال و سرگذشت</w:t>
      </w:r>
    </w:p>
    <w:p>
      <w:pPr>
        <w:pStyle w:val="BookText"/>
        <w:rPr/>
      </w:pPr>
      <w:r>
        <w:rPr>
          <w:rFonts w:ascii="IRNazanin" w:hAnsi="IRNazanin" w:eastAsia="IRNazanin"/>
          <w:color w:val="111111"/>
          <w:sz w:val="28"/>
          <w:sz w:val="28"/>
          <w:szCs w:val="28"/>
          <w:rtl w:val="true"/>
          <w:lang w:bidi="fa-IR"/>
        </w:rPr>
        <w:t>غیرکافران آگاه نباشد</w:t>
      </w:r>
      <w:r>
        <w:rPr>
          <w:rFonts w:eastAsia="IRNazanin" w:cs="IRNazanin"/>
          <w:color w:val="111111"/>
          <w:sz w:val="28"/>
          <w:szCs w:val="28"/>
          <w:rtl w:val="true"/>
          <w:lang w:bidi="fa-IR"/>
        </w:rPr>
        <w:t xml:space="preserve">. </w:t>
      </w:r>
      <w:r>
        <w:rPr>
          <w:rStyle w:val="FootnoteAnchor"/>
          <w:rtl w:val="true"/>
        </w:rPr>
        <w:footnoteReference w:id="154"/>
      </w:r>
    </w:p>
    <w:p>
      <w:pPr>
        <w:pStyle w:val="Heading3"/>
        <w:numPr>
          <w:ilvl w:val="2"/>
          <w:numId w:val="1"/>
        </w:numPr>
        <w:rPr/>
      </w:pPr>
      <w:bookmarkStart w:id="108" w:name="__RefHeading___Toc7812164_3381743652"/>
      <w:bookmarkStart w:id="109" w:name="_Toc41"/>
      <w:bookmarkEnd w:id="108"/>
      <w:r>
        <w:rPr>
          <w:rtl w:val="true"/>
        </w:rPr>
        <w:t>اصل منزلة بین المنزلتین و پاسخ شیخ</w:t>
      </w:r>
      <w:bookmarkEnd w:id="109"/>
    </w:p>
    <w:p>
      <w:pPr>
        <w:pStyle w:val="Heading4"/>
        <w:numPr>
          <w:ilvl w:val="3"/>
          <w:numId w:val="1"/>
        </w:numPr>
        <w:rPr/>
      </w:pPr>
      <w:bookmarkStart w:id="110" w:name="__RefHeading___Toc7812166_3381743652"/>
      <w:bookmarkStart w:id="111" w:name="_Toc42"/>
      <w:bookmarkEnd w:id="110"/>
      <w:r>
        <w:rPr>
          <w:rtl w:val="true"/>
        </w:rPr>
        <w:t>اشاره</w:t>
      </w:r>
      <w:bookmarkEnd w:id="11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عبارت است از این که چیزی میان دو شیء یا دو وضعیت قرار گیرد و به لحاظ شباهتی که با هر یک از طرفین دارد، به سوی آن کشیده شود، اما در اصطلاح متکلمان یعنی فردی که مرتکب گناه کبیره می شود، نامی میان دو نام و حکمی میان دو حکم دارد</w:t>
      </w:r>
      <w:r>
        <w:rPr>
          <w:rFonts w:eastAsia="IRNazanin" w:cs="IRNazanin"/>
          <w:color w:val="111111"/>
          <w:sz w:val="28"/>
          <w:szCs w:val="28"/>
          <w:rtl w:val="true"/>
          <w:lang w:bidi="fa-IR"/>
        </w:rPr>
        <w:t xml:space="preserve">. </w:t>
      </w:r>
      <w:bookmarkStart w:id="112" w:name="pg14387_143648"/>
    </w:p>
    <w:p>
      <w:pPr>
        <w:pStyle w:val="BookText"/>
        <w:rPr/>
      </w:pPr>
      <w:bookmarkEnd w:id="112"/>
      <w:r>
        <w:rPr>
          <w:rFonts w:ascii="IRNazanin" w:hAnsi="IRNazanin" w:eastAsia="IRNazanin"/>
          <w:color w:val="111111"/>
          <w:sz w:val="28"/>
          <w:sz w:val="28"/>
          <w:szCs w:val="28"/>
          <w:rtl w:val="true"/>
          <w:lang w:bidi="fa-IR"/>
        </w:rPr>
        <w:t>این مسئله یکی از ویژگیهای بارز معتزله و یکی از اصول پنجگانه مذهب این جماعت به شمار می آید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اصولی که ابوالحسین خیاط راجع به آنها اذعان دارد هیچ کسی را شایسته نام اعتزال نتوان دانست، مگر این که همه این اصول در او گرد آمده باشد</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113" w:name="__RefHeading___Toc7812168_3381743652"/>
      <w:bookmarkStart w:id="114" w:name="_Toc43"/>
      <w:bookmarkEnd w:id="113"/>
      <w:r>
        <w:rPr>
          <w:rtl w:val="true"/>
        </w:rPr>
        <w:t>حکم مخالفان اصل منزلة بین المنزلتین</w:t>
      </w:r>
      <w:bookmarkEnd w:id="114"/>
    </w:p>
    <w:p>
      <w:pPr>
        <w:pStyle w:val="BookText"/>
        <w:rPr/>
      </w:pPr>
      <w:r>
        <w:rPr>
          <w:rFonts w:ascii="IRNazanin" w:hAnsi="IRNazanin" w:eastAsia="IRNazanin"/>
          <w:color w:val="111111"/>
          <w:sz w:val="28"/>
          <w:sz w:val="28"/>
          <w:szCs w:val="28"/>
          <w:rtl w:val="true"/>
          <w:lang w:bidi="fa-IR"/>
        </w:rPr>
        <w:t>قاضی عبدالجبار معتزلی کسانی را که با این اصل مخالفت می ورزند، به سه گروه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مخالفان این اصل بر این باور باشند که حکم مرتکب کبیره همانند حکم بت پرستان، مجوسان و غیر آنان می باشد، چنین کسانی کافرند؛ زیرا چنین حکمی بر خلاف آیین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اوست و اگر بگویند حکم مرتکب کبیره در ستایش و بزرگ شمردن و دوستی با او به خاطر خداوند، حکم مؤمن می باشد؛ چنین کسی فاسق است؛ زیرا این سخن او به معنای شکستن اجماعی است که بدان تصریح شده است و اگر بگویند حکم او نه حکم مؤمن است و نه حکم کافر، لیکن ما او را مؤمن می نامیم، چنین کسی مخطئ است</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115" w:name="__RefHeading___Toc7812170_3381743652"/>
      <w:bookmarkStart w:id="116" w:name="_Toc44"/>
      <w:bookmarkEnd w:id="115"/>
      <w:r>
        <w:rPr>
          <w:rtl w:val="true"/>
        </w:rPr>
        <w:t>ادله اصل منزلة بین المنزلتین</w:t>
      </w:r>
      <w:bookmarkEnd w:id="116"/>
    </w:p>
    <w:p>
      <w:pPr>
        <w:pStyle w:val="BookText"/>
        <w:rPr/>
      </w:pPr>
      <w:r>
        <w:rPr>
          <w:rFonts w:ascii="IRNazanin" w:hAnsi="IRNazanin" w:eastAsia="IRNazanin"/>
          <w:color w:val="111111"/>
          <w:sz w:val="28"/>
          <w:sz w:val="28"/>
          <w:szCs w:val="28"/>
          <w:rtl w:val="true"/>
          <w:lang w:bidi="fa-IR"/>
        </w:rPr>
        <w:t>اساس دلیل اهل اعتزال در نامگذاری مرتکب کبیره به منزلة بین المنزلتین در همان تعریفی نهفته است که آنها از ایمان و کفر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آنها قائلند که مرتکب کبیره را نه می توان کافر خواند و نه مؤمن، اما کافر نخواندن او از این روست که کافر نام کسی است که سزاوار کیفر بزرگ باشد و به او احکامی همچون منع از بردن ارث، نکاح و دفن در گورستان مسلمانان اختصاص یافته باشد و روشن است که مرتکب کبیره سزاوار کیفر بزرگ نیست و هیچ یک از مسلمانان احکام مزبور را بر او جاری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دلیلی برای کافر خواندن مرتکب کبیره وجود ندارد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مؤمن نخواندن وی به این دلیل است که مؤمن در شرع به کسی اطلاق می گردد که سزاوار مدح و بزرگ شمردن باشد و مرتکب کبیره، نه تنها سزاوار مدح و تعظیم نیست، </w:t>
      </w:r>
      <w:bookmarkStart w:id="117" w:name="pg14387_143649"/>
    </w:p>
    <w:p>
      <w:pPr>
        <w:pStyle w:val="BookText"/>
        <w:rPr/>
      </w:pPr>
      <w:bookmarkEnd w:id="117"/>
      <w:r>
        <w:rPr>
          <w:rFonts w:ascii="IRNazanin" w:hAnsi="IRNazanin" w:eastAsia="IRNazanin"/>
          <w:color w:val="111111"/>
          <w:sz w:val="28"/>
          <w:sz w:val="28"/>
          <w:szCs w:val="28"/>
          <w:rtl w:val="true"/>
          <w:lang w:bidi="fa-IR"/>
        </w:rPr>
        <w:t>بلکه مستحق لعن، مذمت و سبک شمردن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مرتکب کبیره در موقعیتی قرار دارد که هر یک از ایمان و کفر، او را به سوی خود فرا می خواند و جایگاه او نه جایگاه کافران است و نه منزلت و جایگاه مؤمنان، بلکه جایگاهی است میان آن دو منزلة بین المنزلتین</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118" w:name="__RefHeading___Toc7812172_3381743652"/>
      <w:bookmarkStart w:id="119" w:name="_Toc45"/>
      <w:bookmarkEnd w:id="118"/>
      <w:r>
        <w:rPr>
          <w:rtl w:val="true"/>
        </w:rPr>
        <w:t>نقد شیخ</w:t>
      </w:r>
      <w:bookmarkEnd w:id="119"/>
    </w:p>
    <w:p>
      <w:pPr>
        <w:pStyle w:val="BookText"/>
        <w:rPr/>
      </w:pPr>
      <w:r>
        <w:rPr>
          <w:rFonts w:ascii="IRNazanin" w:hAnsi="IRNazanin" w:eastAsia="IRNazanin"/>
          <w:color w:val="111111"/>
          <w:sz w:val="28"/>
          <w:sz w:val="28"/>
          <w:szCs w:val="28"/>
          <w:rtl w:val="true"/>
          <w:lang w:bidi="fa-IR"/>
        </w:rPr>
        <w:t>شیخ الطایفه با اهل اعتزال در کافر نخواندن مرتکب کبیره نظر واحدی دارد؛ چه این که کافر از منظر شیخ به کسی گفته می شود که قلبا نسبت به خداوند و آنچه او معرفت آن را واجب فرموده، جحود و انکار ورزد و این ویژگی در مرتکب کبیره وجود ندارد؛ زیرا او قلبا خداوند و معارف حقه دین را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نقطه اختلاف شیخ با معتزله، تنها در مؤمن نخواندن مرتکب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هرچند به صورت مستقیم استدلال این جماعت را مورد نقد قرار نداده، ولی اگر به گفتار وی در حقیقت ایمان دقت شود، پاسخ دلیل معتزله به خوبی روشن می گردد؛ زیرا عمل از منظر شیخ، در حقیقت ایمان سهمی نداشت و از عناصر تشکیل دهنده ایمان به شمار نمی رفت، بلکه ایمان، تنها تصدیق قلبی به خداوند و وحدانیت او و تصدیق معارفی بود که او آنها را واجب فرموده و این مدعای خویش را با دلیل عقلی و نقلی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مرتکب کبیره که قلبا به وحدانیت خداوند و رسالت حضرت ختمی مرتبت و شریعت و آیین او تصدیق دارد، ولی در عمل، از او گناه کبیره سر می زند، از قلمرو ایمان خارج نمی گردد، بلکه او از این جهت که به معارف دینی تصدیق قلبی دارد، مؤمن، ولی از آن حیث که عصیان و نافرمانی می کند، فاسق خوانده می شود</w:t>
      </w:r>
      <w:r>
        <w:rPr>
          <w:rFonts w:eastAsia="IRNazanin" w:cs="IRNazanin"/>
          <w:color w:val="111111"/>
          <w:sz w:val="28"/>
          <w:szCs w:val="28"/>
          <w:rtl w:val="true"/>
          <w:lang w:bidi="fa-IR"/>
        </w:rPr>
        <w:t>.</w:t>
      </w:r>
    </w:p>
    <w:p>
      <w:pPr>
        <w:pStyle w:val="Heading4"/>
        <w:numPr>
          <w:ilvl w:val="3"/>
          <w:numId w:val="1"/>
        </w:numPr>
        <w:rPr/>
      </w:pPr>
      <w:bookmarkStart w:id="120" w:name="__RefHeading___Toc7812174_3381743652"/>
      <w:bookmarkStart w:id="121" w:name="_Toc46"/>
      <w:bookmarkEnd w:id="120"/>
      <w:r>
        <w:rPr>
          <w:rtl w:val="true"/>
        </w:rPr>
        <w:t>نقد نظریه حسن بصری</w:t>
      </w:r>
      <w:bookmarkEnd w:id="12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بصری در نامگذاری مرتکب کبیره این بود که چنین کسی را باید منافق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از منظر شیخ مردود است؛ زیرا چنان که گذشت، منافق کسی است که خلاف آنچه را در دل دارد، اظهار کند و چنین ویژگی ای در مرتکب کبیره به چشم نمی خورد، بلکه او </w:t>
      </w:r>
      <w:bookmarkStart w:id="122" w:name="pg14387_143650"/>
    </w:p>
    <w:p>
      <w:pPr>
        <w:pStyle w:val="BookText"/>
        <w:rPr/>
      </w:pPr>
      <w:bookmarkEnd w:id="122"/>
      <w:r>
        <w:rPr>
          <w:rFonts w:ascii="IRNazanin" w:hAnsi="IRNazanin" w:eastAsia="IRNazanin"/>
          <w:color w:val="111111"/>
          <w:sz w:val="28"/>
          <w:sz w:val="28"/>
          <w:szCs w:val="28"/>
          <w:rtl w:val="true"/>
          <w:lang w:bidi="fa-IR"/>
        </w:rPr>
        <w:t>با دل و زبان، خداوند و معارف حقه دین را تصدیق می کند و به صرف این که در عمل از او گناه بزرگ سر می زند، منافق بودن وی را نمی رساند؛ آنگونه که نافرمانیهایی که از یهود و نصارا و سایر مشرکات سر می زند، سبب نمی شود تا آنان را منافق بخوانیم</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123" w:name="__RefHeading___Toc7812176_3381743652"/>
      <w:bookmarkStart w:id="124" w:name="_Toc47"/>
      <w:bookmarkEnd w:id="123"/>
      <w:r>
        <w:rPr>
          <w:rtl w:val="true"/>
        </w:rPr>
        <w:t>نقد نظریه زیدیه</w:t>
      </w:r>
      <w:bookmarkEnd w:id="124"/>
    </w:p>
    <w:p>
      <w:pPr>
        <w:pStyle w:val="BookText"/>
        <w:rPr/>
      </w:pPr>
      <w:r>
        <w:rPr>
          <w:rFonts w:ascii="IRNazanin" w:hAnsi="IRNazanin" w:eastAsia="IRNazanin"/>
          <w:color w:val="111111"/>
          <w:sz w:val="28"/>
          <w:sz w:val="28"/>
          <w:szCs w:val="28"/>
          <w:rtl w:val="true"/>
          <w:lang w:bidi="fa-IR"/>
        </w:rPr>
        <w:t>این گروه چنین انگاشته اند که مرتکب کبیره دچار کفر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رد این نظر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نعمت، آن است که انسان به نعمتهای الهی اذعان نداشته، آنها را تکذیب کند و مرتکب کبیره را با وجود این که نعمتهای الهی را تکذیب نکرده، بلکه قلبا به همه آنها تصدیق دارد، چگونه می شود کافر نعمت خواند؟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125" w:name="__RefHeading___Toc7812178_3381743652"/>
      <w:bookmarkStart w:id="126" w:name="_Toc48"/>
      <w:bookmarkEnd w:id="125"/>
      <w:r>
        <w:rPr>
          <w:rtl w:val="true"/>
        </w:rPr>
        <w:t>اسلام و ایمان</w:t>
      </w:r>
      <w:bookmarkEnd w:id="126"/>
    </w:p>
    <w:p>
      <w:pPr>
        <w:pStyle w:val="Heading4"/>
        <w:numPr>
          <w:ilvl w:val="3"/>
          <w:numId w:val="1"/>
        </w:numPr>
        <w:rPr/>
      </w:pPr>
      <w:bookmarkStart w:id="127" w:name="__RefHeading___Toc7812180_3381743652"/>
      <w:bookmarkStart w:id="128" w:name="_Toc49"/>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یکی از مسائل در خور تحقیق درباره ایمان، رابطه ایمان و اسلام است که آیا این دو واژه از حیث معنای شرعی با هم متحدند یا متغایر؟</w:t>
      </w:r>
    </w:p>
    <w:p>
      <w:pPr>
        <w:pStyle w:val="BookText"/>
        <w:rPr/>
      </w:pPr>
      <w:r>
        <w:rPr>
          <w:rFonts w:ascii="IRNazanin" w:hAnsi="IRNazanin" w:eastAsia="IRNazanin"/>
          <w:color w:val="111111"/>
          <w:sz w:val="28"/>
          <w:sz w:val="28"/>
          <w:szCs w:val="28"/>
          <w:rtl w:val="true"/>
          <w:lang w:bidi="fa-IR"/>
        </w:rPr>
        <w:t>اسلام در لغت به معنای اخلاص، خضوع و تسلیم است که در اصطلاح متکلمان، تعریفهای متعددی برای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اقرار به شهادتین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این دو کلمه را بر زبان جاری کند، مال و جان او در امان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عبارت است از تسلیم و انقیاد و ترک تمرد و امتناع از عناد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انقیاد باطنی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انقیاد و خضوع نسبت به امر الهی و اقرار به تمام چیزهایی است که بر مکلف واجب است</w:t>
      </w:r>
      <w:r>
        <w:rPr>
          <w:rFonts w:eastAsia="IRNazanin" w:cs="IRNazanin"/>
          <w:color w:val="111111"/>
          <w:sz w:val="28"/>
          <w:szCs w:val="28"/>
          <w:rtl w:val="true"/>
          <w:lang w:bidi="fa-IR"/>
        </w:rPr>
        <w:t>.</w:t>
      </w:r>
      <w:r>
        <w:rPr>
          <w:rStyle w:val="FootnoteAnchor"/>
          <w:rtl w:val="true"/>
        </w:rPr>
        <w:footnoteReference w:id="16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رابطه ایمان و اسلام، دو رویکرد عمده وجود دارد</w:t>
      </w:r>
      <w:r>
        <w:rPr>
          <w:rFonts w:eastAsia="IRNazanin" w:cs="IRNazanin"/>
          <w:color w:val="111111"/>
          <w:sz w:val="28"/>
          <w:szCs w:val="28"/>
          <w:rtl w:val="true"/>
          <w:lang w:bidi="fa-IR"/>
        </w:rPr>
        <w:t xml:space="preserve">: </w:t>
      </w:r>
      <w:bookmarkStart w:id="129" w:name="pg14387_143651"/>
    </w:p>
    <w:p>
      <w:pPr>
        <w:pStyle w:val="BookText"/>
        <w:rPr/>
      </w:pPr>
      <w:bookmarkEnd w:id="129"/>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اشاعره و معتزله که اسلام و ایمان را در معنای شرعی، متحد می انگارند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به معنای واحدی بازمی گردد که همان اعتراف، انقیاد و اذعان و قبول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بیشتر متکلمان امامی این است که اسلام و ایمان، مغایرند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اتفاق دارند که اسلام، غیر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مسلمان است، ولی هر مسلمانی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در لغت میان اسلام و ایمان تمایز است، در معنای شرعی نیز همان تمایز وجود دارد</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130" w:name="__RefHeading___Toc7812182_3381743652"/>
      <w:bookmarkStart w:id="131" w:name="_Toc50"/>
      <w:bookmarkEnd w:id="130"/>
      <w:r>
        <w:rPr>
          <w:rtl w:val="true"/>
        </w:rPr>
        <w:t>دیدگاه شیخ</w:t>
      </w:r>
      <w:bookmarkEnd w:id="131"/>
    </w:p>
    <w:p>
      <w:pPr>
        <w:pStyle w:val="BookText"/>
        <w:rPr/>
      </w:pPr>
      <w:r>
        <w:rPr>
          <w:rFonts w:ascii="IRNazanin" w:hAnsi="IRNazanin" w:eastAsia="IRNazanin"/>
          <w:color w:val="111111"/>
          <w:sz w:val="28"/>
          <w:sz w:val="28"/>
          <w:szCs w:val="28"/>
          <w:rtl w:val="true"/>
          <w:lang w:bidi="fa-IR"/>
        </w:rPr>
        <w:t>شیخ الطایفه در این باره رأی معتزله را برگزیده، اسلام و ایمان را متحد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شیخ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 الإیمان واحد عندنا و عند أکثر المرجئة و المعتزلة</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شیخ برای اثبات این مدعا و بطلان گفتار کسانی که میان اسلام و ایمان فرق می نهند، به دو آیه زیر مدد جسته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پذیرش نزد خداوند،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الإسلام دینا فلن یقبل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 هر کسی غیر از اسلام، دینی را برگزیند، از او پذیرفته نخواهد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بیان این دلیل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غیر از اسلام دینی را برگزیند، از وی پذیرفته نمی شود؛ همچنان که اگر کسی غیر از ایمان را برگزیند نیز از وی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و ایمان، متحد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این سخن شیخ، هم در اصل مدعا و هم دلیلی که به آن تمسک جسته، با چندین معضل روبه 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شیخ که ایمان و اسلام را یکی می داند، بر خلاف ظاهر این آیه از قرآن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 قل لم تؤمنوا و لکن قولوا أسلمنا و لایدخل الإیمان فی قلوبکم</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از این که در این آیه شریفه، نخست ایمان را از اعراب نفی می کند و اسلام را در حق آنان ثابت می کند و سپس در ذیل آیه توضیح می دهد که ایمان، کار دل است و دلهای شما هنوز با ایمان نشده، برمی آید که میان اسلام و ایمان، فرق است؛ ایمان معنایی است قائم به قلب و اسلام معنایی است قائم به زبان و اعضا؛ چون کلمه اسلام به معنای تسلیم شدن و گردن نهادن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به زبان، این است که شهادتین را اقرار کند و تسلیم شدن سایر اعضا به این است که هرچه خدا دستور می دهد، ظاهرا انجام دهد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شیخ در این باب، مخالف اجماعی است که پیشتر از شیخ مفید یاد آور شدیم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امامیه اتفاق دارند که معنای اسلام و ایمان، مغایرند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شیخ نیز مدعای وی را به اثبات نمی رساند؛ زیرا اولا، وحدت دین و ایمان در سخن شیخ به اثبات نرسیده، تا از طریق اتحاد آن دو با قیاس مساوات، به وحدت اسلام و ایمان برسیم و ثانیا، آن اسلامی که در دو آیه یاد شده از وحدت آن با دین سخن به میان آمده، اسلامی به معنای روش و آیین است، نه اسلام به معنای تسلیم شدن و به زبان آوردن 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وحدت اسلام به معنای تسلیم شدن که به عمل و فعل انسان مربوط می شود، با دین و آیین نیز به اثبات نرسیده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تنها چیزی که می توان در دفاع از سخن شیخ ارائه داد، این است که گفته شود اسلام، خود دارای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مراتب، اسلام و ایمان با هم متحدند و در پاره ای از مراتب، مغایر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شیخ از اسلام در این جا مرتبه بالاتر از صرف اقرار به زبان و گفتن شهادتین باشد؛ چون او اسلام را به معنای انقیاد و خضوع به اوامر الهی می داند و این مرتبه از اسلام، با ایمان تغایری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اسلامی که در آیه شریفه </w:t>
      </w:r>
      <w:bookmarkStart w:id="132" w:name="pg14387_143653"/>
    </w:p>
    <w:p>
      <w:pPr>
        <w:pStyle w:val="BookText"/>
        <w:rPr/>
      </w:pPr>
      <w:bookmarkEnd w:id="132"/>
      <w:r>
        <w:rPr>
          <w:rFonts w:ascii="IRNazanin" w:hAnsi="IRNazanin" w:eastAsia="IRNazanin"/>
          <w:color w:val="111111"/>
          <w:sz w:val="28"/>
          <w:sz w:val="28"/>
          <w:szCs w:val="28"/>
          <w:rtl w:val="true"/>
          <w:lang w:bidi="fa-IR"/>
        </w:rPr>
        <w:t>بود و نیز اسلامی که شیخ مفید بر تغایر آن با ایمان ادعای اجماع نمود، همان نازلترین مرتبه اسلام است و شکی نیست که این مرتبه از اسلام، با ایمان متحد نیست و آیه ذکر شده و اجماع شیخ مفید، با صراحت، اتحاد میان آن دو را نفی می کند</w:t>
      </w:r>
      <w:r>
        <w:rPr>
          <w:rFonts w:eastAsia="IRNazanin" w:cs="IRNazanin"/>
          <w:color w:val="111111"/>
          <w:sz w:val="28"/>
          <w:szCs w:val="28"/>
          <w:rtl w:val="true"/>
          <w:lang w:bidi="fa-IR"/>
        </w:rPr>
        <w:t>.</w:t>
      </w:r>
    </w:p>
    <w:p>
      <w:pPr>
        <w:pStyle w:val="Heading3"/>
        <w:numPr>
          <w:ilvl w:val="2"/>
          <w:numId w:val="1"/>
        </w:numPr>
        <w:rPr/>
      </w:pPr>
      <w:bookmarkStart w:id="133" w:name="__RefHeading___Toc7812184_3381743652"/>
      <w:bookmarkStart w:id="134" w:name="_Toc51"/>
      <w:bookmarkEnd w:id="133"/>
      <w:r>
        <w:rPr>
          <w:rtl w:val="true"/>
        </w:rPr>
        <w:t>افزایش و کاهش ایمان</w:t>
      </w:r>
      <w:bookmarkEnd w:id="134"/>
    </w:p>
    <w:p>
      <w:pPr>
        <w:pStyle w:val="Heading4"/>
        <w:numPr>
          <w:ilvl w:val="3"/>
          <w:numId w:val="1"/>
        </w:numPr>
        <w:rPr/>
      </w:pPr>
      <w:bookmarkStart w:id="135" w:name="__RefHeading___Toc7812186_3381743652"/>
      <w:bookmarkStart w:id="136" w:name="_Toc52"/>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از مسائل دیگری که در باب ایمان مورد توجه و تحقیق متکلمان قرار گرفته، مسئله افزایش و کاهش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زوایای متعددی در خور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افزایش و کاهش، تنها تفاوت کمی را شامل است یا تفاوت کیفی را نیز شامل می گردد؟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رویکردهای مختلف در حقیقت ایمان، آیا واقعا ایمان قابل فزونی و کاستی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قرآنی در این باره چه می گوید؟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شیخ الطایفه در این باره چیست؟</w:t>
      </w:r>
    </w:p>
    <w:p>
      <w:pPr>
        <w:pStyle w:val="BookText"/>
        <w:rPr/>
      </w:pPr>
      <w:r>
        <w:rPr>
          <w:rFonts w:ascii="IRNazanin" w:hAnsi="IRNazanin" w:eastAsia="IRNazanin"/>
          <w:color w:val="111111"/>
          <w:sz w:val="28"/>
          <w:sz w:val="28"/>
          <w:szCs w:val="28"/>
          <w:rtl w:val="true"/>
          <w:lang w:bidi="fa-IR"/>
        </w:rPr>
        <w:t>در پاسخ پرسش نخست باید گفت که آنچه از متون کلامی به دست می آید، هر دو تفاوت درباره ایمان مطرح است؛ هم تفاوت به زیادی و نقیصه و هم تفاوت به شدت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ایمان واقعا قابل افزایش است یا خیر، نظریه های متعددی در آن ابراز</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برخی از اشعریان فزونی و کاستی ایمان را پذیرفته اند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متکلمان بر این باورند که ایمان افزایش و کاهش را برنمی تابد</w:t>
      </w:r>
      <w:r>
        <w:rPr>
          <w:rFonts w:eastAsia="IRNazanin" w:cs="IRNazanin"/>
          <w:color w:val="111111"/>
          <w:sz w:val="28"/>
          <w:szCs w:val="28"/>
          <w:rtl w:val="true"/>
          <w:lang w:bidi="fa-IR"/>
        </w:rPr>
        <w:t>.</w:t>
      </w:r>
      <w:r>
        <w:rPr>
          <w:rStyle w:val="FootnoteAnchor"/>
          <w:rtl w:val="true"/>
        </w:rPr>
        <w:footnoteReference w:id="17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همانند فخر رازی و قاضی عبدالجبار افزایش و کاهش ایمان را مبتنی بر این می دانند که اگر اعمال جوارحی را در حقیقت ایمان سهیم بدانیم، قابل فزونی و کاستی است و در غیر این صورت، قابل افزایش و کاهش نخواهد بود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این باره رهیافت دیگری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تفکر اسلامی به سه معنای عمده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تصدیقی که مؤکدا مستقر می شود و مبتنی بر دلیل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تصدیقی که در اصل با ابتنای بر اعتماد تعصب آمیز به حجیت قول دیگران به مرحله اعتقاد راسخ و قطعی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لازمه خود تصدیق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معنای نخست، نوعی یقین مطلق است و در این جا افزایش و کاهش، غیرقابل تصور است؛ زیرا اعتقاد مطلق، اگر به کمال رسیده باشد، هیچ زیادی نمی پذیرد و پیش از رسیدن به کمال، هنوز اعتقاد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این معنی، یک واحد همگن است که قابل فزونی و کاستی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معنای دوم، قابل افزایش و کاهش است؛ زیرا مربوط به تجربه روزمره است و اعتقاد به این معنی، همانند گره است که می تواند محکمتر یا سست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معنای سوم نیز قابل افزایش و کاهش است؛ زیرا عمل، تفاوتهای فردی را برمی تابد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شیخ در این باره نظریه خود را صریحا بیان نفرموده و تنها به ذکر اقوال پرداخته و در ضمن تفسیر آیه دوم سوره انفاق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افزایش و کاهش ایمان را پذیرفته و بر این باورند که اعمال عبادی در حقیقت ایمان سهیم است، به این آیه استدلال کرده اند، ولی کسانی که مخالف افزایش و کاهش ایمانند، چنین می انگارند که اوصافی که در آیه ذکر شده، اوصاف مؤمنان برتر است و مانعی نیست که مؤمنان در اصل ایمان با هم تفاوت نداشته باشند، ولی به لحاظ اوصاف، خارج از ایمان نسبت به همدیگر تفاضل و برتری داشته باشند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تمام آنچه بود که ما از آثار شیخ در این باره بدان دست یافتیم که نمی شود از آن، نظریه شیخ را به دست آورد</w:t>
      </w:r>
      <w:r>
        <w:rPr>
          <w:rFonts w:eastAsia="IRNazanin" w:cs="IRNazanin"/>
          <w:color w:val="111111"/>
          <w:sz w:val="28"/>
          <w:szCs w:val="28"/>
          <w:rtl w:val="true"/>
          <w:lang w:bidi="fa-IR"/>
        </w:rPr>
        <w:t xml:space="preserve">. </w:t>
      </w:r>
      <w:bookmarkStart w:id="137" w:name="pg14387_143655"/>
    </w:p>
    <w:p>
      <w:pPr>
        <w:pStyle w:val="BookText"/>
        <w:rPr/>
      </w:pPr>
      <w:bookmarkEnd w:id="137"/>
      <w:r>
        <w:rPr>
          <w:rFonts w:ascii="IRNazanin" w:hAnsi="IRNazanin" w:eastAsia="IRNazanin"/>
          <w:color w:val="111111"/>
          <w:sz w:val="28"/>
          <w:sz w:val="28"/>
          <w:szCs w:val="28"/>
          <w:rtl w:val="true"/>
          <w:lang w:bidi="fa-IR"/>
        </w:rPr>
        <w:t>باری، آن دسته از متکلمانی که حقیقت ایمان را معرفت دانسته اند، برای تفاوت ناپذیری ایمان چنین استدلال کرده اند که معرفت از صفاتی نیست که با ضد خود جمع شود و در عین حال، هویت خود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صفتی است که اساس آن با اندک تردیدی ویران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سخن، قابل مناقشه است؛ زیرا تفاوت معرفت و علم، منحصر در این نیست که یکی تردید می پذیرد و دیگری تردید نمی پذیرد، بلکه می شود قطع نظر از راه یافتن تردید، معرفتی نسبت به معرفت دیگر قویتر یا ضعیفتر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حضوری قویتر از</w:t>
      </w:r>
    </w:p>
    <w:p>
      <w:pPr>
        <w:pStyle w:val="BookText"/>
        <w:rPr/>
      </w:pPr>
      <w:r>
        <w:rPr>
          <w:rFonts w:ascii="IRNazanin" w:hAnsi="IRNazanin" w:eastAsia="IRNazanin"/>
          <w:color w:val="111111"/>
          <w:sz w:val="28"/>
          <w:sz w:val="28"/>
          <w:szCs w:val="28"/>
          <w:rtl w:val="true"/>
          <w:lang w:bidi="fa-IR"/>
        </w:rPr>
        <w:t>علم حصولی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خود دچار درد و المی باشد، یقینا علم او نسبت به آن قویتر از کسی است که به درد و الم او علم حصولی دارد</w:t>
      </w:r>
      <w:r>
        <w:rPr>
          <w:rFonts w:eastAsia="IRNazanin" w:cs="IRNazanin"/>
          <w:color w:val="111111"/>
          <w:sz w:val="28"/>
          <w:szCs w:val="28"/>
          <w:rtl w:val="true"/>
          <w:lang w:bidi="fa-IR"/>
        </w:rPr>
        <w:t>.</w:t>
      </w:r>
    </w:p>
    <w:p>
      <w:pPr>
        <w:pStyle w:val="Heading4"/>
        <w:numPr>
          <w:ilvl w:val="3"/>
          <w:numId w:val="1"/>
        </w:numPr>
        <w:rPr/>
      </w:pPr>
      <w:bookmarkStart w:id="138" w:name="__RefHeading___Toc7812188_3381743652"/>
      <w:bookmarkStart w:id="139" w:name="_Toc53"/>
      <w:bookmarkEnd w:id="138"/>
      <w:r>
        <w:rPr>
          <w:rtl w:val="true"/>
        </w:rPr>
        <w:t>قرآن و مسئله افزایش و کاهش ایمان</w:t>
      </w:r>
      <w:bookmarkEnd w:id="139"/>
    </w:p>
    <w:p>
      <w:pPr>
        <w:pStyle w:val="BookText"/>
        <w:rPr/>
      </w:pPr>
      <w:r>
        <w:rPr>
          <w:rFonts w:ascii="IRNazanin" w:hAnsi="IRNazanin" w:eastAsia="IRNazanin"/>
          <w:color w:val="111111"/>
          <w:sz w:val="28"/>
          <w:sz w:val="28"/>
          <w:szCs w:val="28"/>
          <w:rtl w:val="true"/>
          <w:lang w:bidi="fa-IR"/>
        </w:rPr>
        <w:t>آیاتی از قرآن صراحت دارد که ایمان قابل افزایش و کاهش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تلیت علیهم آیاته زادتهم إیمانا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و هنگامی که آیات او بر آنها خوانده می شود، ایمانشان فزونتر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لیزدادوا إیمانا مع إیمانهم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تا ایمان بر ایمان خودشان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یزداد الذین آمنوا إیمانا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 بر ایمان مؤمنان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زادهم إلا إیمانا و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و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مؤمنان احزاب را جز بر ایمان و تسلیم آنان نیفزود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آمنوا فزادتهم إیمانا</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اما کسانی که ایمان آورده اند، بر ایمانشان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ایمان را معرفت یا تصدیق می دانند و آن دو را قابل فزونی و کاستی نمی دانند، آیات نامبرده را به وجوه ذیل تأویل کرده 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افزایش در آیات گذشته، افزایش به حسب دوام و ثبات و کثرت </w:t>
      </w:r>
      <w:bookmarkStart w:id="140" w:name="pg14387_143656"/>
    </w:p>
    <w:p>
      <w:pPr>
        <w:pStyle w:val="BookText"/>
        <w:rPr/>
      </w:pPr>
      <w:bookmarkEnd w:id="140"/>
      <w:r>
        <w:rPr>
          <w:rFonts w:ascii="IRNazanin" w:hAnsi="IRNazanin" w:eastAsia="IRNazanin"/>
          <w:color w:val="111111"/>
          <w:sz w:val="28"/>
          <w:sz w:val="28"/>
          <w:szCs w:val="28"/>
          <w:rtl w:val="true"/>
          <w:lang w:bidi="fa-IR"/>
        </w:rPr>
        <w:t>ساعات و زمانها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افزایش متعلق و مؤمن به است؛ مثلا صحابه در آغاز ظهور اسلام به چیزهای معدودی که حضرت پیامبر فرموده بود، ایمان داشتند، ولی با آمدن هر حکمی از احکام الهی، متعلق ایمان آنان افزایش می یافت و این گونه افزایش، در زمان ما نیز امکان پذیر است؛ چه این که هر کسی که به معارف تازه ای دست می یابد و آن را تصدیق می کند، ایمان وی از این حیث فزونی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زیادی ثمرات و اشراق نور ایمان در قلب است که با افزایش طاعات و کاهش گناهان، بیشتر و قویتر می گردد</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141" w:name="__RefHeading___Toc7812190_3381743652"/>
      <w:bookmarkStart w:id="142" w:name="_Toc54"/>
      <w:bookmarkEnd w:id="141"/>
      <w:r>
        <w:rPr>
          <w:rtl w:val="true"/>
        </w:rPr>
        <w:t>آثار و فواید ایمان</w:t>
      </w:r>
      <w:bookmarkEnd w:id="142"/>
    </w:p>
    <w:p>
      <w:pPr>
        <w:pStyle w:val="BookText"/>
        <w:rPr/>
      </w:pPr>
      <w:r>
        <w:rPr>
          <w:rFonts w:ascii="IRNazanin" w:hAnsi="IRNazanin" w:eastAsia="IRNazanin"/>
          <w:color w:val="111111"/>
          <w:sz w:val="28"/>
          <w:sz w:val="28"/>
          <w:szCs w:val="28"/>
          <w:rtl w:val="true"/>
          <w:lang w:bidi="fa-IR"/>
        </w:rPr>
        <w:t>برای ایمان، آثار و فواید بسیار ذکر شده است که با استمداد از آیات قرآن، به برخی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رستگاری</w:t>
      </w:r>
    </w:p>
    <w:p>
      <w:pPr>
        <w:pStyle w:val="BookText"/>
        <w:rPr/>
      </w:pPr>
      <w:r>
        <w:rPr>
          <w:rFonts w:ascii="IRNazanin" w:hAnsi="IRNazanin" w:eastAsia="IRNazanin"/>
          <w:color w:val="111111"/>
          <w:sz w:val="28"/>
          <w:sz w:val="28"/>
          <w:szCs w:val="28"/>
          <w:rtl w:val="true"/>
          <w:lang w:bidi="fa-IR"/>
        </w:rPr>
        <w:t xml:space="preserve">ایمان مایه نجات و رستگاری آدمی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المفلحون</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هل أدلکم علی تجارة تنجیکم من عذاب ألیم تؤمنون بالله و رسوله</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اخلاق و فضایل</w:t>
      </w:r>
    </w:p>
    <w:p>
      <w:pPr>
        <w:pStyle w:val="BookText"/>
        <w:rPr/>
      </w:pPr>
      <w:r>
        <w:rPr>
          <w:rFonts w:ascii="IRNazanin" w:hAnsi="IRNazanin" w:eastAsia="IRNazanin"/>
          <w:color w:val="111111"/>
          <w:sz w:val="28"/>
          <w:sz w:val="28"/>
          <w:szCs w:val="28"/>
          <w:rtl w:val="true"/>
          <w:lang w:bidi="fa-IR"/>
        </w:rPr>
        <w:t>ایمان، برترین فضیلت انسان است و بنیان اخلاق و فضایل دیگر بر ایمان به خدا و باور به معاد استوار است و به عکس، فراموشی خداوند و جهان آخرت، بنیان گمراهی و فساد است و به تعبیر زیبای قرآن دوری از خدا نماد تمام بدیها و پلیدیهاست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w:t>
      </w:r>
    </w:p>
    <w:p>
      <w:pPr>
        <w:pStyle w:val="BookText"/>
        <w:rPr/>
      </w:pPr>
      <w:r>
        <w:rPr>
          <w:rFonts w:ascii="IRNazanin" w:hAnsi="IRNazanin" w:eastAsia="IRNazanin"/>
          <w:color w:val="111111"/>
          <w:sz w:val="28"/>
          <w:sz w:val="28"/>
          <w:szCs w:val="28"/>
          <w:rtl w:val="true"/>
          <w:lang w:bidi="fa-IR"/>
        </w:rPr>
        <w:t>لا یؤمنون بالآخرة مثل السوء</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 به جهان آفرینش</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جهان آفرینش را با هدف و غایت و معنی دار و در مسیر خیر، سعادت و </w:t>
      </w:r>
    </w:p>
    <w:p>
      <w:pPr>
        <w:pStyle w:val="BookText"/>
        <w:rPr/>
      </w:pPr>
      <w:r>
        <w:rPr>
          <w:rFonts w:ascii="IRNazanin" w:hAnsi="IRNazanin" w:eastAsia="IRNazanin"/>
          <w:color w:val="111111"/>
          <w:sz w:val="28"/>
          <w:sz w:val="28"/>
          <w:szCs w:val="28"/>
          <w:rtl w:val="true"/>
          <w:lang w:bidi="fa-IR"/>
        </w:rPr>
        <w:t>تکامل میدانند و طبعا نسبت به آینده خود و جهان، امیدوار و خوشبین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 بی ایمان، جهان آفرینش را بی هدف، پوچ و ابتر می انگارند و از همین رو همیشه در رنج و نومیدی به سر برده، آرزوی عدم و نیستی می کنند و گاهی این وضعیت برایشان قابل تحمل نیست و دست به خودکشی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آرامش خاطر</w:t>
      </w:r>
    </w:p>
    <w:p>
      <w:pPr>
        <w:pStyle w:val="BookText"/>
        <w:rPr/>
      </w:pPr>
      <w:r>
        <w:rPr>
          <w:rFonts w:ascii="IRNazanin" w:hAnsi="IRNazanin" w:eastAsia="IRNazanin"/>
          <w:color w:val="111111"/>
          <w:sz w:val="28"/>
          <w:sz w:val="28"/>
          <w:szCs w:val="28"/>
          <w:rtl w:val="true"/>
          <w:lang w:bidi="fa-IR"/>
        </w:rPr>
        <w:t>ایمان، نگرانی، اضطراب و اندوه آدمی را زایل می کند و به او آرامش و اطمینان خاطر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أولیاء الله لا خوف علیهم ولا هم یحزنون الذین آمنوا و کانوا یتقون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تطمئن قلوبهم بذکر الله ألا بذکر الله تطمئن القلوب</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برکات و نعمتهای الهی</w:t>
      </w:r>
    </w:p>
    <w:p>
      <w:pPr>
        <w:pStyle w:val="BookText"/>
        <w:rPr/>
      </w:pPr>
      <w:r>
        <w:rPr>
          <w:rFonts w:ascii="IRNazanin" w:hAnsi="IRNazanin" w:eastAsia="IRNazanin"/>
          <w:color w:val="111111"/>
          <w:sz w:val="28"/>
          <w:sz w:val="28"/>
          <w:szCs w:val="28"/>
          <w:rtl w:val="true"/>
          <w:lang w:bidi="fa-IR"/>
        </w:rPr>
        <w:t>از آثار عمده دیگری که بر ایمان مترتب است، نزول برکات و نعمتهای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والأرض</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لو استقاموا علی الطریقة لأسقیناهم ماء غدقا</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پاکی از گناه</w:t>
      </w:r>
    </w:p>
    <w:p>
      <w:pPr>
        <w:pStyle w:val="BookText"/>
        <w:rPr/>
      </w:pPr>
      <w:r>
        <w:rPr>
          <w:rFonts w:ascii="IRNazanin" w:hAnsi="IRNazanin" w:eastAsia="IRNazanin"/>
          <w:color w:val="111111"/>
          <w:sz w:val="28"/>
          <w:sz w:val="28"/>
          <w:szCs w:val="28"/>
          <w:rtl w:val="true"/>
          <w:lang w:bidi="fa-IR"/>
        </w:rPr>
        <w:t>دست آورد دیگر ایمان، مغفرت و پاکی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می آورد، به اتفاق همه مسلمانان، گناهان دوران کفر او بخشیده می شود</w:t>
      </w:r>
      <w:r>
        <w:rPr>
          <w:rStyle w:val="FootnoteAnchor"/>
          <w:rtl w:val="true"/>
        </w:rPr>
        <w:footnoteReference w:id="1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عملوا الصالحات النکقر عنهم سیئاتهم</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 که قرآن کریم، حسن عاقبت،</w:t>
      </w:r>
      <w:r>
        <w:rPr>
          <w:rStyle w:val="FootnoteAnchor"/>
          <w:rtl w:val="true"/>
        </w:rPr>
        <w:footnoteReference w:id="195"/>
      </w:r>
      <w:r>
        <w:rPr>
          <w:rFonts w:ascii="IRNazanin" w:hAnsi="IRNazanin" w:eastAsia="IRNazanin"/>
          <w:color w:val="111111"/>
          <w:sz w:val="28"/>
          <w:sz w:val="28"/>
          <w:szCs w:val="28"/>
          <w:rtl w:val="true"/>
          <w:lang w:bidi="fa-IR"/>
        </w:rPr>
        <w:t>صبر و شکیبایی، توصیه به حق،</w:t>
      </w:r>
      <w:r>
        <w:rPr>
          <w:rStyle w:val="FootnoteAnchor"/>
          <w:rtl w:val="true"/>
        </w:rPr>
        <w:footnoteReference w:id="196"/>
      </w:r>
      <w:r>
        <w:rPr>
          <w:rFonts w:ascii="IRNazanin" w:hAnsi="IRNazanin" w:eastAsia="IRNazanin"/>
          <w:color w:val="111111"/>
          <w:sz w:val="28"/>
          <w:sz w:val="28"/>
          <w:szCs w:val="28"/>
          <w:rtl w:val="true"/>
          <w:lang w:bidi="fa-IR"/>
        </w:rPr>
        <w:t>خروج از تاریکی و جهل، ورود به بصیرت و روشنایی،</w:t>
      </w:r>
      <w:r>
        <w:rPr>
          <w:rStyle w:val="FootnoteAnchor"/>
          <w:rtl w:val="true"/>
        </w:rPr>
        <w:footnoteReference w:id="197"/>
      </w:r>
      <w:r>
        <w:rPr>
          <w:rFonts w:ascii="IRNazanin" w:hAnsi="IRNazanin" w:eastAsia="IRNazanin"/>
          <w:color w:val="111111"/>
          <w:sz w:val="28"/>
          <w:sz w:val="28"/>
          <w:szCs w:val="28"/>
          <w:rtl w:val="true"/>
          <w:lang w:bidi="fa-IR"/>
        </w:rPr>
        <w:t>اجر و پاداش عظیم،</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در زمین،</w:t>
      </w:r>
      <w:r>
        <w:rPr>
          <w:rStyle w:val="FootnoteAnchor"/>
          <w:rtl w:val="true"/>
        </w:rPr>
        <w:footnoteReference w:id="199"/>
      </w:r>
      <w:r>
        <w:rPr>
          <w:rFonts w:ascii="IRNazanin" w:hAnsi="IRNazanin" w:eastAsia="IRNazanin"/>
          <w:color w:val="111111"/>
          <w:sz w:val="28"/>
          <w:sz w:val="28"/>
          <w:szCs w:val="28"/>
          <w:rtl w:val="true"/>
          <w:lang w:bidi="fa-IR"/>
        </w:rPr>
        <w:t>به ارث بردن فردوس برین</w:t>
      </w:r>
      <w:r>
        <w:rPr>
          <w:rStyle w:val="FootnoteAnchor"/>
          <w:rtl w:val="true"/>
        </w:rPr>
        <w:footnoteReference w:id="200"/>
      </w:r>
      <w:r>
        <w:rPr>
          <w:rFonts w:ascii="IRNazanin" w:hAnsi="IRNazanin" w:eastAsia="IRNazanin"/>
          <w:color w:val="111111"/>
          <w:sz w:val="28"/>
          <w:sz w:val="28"/>
          <w:szCs w:val="28"/>
          <w:rtl w:val="true"/>
          <w:lang w:bidi="fa-IR"/>
        </w:rPr>
        <w:t>و بسیاری از امور دیگر را از آثار و برکات ایمان می داند</w:t>
      </w:r>
      <w:r>
        <w:rPr>
          <w:rFonts w:eastAsia="IRNazanin" w:cs="IRNazanin"/>
          <w:color w:val="111111"/>
          <w:sz w:val="28"/>
          <w:szCs w:val="28"/>
          <w:rtl w:val="true"/>
          <w:lang w:bidi="fa-IR"/>
        </w:rPr>
        <w:t xml:space="preserve">. </w:t>
      </w:r>
      <w:bookmarkStart w:id="143" w:name="pg14387_143658"/>
    </w:p>
    <w:p>
      <w:pPr>
        <w:pStyle w:val="Heading2"/>
        <w:numPr>
          <w:ilvl w:val="1"/>
          <w:numId w:val="1"/>
        </w:numPr>
        <w:rPr/>
      </w:pPr>
      <w:bookmarkStart w:id="144" w:name="__RefHeading___Toc7812192_3381743652"/>
      <w:bookmarkStart w:id="145" w:name="_Toc55"/>
      <w:bookmarkEnd w:id="143"/>
      <w:bookmarkEnd w:id="144"/>
      <w:r>
        <w:rPr>
          <w:rtl w:val="true"/>
        </w:rPr>
        <w:t>امر به معروف و نهی از منکر</w:t>
      </w:r>
      <w:bookmarkEnd w:id="145"/>
    </w:p>
    <w:p>
      <w:pPr>
        <w:pStyle w:val="Heading3"/>
        <w:numPr>
          <w:ilvl w:val="2"/>
          <w:numId w:val="1"/>
        </w:numPr>
        <w:rPr/>
      </w:pPr>
      <w:bookmarkStart w:id="146" w:name="__RefHeading___Toc7812194_3381743652"/>
      <w:bookmarkStart w:id="147" w:name="_Toc56"/>
      <w:bookmarkEnd w:id="146"/>
      <w:r>
        <w:rPr>
          <w:rtl w:val="true"/>
        </w:rPr>
        <w:t>پیشگفتار</w:t>
      </w:r>
      <w:bookmarkEnd w:id="147"/>
    </w:p>
    <w:p>
      <w:pPr>
        <w:pStyle w:val="BookText"/>
        <w:rPr/>
      </w:pPr>
      <w:r>
        <w:rPr>
          <w:rFonts w:ascii="IRNazanin" w:hAnsi="IRNazanin" w:eastAsia="IRNazanin"/>
          <w:color w:val="111111"/>
          <w:sz w:val="28"/>
          <w:sz w:val="28"/>
          <w:szCs w:val="28"/>
          <w:rtl w:val="true"/>
          <w:lang w:bidi="fa-IR"/>
        </w:rPr>
        <w:t>انسان به دلیل اجتماعی بودنش، نیاز به جمعی دارد که انیسش باشند؛ تا از غمها و سختیها رهایی یابد</w:t>
      </w:r>
      <w:r>
        <w:rPr>
          <w:rStyle w:val="FootnoteAnchor"/>
          <w:rtl w:val="true"/>
        </w:rPr>
        <w:footnoteReference w:id="201"/>
      </w:r>
      <w:r>
        <w:rPr>
          <w:rFonts w:ascii="IRNazanin" w:hAnsi="IRNazanin" w:eastAsia="IRNazanin"/>
          <w:color w:val="111111"/>
          <w:sz w:val="28"/>
          <w:sz w:val="28"/>
          <w:szCs w:val="28"/>
          <w:rtl w:val="true"/>
          <w:lang w:bidi="fa-IR"/>
        </w:rPr>
        <w:t>و استعدادهای طبیعی خویش را به فعلیت برساند، وگرنه انسانیت انسان، بی معنی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زندگی انسان، شکل گروهی به خود گرفته و اجتماعات متفاوت و در عین حال، شبیه به هم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استعداد انسانها مختلف است، تعارض و تزاحم به وجود می آید؛ بدین لحاظ است که بشر، نیاز به قانون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قانونی کارگشاست که براساس نیازهای واقعی و فراهم نمودن زمینه کمال و شکوفایی استعدادهای نیک بشر، پایه گذاری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بنیانگذار چنین قانونی باشد که خود، بی نیاز باشد و به همه راههای رسیدن به رشد و ترقی، دست یافته باشد و او جز آفریدگار هستی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این قانون، مبلغ و مفسر می خواهد که خالق یکتا، این قانون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افرادی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بشر عرضه کرده است</w:t>
      </w:r>
      <w:r>
        <w:rPr>
          <w:rFonts w:eastAsia="IRNazanin" w:cs="IRNazanin"/>
          <w:color w:val="111111"/>
          <w:sz w:val="28"/>
          <w:szCs w:val="28"/>
          <w:rtl w:val="true"/>
          <w:lang w:bidi="fa-IR"/>
        </w:rPr>
        <w:t>.</w:t>
      </w:r>
      <w:r>
        <w:rPr>
          <w:rStyle w:val="FootnoteAnchor"/>
          <w:rtl w:val="true"/>
        </w:rPr>
        <w:footnoteReference w:id="202"/>
      </w:r>
      <w:bookmarkStart w:id="148" w:name="pg14387_143659"/>
    </w:p>
    <w:p>
      <w:pPr>
        <w:pStyle w:val="BookText"/>
        <w:rPr/>
      </w:pPr>
      <w:bookmarkEnd w:id="148"/>
      <w:r>
        <w:rPr>
          <w:rFonts w:ascii="IRNazanin" w:hAnsi="IRNazanin" w:eastAsia="IRNazanin"/>
          <w:color w:val="111111"/>
          <w:sz w:val="28"/>
          <w:sz w:val="28"/>
          <w:szCs w:val="28"/>
          <w:rtl w:val="true"/>
          <w:lang w:bidi="fa-IR"/>
        </w:rPr>
        <w:t xml:space="preserve">بر همین مبنا،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دین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زندگی اجتماعی است و زندگی فردی و انزوا را مطرود، بلکه بیرون از شیوه انسانی می داند؛ زیرا انسانیت انسان در زندگی اجتماعی و دستگیری از دیگران برای رساندن به کمال و جلوگیری از سقوط به ورطه غیرانسانی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در این مکتب توحیدی، قانونی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این غرض انسانی را برآورده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اش به فردی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و پیامبرش را گواه می گیرم که خواب شب بر من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با مردم آمیزش نداشته باشی، چگونه امر به معروف و نهی از منکر می کنی؟</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در جای دیگر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ضعیفی که نهی از منکر نمی کند، عاقل نیست و مبغوض خداوند است</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زیرا چنان که خداوند، خود بیان کرده، بهترین شاخصه امت مسلمان، امر به معروف و نهی از منکر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بنابراین، باید بررسی نمود که امر به معروف و نهی از منکر چیست؟ از کی آغاز شده است و چه اهمیتی دارد؟ آیا این دو، وظیفه الزامی انسان است؟ الزام آن به چه معنی است؟ اجرا و عدم اجرای آن دو، چه آثار و عواقبی را در پی دارد؟ آیا عمل به آن، زمینه و شرایط هم دارد، یا به طور مطلق، عمل به آن، ضروری است؟</w:t>
      </w:r>
    </w:p>
    <w:p>
      <w:pPr>
        <w:pStyle w:val="BookText"/>
        <w:rPr/>
      </w:pPr>
      <w:r>
        <w:rPr>
          <w:rFonts w:ascii="IRNazanin" w:hAnsi="IRNazanin" w:eastAsia="IRNazanin"/>
          <w:color w:val="111111"/>
          <w:sz w:val="28"/>
          <w:sz w:val="28"/>
          <w:szCs w:val="28"/>
          <w:rtl w:val="true"/>
          <w:lang w:bidi="fa-IR"/>
        </w:rPr>
        <w:t>در این نوشتار، برآنیم که پاسخ این پرسشها را با برداشت شیخ طوسیله از فرهنگ اسلامی، ارائه نماییم</w:t>
      </w:r>
      <w:r>
        <w:rPr>
          <w:rFonts w:eastAsia="IRNazanin" w:cs="IRNazanin"/>
          <w:color w:val="111111"/>
          <w:sz w:val="28"/>
          <w:szCs w:val="28"/>
          <w:rtl w:val="true"/>
          <w:lang w:bidi="fa-IR"/>
        </w:rPr>
        <w:t>.</w:t>
      </w:r>
    </w:p>
    <w:p>
      <w:pPr>
        <w:pStyle w:val="Heading3"/>
        <w:numPr>
          <w:ilvl w:val="2"/>
          <w:numId w:val="1"/>
        </w:numPr>
        <w:rPr/>
      </w:pPr>
      <w:bookmarkStart w:id="149" w:name="__RefHeading___Toc7812196_3381743652"/>
      <w:bookmarkStart w:id="150" w:name="_Toc57"/>
      <w:bookmarkEnd w:id="149"/>
      <w:r>
        <w:rPr>
          <w:rtl w:val="true"/>
        </w:rPr>
        <w:t>کلیات</w:t>
      </w:r>
      <w:bookmarkEnd w:id="150"/>
    </w:p>
    <w:p>
      <w:pPr>
        <w:pStyle w:val="Heading4"/>
        <w:numPr>
          <w:ilvl w:val="3"/>
          <w:numId w:val="1"/>
        </w:numPr>
        <w:rPr/>
      </w:pPr>
      <w:bookmarkStart w:id="151" w:name="__RefHeading___Toc7812198_3381743652"/>
      <w:bookmarkStart w:id="152" w:name="_Toc58"/>
      <w:bookmarkEnd w:id="151"/>
      <w:r>
        <w:rPr>
          <w:rtl w:val="true"/>
        </w:rPr>
        <w:t>پیشینه تاریخی</w:t>
      </w:r>
      <w:bookmarkEnd w:id="15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نیکی و نیک خواهی، دو صفت از صفات الهی است</w:t>
      </w:r>
      <w:r>
        <w:rPr>
          <w:rStyle w:val="FootnoteAnchor"/>
          <w:rtl w:val="true"/>
        </w:rPr>
        <w:footnoteReference w:id="206"/>
      </w:r>
      <w:r>
        <w:rPr>
          <w:rFonts w:ascii="IRNazanin" w:hAnsi="IRNazanin" w:eastAsia="IRNazanin"/>
          <w:color w:val="111111"/>
          <w:sz w:val="28"/>
          <w:sz w:val="28"/>
          <w:szCs w:val="28"/>
          <w:rtl w:val="true"/>
          <w:lang w:bidi="fa-IR"/>
        </w:rPr>
        <w:t xml:space="preserve">که با خلقت بشری در آمیخته تا او </w:t>
      </w:r>
    </w:p>
    <w:p>
      <w:pPr>
        <w:pStyle w:val="BookText"/>
        <w:rPr/>
      </w:pPr>
      <w:r>
        <w:rPr>
          <w:rFonts w:ascii="IRNazanin" w:hAnsi="IRNazanin" w:eastAsia="IRNazanin"/>
          <w:color w:val="111111"/>
          <w:sz w:val="28"/>
          <w:sz w:val="28"/>
          <w:szCs w:val="28"/>
          <w:rtl w:val="true"/>
          <w:lang w:bidi="fa-IR"/>
        </w:rPr>
        <w:t>کارهای خود را با نیک اندیشی، نیک گفتاری و نیک کرداری تنظیم نماید و بدان رنگ الهی دهد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بنابراین، مبدأ این دو خصیصه که از آن در فرهنگ دینی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خود خداوند است و خداوند، نخستین آمر به معروف و ناهی از منکر است؛</w:t>
      </w:r>
      <w:r>
        <w:rPr>
          <w:rStyle w:val="FootnoteAnchor"/>
          <w:rtl w:val="true"/>
        </w:rPr>
        <w:footnoteReference w:id="208"/>
      </w:r>
      <w:r>
        <w:rPr>
          <w:rFonts w:ascii="IRNazanin" w:hAnsi="IRNazanin" w:eastAsia="IRNazanin"/>
          <w:color w:val="111111"/>
          <w:sz w:val="28"/>
          <w:sz w:val="28"/>
          <w:szCs w:val="28"/>
          <w:rtl w:val="true"/>
          <w:lang w:bidi="fa-IR"/>
        </w:rPr>
        <w:t>زیرا از همان آغاز آفرینش، سفیرانی را با نام پیامبر برای هدایت بندگانش به نیکی و نیکخواهی و جلوگیری از انحراف و سقوط به مرداب زشتیها گسیل داشته است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تا معروف، گسترش یابد و منکر، برچیده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لطف خداوندی، کامل گشت و سبب شد که مجموعه معروفها به نام دین اسلام، توسط خاتم پیامبران، حضرت محمد بن عبدالله ای به جهانیان عرضه گردد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این پیامبر بزرگوار، قبل از تشکیل حکومت و بعد از آن، شخصأ مجری معروف و دافع منکر بود و بر حسن اجرای آن نظارت داشت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بعد از پیامبرای سیر تاریخی این مسئله را در سه عنوان زیر می توان بررسی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حسبه، احتساب و محتسب در حکومتهای اسلامی؛ بر مجموعه دستگاه نظارت بر امور جامعه و اجرای احکام دین اطلاق می شد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در دوران حکومت خلفای راشدین، به پیروی از سیره پیامبر این نظارت، بخصوص نظارت بر بازار، به صورت جدی اعمال می شد</w:t>
      </w:r>
      <w:r>
        <w:rPr>
          <w:rFonts w:eastAsia="IRNazanin" w:cs="IRNazanin"/>
          <w:color w:val="111111"/>
          <w:sz w:val="28"/>
          <w:szCs w:val="28"/>
          <w:rtl w:val="true"/>
          <w:lang w:bidi="fa-IR"/>
        </w:rPr>
        <w:t>.</w:t>
      </w:r>
      <w:r>
        <w:rPr>
          <w:rStyle w:val="FootnoteAnchor"/>
          <w:rtl w:val="true"/>
        </w:rPr>
        <w:footnoteReference w:id="21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ویژه در زمان امامت و حکومت ظاهری حضرت امیرا همانگونه که روایت شده است، ایشان به عنوان یک کار حکومتی، هر روز صبح در حالی که تازیانه به دست </w:t>
      </w:r>
    </w:p>
    <w:p>
      <w:pPr>
        <w:pStyle w:val="BookText"/>
        <w:rPr/>
      </w:pPr>
      <w:r>
        <w:rPr>
          <w:rFonts w:ascii="IRNazanin" w:hAnsi="IRNazanin" w:eastAsia="IRNazanin"/>
          <w:color w:val="111111"/>
          <w:sz w:val="28"/>
          <w:sz w:val="28"/>
          <w:szCs w:val="28"/>
          <w:rtl w:val="true"/>
          <w:lang w:bidi="fa-IR"/>
        </w:rPr>
        <w:t>داشت، در یکایک بازارهای کوفه گشت می زد و بر اهل هر بازاری توقف نموده، آنها را دعوت به خیر و نیکی می نمود و از دروغ و فساد و حیله، بر حذر می داشت و با شنیدن صدای حضرت، ترس، دلها را فرا می گرفت و آنچه در دست داشتند، رها می کردند و با تمام وجود، به سخنان حضرت گوش می دادند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این امر در دوران سلطنت امویها نیز کم و بیش مطرح بود،</w:t>
      </w:r>
      <w:r>
        <w:rPr>
          <w:rStyle w:val="FootnoteAnchor"/>
          <w:rtl w:val="true"/>
        </w:rPr>
        <w:footnoteReference w:id="215"/>
      </w:r>
      <w:r>
        <w:rPr>
          <w:rFonts w:ascii="IRNazanin" w:hAnsi="IRNazanin" w:eastAsia="IRNazanin"/>
          <w:color w:val="111111"/>
          <w:sz w:val="28"/>
          <w:sz w:val="28"/>
          <w:szCs w:val="28"/>
          <w:rtl w:val="true"/>
          <w:lang w:bidi="fa-IR"/>
        </w:rPr>
        <w:t>لکن در زمان عباسیها و فاطمیها و صفویها به عنوان یک اداره حکومتی مطرح گشت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بدین لحاظ، کتابهایی با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اصلاح طلبی؛ جنبشهایی که با این شعار به معنای حقیقی کلمه در برابر جریانهای انحرافی راه افتاد، به صورت زیر، دسته بندی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بزرگوارش؛ از جمله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فریادگری که عرصه زندگی را بر کاخ نشینان رفاه طلب، تنگ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جریانهای انحرافی بعد از پیامبران و راهنمایی آن حضرت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حضرت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خالصانه و به حق بازماندگان حضرتش، در آغاز سلطنت امویها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زید بن علی و فرزندش جناب یحیی در ادامه مکتب حسینی در اواخر حکومت امویها که سبب زدوده شدن غبارهای رذالت و ستم و فساد از چهره اسلام ناب محمدی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سایر علویها و طرفداران نهضت خونین کربلای حسینی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نهضتهای تبلیغی در قبال مناظرات اعتقادی؛ مانند جبر و اختیار بشر، صفات خداوند، ایمان و کفر، امامت و خلق قرآن که با نام امر به معروف و نهی از منکر به راه می افتاد و برای ابطال باور و اعتقاد مخالف، تلاش می نمود و گاه، خلافت به اصطلاح اسلامی، حامی و یا مخالف آن بود</w:t>
      </w:r>
      <w:r>
        <w:rPr>
          <w:rFonts w:eastAsia="IRNazanin" w:cs="IRNazanin"/>
          <w:color w:val="111111"/>
          <w:sz w:val="28"/>
          <w:szCs w:val="28"/>
          <w:rtl w:val="true"/>
          <w:lang w:bidi="fa-IR"/>
        </w:rPr>
        <w:t xml:space="preserve">. </w:t>
      </w:r>
      <w:bookmarkStart w:id="153" w:name="pg14387_143662"/>
    </w:p>
    <w:p>
      <w:pPr>
        <w:pStyle w:val="Heading4"/>
        <w:numPr>
          <w:ilvl w:val="3"/>
          <w:numId w:val="1"/>
        </w:numPr>
        <w:rPr/>
      </w:pPr>
      <w:bookmarkStart w:id="154" w:name="__RefHeading___Toc7812200_3381743652"/>
      <w:bookmarkStart w:id="155" w:name="_Toc59"/>
      <w:bookmarkEnd w:id="153"/>
      <w:bookmarkEnd w:id="154"/>
      <w:r>
        <w:rPr>
          <w:rtl w:val="true"/>
        </w:rPr>
        <w:t>اهمیت امر به معروف و نهی از منکر</w:t>
      </w:r>
      <w:bookmarkEnd w:id="155"/>
    </w:p>
    <w:p>
      <w:pPr>
        <w:pStyle w:val="BookText"/>
        <w:rPr/>
      </w:pPr>
      <w:r>
        <w:rPr>
          <w:rFonts w:ascii="IRNazanin" w:hAnsi="IRNazanin" w:eastAsia="IRNazanin"/>
          <w:color w:val="111111"/>
          <w:sz w:val="28"/>
          <w:sz w:val="28"/>
          <w:szCs w:val="28"/>
          <w:rtl w:val="true"/>
          <w:lang w:bidi="fa-IR"/>
        </w:rPr>
        <w:t>امر به معروف و نهی از منکر در فرهنگ اسلامی، مانند جریان خون در رگهای یک پیکر است و سهل انگاری در این باره، بی رنگ شدن دین و مرگ تدریجی امت اسلامی را در پی خواهد داشت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عنایت به این ویژگی، بعضی از فرقه های مسلمان را بر آن داشته تا آن را جزئی از اصول مذهب خویش بدانند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خداوند در قرآن، بهترین ویژگی امت اسلامی را انجام امر به معروف و نهی از منکر دانسته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بهترین امتی هستید که پدید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امر به معروف و نهی از منکر می کنید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و آن دو را بر فریضه های دیگری چون اقامه نماز و پرداخت زکات، مقدم داشته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 مؤمن، اولیای یکدیگرند که امر به معروف و نهی از منکر می کنند و نماز را بر پا می دارند و زکات می پردازند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در نتیجه، امت اسلامی را ملزم به انجام آن دو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شما امتی باشید که به اسلام می خوانید و امر به معروف و نهی از منکر می کنید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پیشوایان دینی نیز به ضرورت انجام آن دو سفارش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زمانی که مردم، منکر را ببینند و تغییر ندهند، خداوند، دیدگانشان را با عقاب، کور خواهد کرد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کارهای نیک و جهاد، در برابر امر به معروف و نهی از منکر، چون قطره ای در برابر دریاست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راه انبیا و روش صالحان و فریضه بزرگی است که فرایض دیگر بدان اقامه می گردد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اهمیت این مسئله، دانشمندان اسلامی، آن دو را اساس و قطب دین </w:t>
      </w:r>
      <w:bookmarkStart w:id="156" w:name="pg14387_143663"/>
    </w:p>
    <w:p>
      <w:pPr>
        <w:pStyle w:val="BookText"/>
        <w:rPr/>
      </w:pPr>
      <w:bookmarkEnd w:id="156"/>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از دید عقل و شرع، از مهمترین واجبها، بلکه اساس دین اسلام و از برترین عبادتهاست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به تعبیر دیگر،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 است از اقطاب دین که همه انبیا را برای آن فرستاده اند؛ چون این مندرس شود و از میان خلق برخیزد، همه شعار شرع، باطل شود</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157" w:name="__RefHeading___Toc7812202_3381743652"/>
      <w:bookmarkStart w:id="158" w:name="_Toc60"/>
      <w:bookmarkEnd w:id="157"/>
      <w:r>
        <w:rPr>
          <w:rtl w:val="true"/>
        </w:rPr>
        <w:t>امر و نهی، شأنی از شؤون الهی</w:t>
      </w:r>
      <w:bookmarkEnd w:id="158"/>
    </w:p>
    <w:p>
      <w:pPr>
        <w:pStyle w:val="BookText"/>
        <w:rPr/>
      </w:pPr>
      <w:r>
        <w:rPr>
          <w:rFonts w:ascii="IRNazanin" w:hAnsi="IRNazanin" w:eastAsia="IRNazanin"/>
          <w:color w:val="111111"/>
          <w:sz w:val="28"/>
          <w:sz w:val="28"/>
          <w:szCs w:val="28"/>
          <w:rtl w:val="true"/>
          <w:lang w:bidi="fa-IR"/>
        </w:rPr>
        <w:t>امر و نهی، به صورت مطلق و عام و امر به معروف و نهی از منکر، به صورت خاص، از شؤون پروردگار متعال است؛ چنان که او خود، این دو فریضه را از شؤون خویش دانسته،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والإحسان و إیتاء ذی القربی و ینهی عن الفحشاء و المنکر و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زیرا فرمان دادن و نهی کردن، تنها زیبنده کسی است که از هر جهت، کامل و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اگر این منصب را دارند، به عنایت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به معروف و نهی از منکر، دو خصلت از خصال الهی است، هر کس این دو خصلت را بارور نماید، خداوند، او را عزیز می کند و خوارکنندگان آن دو را ذلیل خواهد ساخت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به همین دلیل است که پیامبر اکرم دستوردهندگان به معروف و بازدارندگان از منکر را خلیفه خدا در زمین دانسته اند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به معروف فرمان دهد و از منکر نهی نماید، جانشین خدا و پیامبر و کتاب او در روی زمین است</w:t>
      </w:r>
      <w:r>
        <w:rPr>
          <w:rFonts w:eastAsia="IRNazanin" w:cs="IRNazanin"/>
          <w:color w:val="111111"/>
          <w:sz w:val="28"/>
          <w:szCs w:val="28"/>
          <w:rtl w:val="true"/>
          <w:lang w:bidi="fa-IR"/>
        </w:rPr>
        <w:t>.»</w:t>
      </w:r>
      <w:r>
        <w:rPr>
          <w:rStyle w:val="FootnoteAnchor"/>
          <w:rtl w:val="true"/>
        </w:rPr>
        <w:footnoteReference w:id="23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خداوند، در رأس هرم جامعه قرار دارد و سایر مؤمنان، به عنوان مأموران و شعاع وجودی او عمل می کنند؛ معروف را گسترش می دهند و مانع شیوع منکر می شوند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این خود، همان تشکیلات حکومتی است؛ بنابراین، اجرای امر به معروف و نهی از منکر، نیاز به انسجام و حکومت دارد</w:t>
      </w:r>
      <w:r>
        <w:rPr>
          <w:rFonts w:eastAsia="IRNazanin" w:cs="IRNazanin"/>
          <w:color w:val="111111"/>
          <w:sz w:val="28"/>
          <w:szCs w:val="28"/>
          <w:rtl w:val="true"/>
          <w:lang w:bidi="fa-IR"/>
        </w:rPr>
        <w:t xml:space="preserve">. </w:t>
      </w:r>
      <w:bookmarkStart w:id="159" w:name="pg14387_143664"/>
    </w:p>
    <w:p>
      <w:pPr>
        <w:pStyle w:val="Heading4"/>
        <w:numPr>
          <w:ilvl w:val="3"/>
          <w:numId w:val="1"/>
        </w:numPr>
        <w:rPr/>
      </w:pPr>
      <w:bookmarkStart w:id="160" w:name="__RefHeading___Toc7812204_3381743652"/>
      <w:bookmarkStart w:id="161" w:name="_Toc61"/>
      <w:bookmarkEnd w:id="159"/>
      <w:bookmarkEnd w:id="160"/>
      <w:r>
        <w:rPr>
          <w:rtl w:val="true"/>
        </w:rPr>
        <w:t>امر به معروف و ضرورت حکومت</w:t>
      </w:r>
      <w:bookmarkEnd w:id="161"/>
    </w:p>
    <w:p>
      <w:pPr>
        <w:pStyle w:val="BookText"/>
        <w:rPr/>
      </w:pPr>
      <w:r>
        <w:rPr>
          <w:rFonts w:ascii="IRNazanin" w:hAnsi="IRNazanin" w:eastAsia="IRNazanin"/>
          <w:color w:val="111111"/>
          <w:sz w:val="28"/>
          <w:sz w:val="28"/>
          <w:szCs w:val="28"/>
          <w:rtl w:val="true"/>
          <w:lang w:bidi="fa-IR"/>
        </w:rPr>
        <w:t>جامعه بشری، چنان که حضرت امیرال نیز فرموده اند،</w:t>
      </w:r>
      <w:r>
        <w:rPr>
          <w:rStyle w:val="FootnoteAnchor"/>
          <w:rtl w:val="true"/>
        </w:rPr>
        <w:footnoteReference w:id="232"/>
      </w:r>
      <w:r>
        <w:rPr>
          <w:rFonts w:ascii="IRNazanin" w:hAnsi="IRNazanin" w:eastAsia="IRNazanin"/>
          <w:color w:val="111111"/>
          <w:sz w:val="28"/>
          <w:sz w:val="28"/>
          <w:szCs w:val="28"/>
          <w:rtl w:val="true"/>
          <w:lang w:bidi="fa-IR"/>
        </w:rPr>
        <w:t>نمی تواند بدون داشتن حکومت، دوام یابد و امت اسلامی که ایده آل جوامع الهی است، قطعا نمی تواند بدون حکومت باشد؛ بخصوص که امر به معروف و نهی از منکر، از جمله قوانین مکتب اسلام است که تحقق آن، بدون پشتیبانی حکومتی، ممکن نیست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عبدالجبار معتزلی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آن، بدون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نمی یابد؛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 و حفظ اسلام و محکم نمودن مرزها و تنفیذ جیوش و تولیت قضاوت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هم که مردم عادی می توانند اقدام نمایند، اگر به امام ارجاع داده شود، بهتر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بر مردم، از بزرگترین واجبات است، بلکه واجبات، بدون حکومت، استوار نخواهد بود؛ چون مصلحت فرزندان آدم، بدون اجتماع، تمام نیست؛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نیازمندی به یکدیگر، ناگزیر، جامعه، رأس و سردسته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 و در جمع سه نفری در مسافرت، دستور می دهد که یکی را به امارت برگزینید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در جمع عارضی سفر، تنبیهی بر سایر اجتماعات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خداوند، امر به معروف و نهی از منکر را واجب نموده و انجام این فریضه تمام نمی گردد، مگر با داشتن قدرت و امارت و</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بنابراین، عمل به این وظیفه به صورت کلی و تام، بدون ضمانت اجرایی و حکومت، ممکن نیست</w:t>
      </w:r>
      <w:r>
        <w:rPr>
          <w:rFonts w:eastAsia="IRNazanin" w:cs="IRNazanin"/>
          <w:color w:val="111111"/>
          <w:sz w:val="28"/>
          <w:szCs w:val="28"/>
          <w:rtl w:val="true"/>
          <w:lang w:bidi="fa-IR"/>
        </w:rPr>
        <w:t>.</w:t>
      </w:r>
    </w:p>
    <w:p>
      <w:pPr>
        <w:pStyle w:val="Heading4"/>
        <w:numPr>
          <w:ilvl w:val="3"/>
          <w:numId w:val="1"/>
        </w:numPr>
        <w:rPr/>
      </w:pPr>
      <w:bookmarkStart w:id="162" w:name="__RefHeading___Toc7812206_3381743652"/>
      <w:bookmarkStart w:id="163" w:name="_Toc62"/>
      <w:bookmarkEnd w:id="162"/>
      <w:r>
        <w:rPr>
          <w:rtl w:val="true"/>
        </w:rPr>
        <w:t>امر به معروف و نهی از منکر، پایه فرایض دیگر</w:t>
      </w:r>
      <w:bookmarkEnd w:id="16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معروف و نهی از منکر، زیربنا و اساس سایر فرایض الهی است؛ به همین جهت اگر این دو فریضه از قوانین دینی نادیده گرفته شود، به تدریج، همه احکام و فرایض مکتب </w:t>
      </w:r>
      <w:bookmarkStart w:id="164" w:name="pg14387_143665"/>
    </w:p>
    <w:p>
      <w:pPr>
        <w:pStyle w:val="BookText"/>
        <w:rPr/>
      </w:pPr>
      <w:bookmarkEnd w:id="164"/>
      <w:r>
        <w:rPr>
          <w:rFonts w:ascii="IRNazanin" w:hAnsi="IRNazanin" w:eastAsia="IRNazanin"/>
          <w:color w:val="111111"/>
          <w:sz w:val="28"/>
          <w:sz w:val="28"/>
          <w:szCs w:val="28"/>
          <w:rtl w:val="true"/>
          <w:lang w:bidi="fa-IR"/>
        </w:rPr>
        <w:t>اسلامی تعطیل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تلاوت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و المؤمنات بعضهم أولیاء بعض یأمرون بالمعروف وینهون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این آیه، سخن را با امر به معروف و نهی از منکر به عنوان یک فریضه از جانب او آغاز نمود؛ به دلیل علم خداوند به این که هنگامی که آن فرایض اقامه گردد، تمام فرایض دیگر، چه سخت و دشوار باشد و چه آسان، استوار خواهد شد و این بدان جهت است که آن دو فریضه، دعوت به اسلام است، همراه با رد مظالم و تقسیم عادلانه ثروت و گرفتن صدقات و صرف آن در جای درست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فریضه بزرگی است که به سبب آن، سایر فرایض، اقامه می گردد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بنابراین، ترک این دو فریضه، به منزله ترک تمام احکام و قوانین دینی است؛ زیرا معروف، توحید و تبعات آن و منکر، شرک و تبعات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بسیار ساده اندیشانه است که امر به معروف به دنبال بحث جهاد، طرح شده و رها گردد؛ در حالی که حدود، دیات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 امر به معروف و نهی از منکر است؛ چون مشروعیت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گستردن معروف و برچیدن منکر است</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پس بر توده امت اسلامی است که بر امور جاری جامعه و جریان حکومت و رهبران، نظارت دقیق داشته باشند، و گر نه دچار خسران دینی و دنیایی می گردند که ضرر جبران ناپذیری است؛ چنان که پیامبر اکرم 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تبهکار قومی، آقای آنان و رهبر قوم، پست ترین آنها گردد و انسان تبهکار را گرامی بدارند، باید چشم به راه بلا بود</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165" w:name="__RefHeading___Toc7812208_3381743652"/>
      <w:bookmarkStart w:id="166" w:name="_Toc63"/>
      <w:bookmarkEnd w:id="165"/>
      <w:r>
        <w:rPr>
          <w:rtl w:val="true"/>
        </w:rPr>
        <w:t>امر به معروف و نهی از منکر، غایت دین</w:t>
      </w:r>
      <w:bookmarkEnd w:id="16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اهمیت امر به معروف و نهی از منکر، به خاطر چیست؟ پاسخ این پرسش را با نقل کلام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برترین اعمال خلق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غایت دین، امر به معروف و نهی از منکر و اقامه حدود </w:t>
      </w:r>
      <w:bookmarkStart w:id="167" w:name="pg14387_143666"/>
    </w:p>
    <w:p>
      <w:pPr>
        <w:pStyle w:val="BookText"/>
        <w:rPr/>
      </w:pPr>
      <w:bookmarkEnd w:id="16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غایت دین، به کمال رساندن انسان است و کمال انسان به این است که در قوه عملی و نظری، کامل شده باشد و انسان فوق تمام، انسانی است که از خود گذشته و به تکمیل ناقصین می پردازد و تکمیل ناقصین، دو طریق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ارشاد به آنچه که شایسته است و بازداشتن از منکر و جلوگیری از انجام آنچه ناشایسته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بنابراین، می توان گفت که غایت دین، امر به معروف و نهی از منکر است؛ زیرا چنان که ذکر شد، کمال نهایی، آن است که انسان، خود کامل شود و به تکمیل دیگران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رهبران معصوم، جزء همین دسته اند؛ چون آنها آمدند تا معروف را حاکم و فحشا و منکر را بزدایند تا بندگان خداوند، به سعادت واقعی نایل گردند، و گر نه، ارسال رسل و انزال کتب، مفهوم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لحاظ است که شیخ طوسی به امر به معروف و نهی از منکر را، حتی با تحمل بعضی از سختیها، ضروری می داند؛ به دلیل آیه</w:t>
      </w:r>
      <w:r>
        <w:rPr>
          <w:rStyle w:val="FootnoteAnchor"/>
          <w:rtl w:val="true"/>
        </w:rPr>
        <w:footnoteReference w:id="242"/>
      </w:r>
      <w:r>
        <w:rPr>
          <w:rFonts w:ascii="IRNazanin" w:hAnsi="IRNazanin" w:eastAsia="IRNazanin"/>
          <w:color w:val="111111"/>
          <w:sz w:val="28"/>
          <w:sz w:val="28"/>
          <w:szCs w:val="28"/>
          <w:rtl w:val="true"/>
          <w:lang w:bidi="fa-IR"/>
        </w:rPr>
        <w:t xml:space="preserve">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بالمعروف و انه عن المنکر و اصبر علی ما أصابک</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طبیعی است که اجرای این دو قانون الهی، ممکن است سختیهای طاقت فرسا و تهمتهای ناروایی را به دنبال داشته باشد، لکن مجریان امر و قانون الهی، باید صابر و بردبار باشند تا این غایت قصوی الهی در اجتماع جوانه بزند و برای گسترش و تحقق این</w:t>
      </w:r>
    </w:p>
    <w:p>
      <w:pPr>
        <w:pStyle w:val="BookText"/>
        <w:rPr/>
      </w:pPr>
      <w:r>
        <w:rPr>
          <w:rFonts w:ascii="IRNazanin" w:hAnsi="IRNazanin" w:eastAsia="IRNazanin"/>
          <w:color w:val="111111"/>
          <w:sz w:val="28"/>
          <w:sz w:val="28"/>
          <w:szCs w:val="28"/>
          <w:rtl w:val="true"/>
          <w:lang w:bidi="fa-IR"/>
        </w:rPr>
        <w:t>آرمان خداوندی، از هیچ سختی نهراسند و همچنان، مقاوم و حلیم و مهربان باشند؛ زیرا خداوند، خود حامی آنان خواهد بود</w:t>
      </w:r>
      <w:r>
        <w:rPr>
          <w:rFonts w:eastAsia="IRNazanin" w:cs="IRNazanin"/>
          <w:color w:val="111111"/>
          <w:sz w:val="28"/>
          <w:szCs w:val="28"/>
          <w:rtl w:val="true"/>
          <w:lang w:bidi="fa-IR"/>
        </w:rPr>
        <w:t>.</w:t>
      </w:r>
    </w:p>
    <w:p>
      <w:pPr>
        <w:pStyle w:val="Heading4"/>
        <w:numPr>
          <w:ilvl w:val="3"/>
          <w:numId w:val="1"/>
        </w:numPr>
        <w:rPr/>
      </w:pPr>
      <w:bookmarkStart w:id="168" w:name="__RefHeading___Toc7812210_3381743652"/>
      <w:bookmarkStart w:id="169" w:name="_Toc64"/>
      <w:bookmarkEnd w:id="168"/>
      <w:r>
        <w:rPr>
          <w:rtl w:val="true"/>
        </w:rPr>
        <w:t>آیا امر به معروف و نهی از منکر، از اصول دین است؟</w:t>
      </w:r>
      <w:bookmarkEnd w:id="16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مسلمانان، بجز فرقه معتزله</w:t>
      </w:r>
      <w:r>
        <w:rPr>
          <w:rStyle w:val="FootnoteAnchor"/>
          <w:rtl w:val="true"/>
        </w:rPr>
        <w:footnoteReference w:id="244"/>
      </w:r>
      <w:r>
        <w:rPr>
          <w:rFonts w:ascii="IRNazanin" w:hAnsi="IRNazanin" w:eastAsia="IRNazanin"/>
          <w:color w:val="111111"/>
          <w:sz w:val="28"/>
          <w:sz w:val="28"/>
          <w:szCs w:val="28"/>
          <w:rtl w:val="true"/>
          <w:lang w:bidi="fa-IR"/>
        </w:rPr>
        <w:t xml:space="preserve">این مسئله را جزئی از فروع دین دانسته اند و جای طرح آن را در فقه می دانند؛ به دلیل این که این مسئله، مربوط به وظیفه عملی مکلف </w:t>
      </w:r>
    </w:p>
    <w:p>
      <w:pPr>
        <w:pStyle w:val="BookText"/>
        <w:rPr/>
      </w:pPr>
      <w:r>
        <w:rPr>
          <w:rFonts w:ascii="IRNazanin" w:hAnsi="IRNazanin" w:eastAsia="IRNazanin"/>
          <w:color w:val="111111"/>
          <w:sz w:val="28"/>
          <w:sz w:val="28"/>
          <w:szCs w:val="28"/>
          <w:rtl w:val="true"/>
          <w:lang w:bidi="fa-IR"/>
        </w:rPr>
        <w:t>می باشد، اما فرقة معتزله، آن را اصل پنجم از اصول پنجگانه خویش شمرده اند و از مسائل کلامی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را قاضی عبدالجبار، دو مطلب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همه معتزله بر اصول پنجگانه خویش؛ از جمله، اصل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نزاع میان مردم درباره اموری که از این پنج امر تجاوز نمی کرد؛ از جمله، همین مسئله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انصاف در آن است که بررسی شود اصل در این مورد، به چه معنی است؟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مسئله ای که حق در آن، میان دو متخاصم مشخص گردد، اصل است؛ چنان که از استدلال قاضی عبدالجبار نیز همین مطلب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w:t>
      </w:r>
    </w:p>
    <w:p>
      <w:pPr>
        <w:pStyle w:val="BookText"/>
        <w:rPr/>
      </w:pPr>
      <w:r>
        <w:rPr>
          <w:rFonts w:ascii="IRNazanin" w:hAnsi="IRNazanin" w:eastAsia="IRNazanin"/>
          <w:color w:val="111111"/>
          <w:sz w:val="28"/>
          <w:sz w:val="28"/>
          <w:szCs w:val="28"/>
          <w:rtl w:val="true"/>
          <w:lang w:bidi="fa-IR"/>
        </w:rPr>
        <w:t>متکلمان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مربوط به معرفت است، اصل و هر چه مربوط به طاعت می گردد،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عقلا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معقولی که راه رسیدن به آن، عقل است، اصل می باشد و هر چیزی که راه رسیدن به آن، اجتهاد و قیاس است، فرع می باشد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در حقیقت، امر به معروف و نهی از منکر، اصل عملی و از فروع دین است؛ زیرا متفرع بر عدل الهی است؛ همان طور که معتزلیها نیز در بعضی از موارد اظهار نموده اند و اصول دین را توحید و عدل دانسته اند و سه اصل دیگرشان را بر عدل پروردگار استوار</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البته امکان دارد که این مسئله را به اعتبارهای متفاوت، از مسائل اصول دین و یا علم فقه و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به اعتبار این که معروف را به معنای توحید و آنچه مربوط به توحید است و منکر را به معنای شرک و آنچه متعلق به شرک است،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اعتباره جزء اصول دین خواهد بود؛</w:t>
      </w:r>
      <w:r>
        <w:rPr>
          <w:rStyle w:val="FootnoteAnchor"/>
          <w:rtl w:val="true"/>
        </w:rPr>
        <w:footnoteReference w:id="247"/>
      </w:r>
      <w:r>
        <w:rPr>
          <w:rFonts w:ascii="IRNazanin" w:hAnsi="IRNazanin" w:eastAsia="IRNazanin"/>
          <w:color w:val="111111"/>
          <w:sz w:val="28"/>
          <w:sz w:val="28"/>
          <w:szCs w:val="28"/>
          <w:rtl w:val="true"/>
          <w:lang w:bidi="fa-IR"/>
        </w:rPr>
        <w:t>زیرا توحید، اساس همه معارف است؛ چنان که امام حسین و امام باقر علیه ، سایر فرایض دینی را بر این دو فریضه استوار دانسته 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اعتبار این که امر و نهی، از اعمال الزامی مکلف است یا نه، این دو مسئله از مسائل </w:t>
      </w:r>
      <w:bookmarkStart w:id="170" w:name="pg14387_143668"/>
    </w:p>
    <w:p>
      <w:pPr>
        <w:pStyle w:val="BookText"/>
        <w:rPr/>
      </w:pPr>
      <w:bookmarkEnd w:id="170"/>
      <w:r>
        <w:rPr>
          <w:rFonts w:ascii="IRNazanin" w:hAnsi="IRNazanin" w:eastAsia="IRNazanin"/>
          <w:color w:val="111111"/>
          <w:sz w:val="28"/>
          <w:sz w:val="28"/>
          <w:szCs w:val="28"/>
          <w:rtl w:val="true"/>
          <w:lang w:bidi="fa-IR"/>
        </w:rPr>
        <w:t>فقهی خواهد بود؛ چنان که فقها بر همین مبنا بحث کرده اند و به اعتبار این که این دو فریضه، می تواند به عنوان دو خصلت بشری طرح گردد، می شود آن دو را جزء مسائل علم اخلاق دانست؛ چنان که برخی از علمای اخلاق، از این منظر به آن پرداخته اند؛ مانند مرحوم نراقی</w:t>
      </w:r>
      <w:r>
        <w:rPr>
          <w:rStyle w:val="FootnoteAnchor"/>
          <w:rtl w:val="true"/>
        </w:rPr>
        <w:footnoteReference w:id="248"/>
      </w:r>
      <w:r>
        <w:rPr>
          <w:rFonts w:ascii="IRNazanin" w:hAnsi="IRNazanin" w:eastAsia="IRNazanin"/>
          <w:color w:val="111111"/>
          <w:sz w:val="28"/>
          <w:sz w:val="28"/>
          <w:szCs w:val="28"/>
          <w:rtl w:val="true"/>
          <w:lang w:bidi="fa-IR"/>
        </w:rPr>
        <w:t>، امام غزالی</w:t>
      </w:r>
      <w:r>
        <w:rPr>
          <w:rStyle w:val="FootnoteAnchor"/>
          <w:rtl w:val="true"/>
        </w:rPr>
        <w:footnoteReference w:id="249"/>
      </w:r>
      <w:r>
        <w:rPr>
          <w:rFonts w:ascii="IRNazanin" w:hAnsi="IRNazanin" w:eastAsia="IRNazanin"/>
          <w:color w:val="111111"/>
          <w:sz w:val="28"/>
          <w:sz w:val="28"/>
          <w:szCs w:val="28"/>
          <w:rtl w:val="true"/>
          <w:lang w:bidi="fa-IR"/>
        </w:rPr>
        <w:t>و فیض کاشانی</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در بعضی از روایات نیز از امر به معروف و نهی از منکر، به عنوان دو خلق از اخلاق خداوندی نام 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بالمعروف و النهی عن المنکر خلقان من خلق الله، فمن نصرهما أعزه الله و من خذلهما خذله الله</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به هر ترتیب، امر به معروف و نهی از منکر، دو خصلتی است که روح زندگی سعادتمندانه را در پیکر اجتماع دمیده، باعث نشاط و جوانی جامعه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امیرالمؤمنین عال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گنجی است از بهترین گنجها و زراعتی است از رشدکننده ترین و پرنموترین زراعتها؛ پس نباید در باره آن، بی میل شوید و احساس خستگی بنمایید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شاید فهم این مهم، سبب گشته است که گروه معتزله، آن دو را یکی از اصول پنجگانه خود قرار دهند و سر تسلیم در برابر مخالفان فرود نیاورند</w:t>
      </w:r>
      <w:r>
        <w:rPr>
          <w:rFonts w:eastAsia="IRNazanin" w:cs="IRNazanin"/>
          <w:color w:val="111111"/>
          <w:sz w:val="28"/>
          <w:szCs w:val="28"/>
          <w:rtl w:val="true"/>
          <w:lang w:bidi="fa-IR"/>
        </w:rPr>
        <w:t>.</w:t>
      </w:r>
      <w:r>
        <w:rPr>
          <w:rStyle w:val="FootnoteAnchor"/>
          <w:rtl w:val="true"/>
        </w:rPr>
        <w:footnoteReference w:id="253"/>
      </w:r>
    </w:p>
    <w:p>
      <w:pPr>
        <w:pStyle w:val="Heading3"/>
        <w:numPr>
          <w:ilvl w:val="2"/>
          <w:numId w:val="1"/>
        </w:numPr>
        <w:rPr/>
      </w:pPr>
      <w:bookmarkStart w:id="171" w:name="__RefHeading___Toc7812212_3381743652"/>
      <w:bookmarkStart w:id="172" w:name="_Toc65"/>
      <w:bookmarkEnd w:id="171"/>
      <w:r>
        <w:rPr>
          <w:rtl w:val="true"/>
        </w:rPr>
        <w:t>مفهوم شناسی</w:t>
      </w:r>
      <w:bookmarkEnd w:id="172"/>
    </w:p>
    <w:p>
      <w:pPr>
        <w:pStyle w:val="Heading4"/>
        <w:numPr>
          <w:ilvl w:val="3"/>
          <w:numId w:val="1"/>
        </w:numPr>
        <w:rPr/>
      </w:pPr>
      <w:bookmarkStart w:id="173" w:name="__RefHeading___Toc7812214_3381743652"/>
      <w:bookmarkStart w:id="174" w:name="_Toc66"/>
      <w:bookmarkEnd w:id="173"/>
      <w:r>
        <w:rPr>
          <w:rtl w:val="true"/>
        </w:rPr>
        <w:t>امر و نهی در لغت</w:t>
      </w:r>
      <w:bookmarkEnd w:id="17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دیدگاه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دادن و درخواست احداث چیزی،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شیء، کار و حادثه</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امر، در اصل دارای پنج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 حادثه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نهی؛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نماء و برکت؛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نشانه ها؛</w:t>
      </w:r>
      <w:r>
        <w:rPr>
          <w:rStyle w:val="FootnoteAnchor"/>
        </w:rPr>
        <w:footnoteReference w:id="255"/>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ساختار مفهومی این دو واژه توسط دانشمندان اصول فقه نیز مورد تحقیق و تحلیل قرار گرفته و میان آنان نیز در نظر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معانی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حادثه، شیء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دو معنی بیش ندارد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عرضی عامی مساوی با شیء که مفاهیم دیگر؛ مانند غرض، حادثه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مصداقهای این مفهوم است و برخی به خاطر اشتباه مصداق به مفهوم، آن مفاهیم را جزء معانی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امر به این معنی، جامد است و جمع آن، امور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و درخواست است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مشتق شده است و جمع آن، اوامر می باشد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این که آیا کلمه امر، مشترک بین این معانی است یا در یکی، حقیقت و در دیگری، مجاز؟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حقیقی امر، عبارت است از این که گوینده، از فرد مادون خود، انجام کاری را بخواهد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در معنای</w:t>
      </w:r>
    </w:p>
    <w:p>
      <w:pPr>
        <w:pStyle w:val="BookText"/>
        <w:rPr/>
      </w:pPr>
      <w:r>
        <w:rPr>
          <w:rFonts w:ascii="IRNazanin" w:hAnsi="IRNazanin" w:eastAsia="IRNazanin"/>
          <w:color w:val="111111"/>
          <w:sz w:val="28"/>
          <w:sz w:val="28"/>
          <w:szCs w:val="28"/>
          <w:rtl w:val="true"/>
          <w:lang w:bidi="fa-IR"/>
        </w:rPr>
        <w:t>فعل، مجاز است؛ به دو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کارگیری امر در قول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است؛ بر خلاف به کارگیری آن در معنای فعل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ساختاری از امر،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فعل نیامده است؛ بنابراین، کاربرد امر در گفتار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فرد مادون، حقیقت و در غیر آن، مجاز است و </w:t>
      </w:r>
      <w:bookmarkStart w:id="175" w:name="pg14387_143670"/>
    </w:p>
    <w:p>
      <w:pPr>
        <w:pStyle w:val="BookText"/>
        <w:rPr/>
      </w:pPr>
      <w:bookmarkEnd w:id="175"/>
      <w:r>
        <w:rPr>
          <w:rFonts w:ascii="IRNazanin" w:hAnsi="IRNazanin" w:eastAsia="IRNazanin"/>
          <w:color w:val="111111"/>
          <w:sz w:val="28"/>
          <w:sz w:val="28"/>
          <w:szCs w:val="28"/>
          <w:rtl w:val="true"/>
          <w:lang w:bidi="fa-IR"/>
        </w:rPr>
        <w:t>محض کاربرد امر در معنای فعلی، دلیلی بر حقیقی بودن آن ماده در آن معنی نمی گردد؛ چون استعمال، اعم از حقیقت و مجاز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تمشک طرفداران اشتراک امر به نحوه جمع بستن امر به اوامر و امور در معنای قولی و فعلی، کاری بی فایده است؛ زیرا درست است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أوامر، بیرون از قیاس و قاعده است؛ چون اوامر، جمع الجمع است؛ گویا ابتدا امر به امور و سپس به اوامر جمع بسته شده</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پس ماده امر، مشترک نیست، بلکه در معنای قولی، حقیقت و در غیر آن، مجاز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بازداشتن، منع کردن و به نهایت رسیدن می باشد؛ زیرا نهی، بر غایت و بلوغ دلالت دارد و نهایت هر چیزی، غایت آن است؛ چنان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انتهیت الیه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در مورد فردی که در حال انجام کاری است و سپس از آن نهی می گردد؛ چون آن کار به غایت و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عرب، به شتری که به آخرین درجه چاقی رسیده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عقل، به دلیل آن که از کار زشت باز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گودی که آب بدان منتهی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غایت ارتفاع روز، نها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Style w:val="FootnoteAnchor"/>
          <w:rtl w:val="true"/>
        </w:rPr>
        <w:footnoteReference w:id="260"/>
      </w:r>
    </w:p>
    <w:p>
      <w:pPr>
        <w:pStyle w:val="Heading4"/>
        <w:numPr>
          <w:ilvl w:val="3"/>
          <w:numId w:val="1"/>
        </w:numPr>
        <w:rPr/>
      </w:pPr>
      <w:bookmarkStart w:id="176" w:name="__RefHeading___Toc7812216_3381743652"/>
      <w:bookmarkStart w:id="177" w:name="_Toc67"/>
      <w:bookmarkEnd w:id="176"/>
      <w:r>
        <w:rPr>
          <w:rtl w:val="true"/>
        </w:rPr>
        <w:t>معروف و منکر در لغت</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مشهور، جود و بخشش، کار نیک و نیکی، انصاف و همراهی با اهل خانه و مردم آمده است؛ چنان 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ضد منکر و عرف، ضد نکر است</w:t>
      </w:r>
      <w:r>
        <w:rPr>
          <w:rStyle w:val="FootnoteAnchor"/>
          <w:rtl w:val="true"/>
        </w:rPr>
        <w:footnoteReference w:id="261"/>
      </w:r>
      <w:r>
        <w:rPr>
          <w:rFonts w:ascii="IRNazanin" w:hAnsi="IRNazanin" w:eastAsia="IRNazanin"/>
          <w:color w:val="111111"/>
          <w:sz w:val="28"/>
          <w:sz w:val="28"/>
          <w:szCs w:val="28"/>
          <w:rtl w:val="true"/>
          <w:lang w:bidi="fa-IR"/>
        </w:rPr>
        <w:t>و عرف، در اصل بر دو معنی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بودن چیزی به صورت پیوسته؛ چون یال اسب، تاج خروس، بلندیهای مکانی و موج دریا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آرامش می گردد؛ زیرا انسان، از منکر ترس دارد و از آن فرار می کند و به معروف، آرامش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بوی خوش، عرف می گویند؛ زیرا نفوس انسانی، </w:t>
      </w:r>
      <w:bookmarkStart w:id="178" w:name="pg14387_143671"/>
    </w:p>
    <w:p>
      <w:pPr>
        <w:pStyle w:val="BookText"/>
        <w:rPr/>
      </w:pPr>
      <w:bookmarkEnd w:id="178"/>
      <w:r>
        <w:rPr>
          <w:rFonts w:ascii="IRNazanin" w:hAnsi="IRNazanin" w:eastAsia="IRNazanin"/>
          <w:color w:val="111111"/>
          <w:sz w:val="28"/>
          <w:sz w:val="28"/>
          <w:szCs w:val="28"/>
          <w:rtl w:val="true"/>
          <w:lang w:bidi="fa-IR"/>
        </w:rPr>
        <w:t>بدان وسیله سکون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عرفان، از همین باب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بنابراین، امر به معروف، در لغت به معنای خواستن چیزی است که نفوس بشری به سبب آن، آرامش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 دشوار و زشت و جهل آمده است؛ زیرا منکر، خلاف و ضد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شریعت، قبیح و حرام بداند، منکر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بنابراین، نهی از منکر، عبارت است از بازداشتن انسان از انجام کارهای زشت و نامعقول و جلوگیری از اموری که در واقع، بشر از آن، ترس و نفرت دارد، لکن به واسطه جهل و غفلت، گاه مرتکب آن می گردد</w:t>
      </w:r>
      <w:r>
        <w:rPr>
          <w:rFonts w:eastAsia="IRNazanin" w:cs="IRNazanin"/>
          <w:color w:val="111111"/>
          <w:sz w:val="28"/>
          <w:szCs w:val="28"/>
          <w:rtl w:val="true"/>
          <w:lang w:bidi="fa-IR"/>
        </w:rPr>
        <w:t>.</w:t>
      </w:r>
    </w:p>
    <w:p>
      <w:pPr>
        <w:pStyle w:val="Heading4"/>
        <w:numPr>
          <w:ilvl w:val="3"/>
          <w:numId w:val="1"/>
        </w:numPr>
        <w:rPr/>
      </w:pPr>
      <w:bookmarkStart w:id="179" w:name="__RefHeading___Toc7812218_3381743652"/>
      <w:bookmarkStart w:id="180" w:name="_Toc68"/>
      <w:bookmarkEnd w:id="179"/>
      <w:r>
        <w:rPr>
          <w:rtl w:val="true"/>
        </w:rPr>
        <w:t>امر و نهی در اصطلاح</w:t>
      </w:r>
      <w:bookmarkEnd w:id="180"/>
    </w:p>
    <w:p>
      <w:pPr>
        <w:pStyle w:val="Heading5"/>
        <w:numPr>
          <w:ilvl w:val="4"/>
          <w:numId w:val="1"/>
        </w:numPr>
        <w:rPr/>
      </w:pPr>
      <w:bookmarkStart w:id="181" w:name="__RefHeading___Toc7812220_3381743652"/>
      <w:bookmarkStart w:id="182" w:name="_Toc69"/>
      <w:bookmarkEnd w:id="181"/>
      <w:r>
        <w:rPr>
          <w:rtl w:val="true"/>
        </w:rPr>
        <w:t>اشاره</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واژگانی است که در علم اصول، فقه، کلام، اخلاق، حقوق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گرفته و تعریفهای متفاوتی از آن دو ارائه شده است که به دو نمونه آن اشاره می گردد،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گفتاری 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گفتاری ترک آن است؛ همراه با برتری طلبی آمر و ناهی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شخص عالی از فرد دانی، فعلی را بخواهد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ترک فعلی را بخواهد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سه مطلب در این جا مورد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فراگیری تعریف دوم، از تعریف اول بیشتر است؛ زیرا شامل درخواست گفتاری و غیرگفتاری می گردد؛ در حالی که تعریف اول، تنها درخواست گفتاری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آن،با افزودن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تعریف، طلب قلبی و کرداری که از مصداقهای امر و نهی است، از آن خارج می شود؛ همان گونه که امر به معروف و نهی از</w:t>
      </w:r>
      <w:bookmarkStart w:id="183" w:name="pg14387_143672"/>
    </w:p>
    <w:p>
      <w:pPr>
        <w:pStyle w:val="BookText"/>
        <w:rPr/>
      </w:pPr>
      <w:bookmarkEnd w:id="183"/>
      <w:r>
        <w:rPr>
          <w:rFonts w:ascii="IRNazanin" w:hAnsi="IRNazanin" w:eastAsia="IRNazanin"/>
          <w:color w:val="111111"/>
          <w:sz w:val="28"/>
          <w:sz w:val="28"/>
          <w:szCs w:val="28"/>
          <w:rtl w:val="true"/>
          <w:lang w:bidi="fa-IR"/>
        </w:rPr>
        <w:t>منکر، هر سه مورد طلب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توجه به همین نکته بوده که آن قید در تعریف دوم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امر و نهی به طلب، درست نیست؛ چون مباینند و طلب، مرادف اراده و اراده، امر قلبی است؛ در حالی که آن دو، لفظند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کردن طلب به طلب گفتاری برای رفع این ایراد، بی ثمر است؛ به خاطر این که در مورد طلب، از تعریف خارج می شود،</w:t>
      </w:r>
      <w:r>
        <w:rPr>
          <w:rStyle w:val="FootnoteAnchor"/>
          <w:rtl w:val="true"/>
        </w:rPr>
        <w:footnoteReference w:id="265"/>
      </w:r>
      <w:r>
        <w:rPr>
          <w:rFonts w:ascii="IRNazanin" w:hAnsi="IRNazanin" w:eastAsia="IRNazanin"/>
          <w:color w:val="111111"/>
          <w:sz w:val="28"/>
          <w:sz w:val="28"/>
          <w:szCs w:val="28"/>
          <w:rtl w:val="true"/>
          <w:lang w:bidi="fa-IR"/>
        </w:rPr>
        <w:t>مگر این که بگوییم طلب، اگر چه حقیقت درخواست قلبی است، لکن ابراز آن، به وسیله گفتار و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 هم تعریف دوم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اول، استعلا و در دوم، علو، شرط دانسته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میان دانشمندان در اعتبار و عدم اعتبار آن دو مفهوم امر و نهی، اختلاف شده است</w:t>
      </w:r>
      <w:r>
        <w:rPr>
          <w:rFonts w:eastAsia="IRNazanin" w:cs="IRNazanin"/>
          <w:color w:val="111111"/>
          <w:sz w:val="28"/>
          <w:szCs w:val="28"/>
          <w:rtl w:val="true"/>
          <w:lang w:bidi="fa-IR"/>
        </w:rPr>
        <w:t>.</w:t>
      </w:r>
      <w:r>
        <w:rPr>
          <w:rStyle w:val="FootnoteAnchor"/>
          <w:rtl w:val="true"/>
        </w:rPr>
        <w:footnoteReference w:id="266"/>
      </w:r>
    </w:p>
    <w:p>
      <w:pPr>
        <w:pStyle w:val="Heading5"/>
        <w:numPr>
          <w:ilvl w:val="4"/>
          <w:numId w:val="1"/>
        </w:numPr>
        <w:rPr/>
      </w:pPr>
      <w:bookmarkStart w:id="184" w:name="__RefHeading___Toc7812222_3381743652"/>
      <w:bookmarkStart w:id="185" w:name="_Toc70"/>
      <w:bookmarkEnd w:id="184"/>
      <w:r>
        <w:rPr>
          <w:rtl w:val="true"/>
        </w:rPr>
        <w:t>نظر شیخ طوسی درباره امر و نهی</w:t>
      </w:r>
      <w:bookmarkEnd w:id="185"/>
    </w:p>
    <w:p>
      <w:pPr>
        <w:pStyle w:val="BookText"/>
        <w:rPr/>
      </w:pPr>
      <w:r>
        <w:rPr>
          <w:rFonts w:ascii="IRNazanin" w:hAnsi="IRNazanin" w:eastAsia="IRNazanin"/>
          <w:color w:val="111111"/>
          <w:sz w:val="28"/>
          <w:sz w:val="28"/>
          <w:szCs w:val="28"/>
          <w:rtl w:val="true"/>
          <w:lang w:bidi="fa-IR"/>
        </w:rPr>
        <w:t xml:space="preserve">شیخ طوسیا مدعی است که اکثریت متکلمان و فقها، امر را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پایین تر از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اشتراک امر بین گفتار و کردار را رد نموده،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جز از راه مجاز و استعاره، امر نامیده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قول</w:t>
      </w:r>
    </w:p>
    <w:p>
      <w:pPr>
        <w:pStyle w:val="BookText"/>
        <w:rPr/>
      </w:pPr>
      <w:r>
        <w:rPr>
          <w:rFonts w:ascii="IRNazanin" w:hAnsi="IRNazanin" w:eastAsia="IRNazanin"/>
          <w:color w:val="111111"/>
          <w:sz w:val="28"/>
          <w:sz w:val="28"/>
          <w:szCs w:val="28"/>
          <w:rtl w:val="true"/>
          <w:lang w:bidi="fa-IR"/>
        </w:rPr>
        <w:t>القائل لمن هو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الفعل لایسمی أمرأ إلا علی وجه المجاز و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برای اثبات نظریه خویش، دو دلیل زیر را عنوان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لغت، کلام را به چند قسم تقسیم نموده اند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 پایین تر را امر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اهل لغت در این نامگذاری، جایز نیست، و گرنه در سایر نامگذاریها هم باید مخالفت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شایسته است که امر، عبارت باشد از همان گفتار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 مادون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لغویان،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اعتبار رتبه گوینده، میان این که آن صیغه، امر، طلب، سؤال و یا دعاست، فرق گذاشته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گوینده آن صیغه، از فرد مورد خطاب، بالاتر بود، آن صیغه، امر است و اگر از آن فرد، پایینتر بود، سؤال و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مخالفت با اهل لغت در نامگذاری امر، روا باشد، در نامگذاری سؤال و طلب نیز روا </w:t>
      </w:r>
      <w:bookmarkStart w:id="186" w:name="pg14387_143673"/>
    </w:p>
    <w:p>
      <w:pPr>
        <w:pStyle w:val="BookText"/>
        <w:rPr/>
      </w:pPr>
      <w:bookmarkEnd w:id="186"/>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بنابراین، لفظ امر، مشترک میان گفتار و کردار؛ یعنی قول مخصوص و فعل نیست، بلکه در معنای اول، حقیقت و در معنای دوم،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است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فرد مادون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القائل لمن هو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لاتفعل کما أن الأمر 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و هر چیزی بر یکی از امر و نهی دلالت نماید، بر دیگری نیز دلالت خواهد داشت؛ زیرا طریقه و راه در هر دو مورد، یکی است</w:t>
      </w:r>
      <w:r>
        <w:rPr>
          <w:rFonts w:eastAsia="IRNazanin" w:cs="IRNazanin"/>
          <w:color w:val="111111"/>
          <w:sz w:val="28"/>
          <w:szCs w:val="28"/>
          <w:rtl w:val="true"/>
          <w:lang w:bidi="fa-IR"/>
        </w:rPr>
        <w:t>.</w:t>
      </w:r>
    </w:p>
    <w:p>
      <w:pPr>
        <w:pStyle w:val="Heading5"/>
        <w:numPr>
          <w:ilvl w:val="4"/>
          <w:numId w:val="1"/>
        </w:numPr>
        <w:rPr/>
      </w:pPr>
      <w:bookmarkStart w:id="187" w:name="__RefHeading___Toc7812224_3381743652"/>
      <w:bookmarkStart w:id="188" w:name="_Toc71"/>
      <w:bookmarkEnd w:id="187"/>
      <w:r>
        <w:rPr>
          <w:rtl w:val="true"/>
        </w:rPr>
        <w:t>اعتبار علو و استعلا</w:t>
      </w:r>
      <w:bookmarkEnd w:id="188"/>
    </w:p>
    <w:p>
      <w:pPr>
        <w:pStyle w:val="BookText"/>
        <w:rPr/>
      </w:pPr>
      <w:r>
        <w:rPr>
          <w:rFonts w:ascii="IRNazanin" w:hAnsi="IRNazanin" w:eastAsia="IRNazanin"/>
          <w:color w:val="111111"/>
          <w:sz w:val="28"/>
          <w:sz w:val="28"/>
          <w:szCs w:val="28"/>
          <w:rtl w:val="true"/>
          <w:lang w:bidi="fa-IR"/>
        </w:rPr>
        <w:t>از ظاهر کلام شیخ طوسی استفاده می شود که ایشان در امر و نهی، علو را معتبر می داند؛ به دو دلیل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تعریفی که ایشان برای امر و نهی ذکر نموده، نشان دهنده اعتبار علو است؛ زیرا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القائل لمن هو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استدلال ایشان برای رد اشتراک امر و حقیقت بودن در قول مخصوص؛ یعنی صیغه افعل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لغت در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گوینده آن، تفاوت قائل شده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رتبه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 از مخاطب باشد، امر، وگر نه، دعا یا سؤال نامیده</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از ظاهر این دو کلام، چنین به دست می آید که ایشان در امر و نهی، علو را کافی می دانند</w:t>
      </w:r>
      <w:r>
        <w:rPr>
          <w:rFonts w:eastAsia="IRNazanin" w:cs="IRNazanin"/>
          <w:color w:val="111111"/>
          <w:sz w:val="28"/>
          <w:szCs w:val="28"/>
          <w:rtl w:val="true"/>
          <w:lang w:bidi="fa-IR"/>
        </w:rPr>
        <w:t>.</w:t>
      </w:r>
    </w:p>
    <w:p>
      <w:pPr>
        <w:pStyle w:val="Heading4"/>
        <w:numPr>
          <w:ilvl w:val="3"/>
          <w:numId w:val="1"/>
        </w:numPr>
        <w:rPr/>
      </w:pPr>
      <w:bookmarkStart w:id="189" w:name="__RefHeading___Toc7812226_3381743652"/>
      <w:bookmarkStart w:id="190" w:name="_Toc72"/>
      <w:bookmarkEnd w:id="189"/>
      <w:r>
        <w:rPr>
          <w:rtl w:val="true"/>
        </w:rPr>
        <w:t>معروف و منکر در اصطلاح</w:t>
      </w:r>
      <w:bookmarkEnd w:id="190"/>
    </w:p>
    <w:p>
      <w:pPr>
        <w:pStyle w:val="BookText"/>
        <w:rPr/>
      </w:pPr>
      <w:r>
        <w:rPr>
          <w:rFonts w:ascii="IRNazanin" w:hAnsi="IRNazanin" w:eastAsia="IRNazanin"/>
          <w:color w:val="111111"/>
          <w:sz w:val="28"/>
          <w:sz w:val="28"/>
          <w:szCs w:val="28"/>
          <w:rtl w:val="true"/>
          <w:lang w:bidi="fa-IR"/>
        </w:rPr>
        <w:t>معروف و منکر در تعبیرهای دانشمندان، به صورت متفاوتی تعریف شده که خلاصه آن، عبارات زیر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معروف و منکر به عنوان یک قاعده کلی که در محوریت آن، دو نظر مطرح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اول، محور و مدار معروف و منکر بودن یک چیز، حسن و قبح آن از دیدگاه عقل یا شرع دانسته شده است؛ چنان که این مطلب از بیانهای زیر استفاده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عبارت است از هر کار نیکویی که دارای وصف زاید بر نیکویی است؛ هنگامی که فاعل کار، حسن آن کار را بداند و یا به آن راهنمایی گردد و منکر، عبارت است از هر کار زشتی که مشتمل بر وصف زاید بر زشتی است؛ زمانی که فاعل کار، زشتی آن را بداند و یا به آن راهنمایی گردد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حسن آن نزد عقل یا شرع، شناخته شده است، معروف است و هر چیزی که ناشناخته و مورد انکار عقل و یا شرع است، منکر می باشد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نظر دوم، محور و مدار معروف و منکر بودن یک چیز، اوامر و نواهی پروردگار متعال و پیامبران دانسته شده است؛ چنان 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را که خداوند یا پیامبر به آن امر نمایند، معروف و هر چه را که خداوند و یا پیامبران از آن نهی فرموده اند، منکر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بیان دیگری در تعریف معروف و منکر، هر دو نظر مذکور را در یک تعریف، جمع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آن چیزی است که خداوند متعال، فعل آن را واجب نموده و عقل یا شرع، انجام آن را ترغیب کرده است و منکر، آن چیزی است که خداوند، از انجام آن نهی فرموده و عقل یا شرع، از انجام دادن آن، کناره گیری می نماید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معروف و منکر با ذکر مصادیق؛ از قبیل امور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یعنی واجب و منکر یعنی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یعنی حق و منکر یعنی باطل</w:t>
      </w:r>
      <w:r>
        <w:rPr>
          <w:rFonts w:eastAsia="IRNazanin" w:cs="IRNazanin"/>
          <w:color w:val="111111"/>
          <w:sz w:val="28"/>
          <w:szCs w:val="28"/>
          <w:rtl w:val="true"/>
          <w:lang w:bidi="fa-IR"/>
        </w:rPr>
        <w:t>.</w:t>
      </w:r>
      <w:r>
        <w:rPr>
          <w:rStyle w:val="FootnoteAnchor"/>
          <w:rtl w:val="true"/>
        </w:rPr>
        <w:footnoteReference w:id="274"/>
      </w:r>
      <w:bookmarkStart w:id="191" w:name="pg14387_143675"/>
    </w:p>
    <w:p>
      <w:pPr>
        <w:pStyle w:val="BookText"/>
        <w:rPr/>
      </w:pPr>
      <w:bookmarkEnd w:id="191"/>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یعنی مکارم اخلاق و صله ارحام و منکر یعنی عبادت اوثان و قطع ارحام</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شیخ طوسی از جمله کسانی است که حسن و قبح ذاتی اشیا را قبول دارد و عقلانی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مدار معروف و منکر بودن را حسن و قبح انجام کار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هو الفعل الحسن الذی له صفة زائدة علی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المنکر هو القبیح فالنهی عنه کله واجب</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کل ما حسن فی العقل فعله أو فی الشرع و لم یکن منکرا و لا قبیحا عند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یعنی هر چیزی که از نظر عقل یا شرع، انجام دادن آن محسن داشت و منکر و قبیح در نزد ارباب عقول نبود، معروف است و هر چیزی که از دید عقل و یا شرع، زشت و ناپسند بود، منکر است</w:t>
      </w:r>
      <w:r>
        <w:rPr>
          <w:rFonts w:eastAsia="IRNazanin" w:cs="IRNazanin"/>
          <w:color w:val="111111"/>
          <w:sz w:val="28"/>
          <w:szCs w:val="28"/>
          <w:rtl w:val="true"/>
          <w:lang w:bidi="fa-IR"/>
        </w:rPr>
        <w:t>.</w:t>
      </w:r>
      <w:r>
        <w:rPr>
          <w:rStyle w:val="FootnoteAnchor"/>
          <w:rtl w:val="true"/>
        </w:rPr>
        <w:footnoteReference w:id="278"/>
      </w:r>
    </w:p>
    <w:p>
      <w:pPr>
        <w:pStyle w:val="Heading4"/>
        <w:numPr>
          <w:ilvl w:val="3"/>
          <w:numId w:val="1"/>
        </w:numPr>
        <w:rPr/>
      </w:pPr>
      <w:bookmarkStart w:id="192" w:name="__RefHeading___Toc7812228_3381743652"/>
      <w:bookmarkStart w:id="193" w:name="_Toc73"/>
      <w:bookmarkEnd w:id="192"/>
      <w:r>
        <w:rPr>
          <w:rtl w:val="true"/>
        </w:rPr>
        <w:t>سبب نامگذاری حسن و قبح، به معروف و منکر</w:t>
      </w:r>
      <w:bookmarkEnd w:id="193"/>
    </w:p>
    <w:p>
      <w:pPr>
        <w:pStyle w:val="BookText"/>
        <w:rPr/>
      </w:pPr>
      <w:r>
        <w:rPr>
          <w:rFonts w:ascii="IRNazanin" w:hAnsi="IRNazanin" w:eastAsia="IRNazanin"/>
          <w:color w:val="111111"/>
          <w:sz w:val="28"/>
          <w:sz w:val="28"/>
          <w:szCs w:val="28"/>
          <w:rtl w:val="true"/>
          <w:lang w:bidi="fa-IR"/>
        </w:rPr>
        <w:t>چرا به کار نیک، معروف و به کار زشت، منکر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زشتی کار زشت نیز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 این نامگذاری چیست؟ شیخ الطایفه با دو سبب برای این نامگذاری عنوان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و سقوط زشتی و جلالت و علو نیکی؛ چنان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زشتی، انحطاط دارد، به منزله چیزی است که ناشناخته باشد، اما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بلند مرتبه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بزرگواری است که به جلالت و بلندی مرتبه شناخته شده و به زیبایی ظاهری آراسته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کار نیک و عدم صحت کار زشت از نظر عقل؛ چنان که از بیان شیخ درباره اطلاق معروف و منکر بر حق و باطل، این مطلب استفاده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عقل، درستی حق را درک نموده و صحت باطل را انکار می نماید، حق را معروف و باطل را منکر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اعتماد در معرفت و شناخت، بر درستی است</w:t>
      </w:r>
      <w:r>
        <w:rPr>
          <w:rFonts w:eastAsia="IRNazanin" w:cs="IRNazanin"/>
          <w:color w:val="111111"/>
          <w:sz w:val="28"/>
          <w:szCs w:val="28"/>
          <w:rtl w:val="true"/>
          <w:lang w:bidi="fa-IR"/>
        </w:rPr>
        <w:t>.</w:t>
      </w:r>
      <w:r>
        <w:rPr>
          <w:rStyle w:val="FootnoteAnchor"/>
          <w:rtl w:val="true"/>
        </w:rPr>
        <w:footnoteReference w:id="28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معروف یعنی کاری که از نظر عقل، درست و منکر یعنی کاری که از نظر عقل، نادرست و مورد انکار است</w:t>
      </w:r>
      <w:r>
        <w:rPr>
          <w:rFonts w:eastAsia="IRNazanin" w:cs="IRNazanin"/>
          <w:color w:val="111111"/>
          <w:sz w:val="28"/>
          <w:szCs w:val="28"/>
          <w:rtl w:val="true"/>
          <w:lang w:bidi="fa-IR"/>
        </w:rPr>
        <w:t xml:space="preserve">. </w:t>
      </w:r>
      <w:bookmarkStart w:id="194" w:name="pg14387_143676"/>
    </w:p>
    <w:p>
      <w:pPr>
        <w:pStyle w:val="Heading4"/>
        <w:numPr>
          <w:ilvl w:val="3"/>
          <w:numId w:val="1"/>
        </w:numPr>
        <w:rPr/>
      </w:pPr>
      <w:bookmarkStart w:id="195" w:name="__RefHeading___Toc7812230_3381743652"/>
      <w:bookmarkStart w:id="196" w:name="_Toc74"/>
      <w:bookmarkEnd w:id="194"/>
      <w:bookmarkEnd w:id="195"/>
      <w:r>
        <w:rPr>
          <w:rtl w:val="true"/>
        </w:rPr>
        <w:t>مقصود از انجام امر به معروف و نهی از منکر</w:t>
      </w:r>
      <w:bookmarkEnd w:id="196"/>
    </w:p>
    <w:p>
      <w:pPr>
        <w:pStyle w:val="BookText"/>
        <w:rPr/>
      </w:pPr>
      <w:r>
        <w:rPr>
          <w:rFonts w:ascii="IRNazanin" w:hAnsi="IRNazanin" w:eastAsia="IRNazanin"/>
          <w:color w:val="111111"/>
          <w:sz w:val="28"/>
          <w:sz w:val="28"/>
          <w:szCs w:val="28"/>
          <w:rtl w:val="true"/>
          <w:lang w:bidi="fa-IR"/>
        </w:rPr>
        <w:t>دراین باره، دو بیان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وادار نمودن به انجام کار نیک و طاعت، و نهی از منکر، بازداشتن از انجام کار زشت و معصیت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عبارت است از سخن و گفتاری که انسان را به طاعت و فرمانبرداری وا می دارد، یا همان وادار نمودن به طاعت و فرمانبرداری و یا اراده وقوع طاعت و فرمانبرداری از مأمور است، و در مقابل، نهی از منکر عبارت است از بازداشتن از انجام گناه و یا کلام و سخنی که سبب منع از انجام گناه می گردد و یا کراهت و تنفر وقوع گناه، از انسان منهی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روشن است که تعریف دوم، بهتر است؛ زیرا امر به معروف و نهی از منکر زبانی و قلبی را نیز شامل می شود؛ در حالی که تعریف اول، این فراگیری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بیان دوم را می پسندد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 ینقسمان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بالید و اللسان و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کردار وید تحقق می پذیرد، یا به زبان و قلب</w:t>
      </w:r>
      <w:r>
        <w:rPr>
          <w:rFonts w:eastAsia="IRNazanin" w:cs="IRNazanin"/>
          <w:color w:val="111111"/>
          <w:sz w:val="28"/>
          <w:szCs w:val="28"/>
          <w:rtl w:val="true"/>
          <w:lang w:bidi="fa-IR"/>
        </w:rPr>
        <w:t>.</w:t>
      </w:r>
    </w:p>
    <w:p>
      <w:pPr>
        <w:pStyle w:val="Heading4"/>
        <w:numPr>
          <w:ilvl w:val="3"/>
          <w:numId w:val="1"/>
        </w:numPr>
        <w:rPr/>
      </w:pPr>
      <w:bookmarkStart w:id="197" w:name="__RefHeading___Toc7812232_3381743652"/>
      <w:bookmarkStart w:id="198" w:name="_Toc75"/>
      <w:bookmarkEnd w:id="197"/>
      <w:r>
        <w:rPr>
          <w:rtl w:val="true"/>
        </w:rPr>
        <w:t>امر به معروف و نهی از منکر، پیمانی درونی</w:t>
      </w:r>
      <w:bookmarkEnd w:id="198"/>
    </w:p>
    <w:p>
      <w:pPr>
        <w:pStyle w:val="BookText"/>
        <w:rPr/>
      </w:pPr>
      <w:r>
        <w:rPr>
          <w:rFonts w:ascii="IRNazanin" w:hAnsi="IRNazanin" w:eastAsia="IRNazanin"/>
          <w:color w:val="111111"/>
          <w:sz w:val="28"/>
          <w:sz w:val="28"/>
          <w:szCs w:val="28"/>
          <w:rtl w:val="true"/>
          <w:lang w:bidi="fa-IR"/>
        </w:rPr>
        <w:t>شیخ طوسی، امر به معروف و نهی از منکر را عبارت از پیمان و تعهد درونی می داند که دارای دو خصوصیت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پیمان، پیمان درستی باشد که برای انجام دادن کار نیک به جای کار زشت، منعقد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معاهده، موقتی نباشد، بلکه استمرار داشته باشد و طبعا این استمرار، عمل در کردار و گفتار و کراهت قلبی را در پی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برای اثبات این مطلب، به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أقم الصلاة و أمر بالمعروف و انه عن </w:t>
      </w:r>
      <w:bookmarkStart w:id="199" w:name="pg14387_143677"/>
    </w:p>
    <w:p>
      <w:pPr>
        <w:pStyle w:val="BookText"/>
        <w:rPr/>
      </w:pPr>
      <w:bookmarkEnd w:id="199"/>
      <w:r>
        <w:rPr>
          <w:rFonts w:ascii="IRNazanin" w:hAnsi="IRNazanin" w:eastAsia="IRNazanin"/>
          <w:color w:val="111111"/>
          <w:sz w:val="28"/>
          <w:sz w:val="28"/>
          <w:szCs w:val="28"/>
          <w:rtl w:val="true"/>
          <w:lang w:bidi="fa-IR"/>
        </w:rPr>
        <w:t>المنکر واصبر علی ما أصابک إن ذلک من عزم الأمور</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استدلال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امر به معروف و نهی از منکر را در این آیه، از عزم امور به حساب آورده؛ 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من 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هم همان عقد و پیمان درستی است که بر انجام کار پسندیده در عوض کار ناشایست، منعقد می شود تا نفس خویش را برای انجام آن عمل،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عقد هم عبارت از اراده پیشین است برای انجام عمل؛ همراه با قاطعیت و استمرار؛ زیرا اگر این گونه نباشد، تلون و رنگ پذیری در رأی و نظر لازم می آید که با عزم، متناقض است و عزم راسخ را می شکند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پروردگار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کا صبر أولوا العزم من الرسل</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200" w:name="__RefHeading___Toc7812234_3381743652"/>
      <w:bookmarkStart w:id="201" w:name="_Toc76"/>
      <w:bookmarkEnd w:id="200"/>
      <w:r>
        <w:rPr>
          <w:rtl w:val="true"/>
        </w:rPr>
        <w:t>دیدگاهها درباره وجوب امر به معروف و نهی از منکر</w:t>
      </w:r>
      <w:bookmarkEnd w:id="201"/>
    </w:p>
    <w:p>
      <w:pPr>
        <w:pStyle w:val="Heading4"/>
        <w:numPr>
          <w:ilvl w:val="3"/>
          <w:numId w:val="1"/>
        </w:numPr>
        <w:rPr/>
      </w:pPr>
      <w:bookmarkStart w:id="202" w:name="__RefHeading___Toc7812236_3381743652"/>
      <w:bookmarkStart w:id="203" w:name="_Toc77"/>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در اصل وجوب امر به معروف و نهی از منکر، نزاعی نیست و همه امت اسلامی بر وجوب آن دو، اتفاق نظر دارند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شیخ طوسی نیز همچون سایر دانشمندان متکلم مسلمان، آن دو را واجب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بالمعروف والنهی عن المنکر واجبان بلا خلاف عند الأمة</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تنها عبدالجبار معتزلی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وجوب امر به معروف و نهی از منکر، بین امت اسلامی اختلافی نیست، جز این که اختلاف در طایفه ای از امامیه، حکایت شده است و به کلام آنها هم اعتناء نمی شود</w:t>
      </w:r>
      <w:r>
        <w:rPr>
          <w:rFonts w:eastAsia="IRNazanin" w:cs="IRNazanin"/>
          <w:color w:val="111111"/>
          <w:sz w:val="28"/>
          <w:szCs w:val="28"/>
          <w:rtl w:val="true"/>
          <w:lang w:bidi="fa-IR"/>
        </w:rPr>
        <w:t>.»</w:t>
      </w:r>
      <w:r>
        <w:rPr>
          <w:rStyle w:val="FootnoteAnchor"/>
          <w:rtl w:val="true"/>
        </w:rPr>
        <w:footnoteReference w:id="28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نسبت هم تهمتی بیش نیست؛ زیرا همه دانشمندان امامی بر وجوب آن دو ادعای عدم خلاف کرده اند؛ از جمله،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عبدالجبار، خود چنین </w:t>
      </w:r>
      <w:bookmarkStart w:id="204" w:name="pg14387_143678"/>
    </w:p>
    <w:p>
      <w:pPr>
        <w:pStyle w:val="BookText"/>
        <w:rPr/>
      </w:pPr>
      <w:bookmarkEnd w:id="204"/>
      <w:r>
        <w:rPr>
          <w:rFonts w:ascii="IRNazanin" w:hAnsi="IRNazanin" w:eastAsia="IRNazanin"/>
          <w:color w:val="111111"/>
          <w:sz w:val="28"/>
          <w:sz w:val="28"/>
          <w:szCs w:val="28"/>
          <w:rtl w:val="true"/>
          <w:lang w:bidi="fa-IR"/>
        </w:rPr>
        <w:t>چیزی را از امامیه ندیده، به دلیل این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یحکی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متکلمان اشاره به پیروی از احمد بن حنبل، اقدام علیه سلطان جائر را جایز نمی دانند و اطاعت او را تا مادامی که امر به گناه ننموده، لازم می دانند</w:t>
      </w:r>
      <w:r>
        <w:rPr>
          <w:rStyle w:val="FootnoteAnchor"/>
          <w:rtl w:val="true"/>
        </w:rPr>
        <w:footnoteReference w:id="290"/>
      </w:r>
      <w:r>
        <w:rPr>
          <w:rFonts w:ascii="IRNazanin" w:hAnsi="IRNazanin" w:eastAsia="IRNazanin"/>
          <w:color w:val="111111"/>
          <w:sz w:val="28"/>
          <w:sz w:val="28"/>
          <w:szCs w:val="28"/>
          <w:rtl w:val="true"/>
          <w:lang w:bidi="fa-IR"/>
        </w:rPr>
        <w:t>و دلیلشان، عدم شق عصای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وجوب امر به معروف و نهی از منکر، مورد اجماع و توافق همه امت اسلامی است و تنها در نحوه وجوب، کیفیت و اقدام اجرایی آن در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بررسی نحوۀ وجوب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اقسام آن دو می اندازیم</w:t>
      </w:r>
      <w:r>
        <w:rPr>
          <w:rFonts w:eastAsia="IRNazanin" w:cs="IRNazanin"/>
          <w:color w:val="111111"/>
          <w:sz w:val="28"/>
          <w:szCs w:val="28"/>
          <w:rtl w:val="true"/>
          <w:lang w:bidi="fa-IR"/>
        </w:rPr>
        <w:t>.</w:t>
      </w:r>
    </w:p>
    <w:p>
      <w:pPr>
        <w:pStyle w:val="Heading4"/>
        <w:numPr>
          <w:ilvl w:val="3"/>
          <w:numId w:val="1"/>
        </w:numPr>
        <w:rPr/>
      </w:pPr>
      <w:bookmarkStart w:id="205" w:name="__RefHeading___Toc7812238_3381743652"/>
      <w:bookmarkStart w:id="206" w:name="_Toc78"/>
      <w:bookmarkEnd w:id="205"/>
      <w:r>
        <w:rPr>
          <w:rtl w:val="true"/>
        </w:rPr>
        <w:t>اقسام امر به معروف و نهی از منکر</w:t>
      </w:r>
      <w:bookmarkEnd w:id="206"/>
    </w:p>
    <w:p>
      <w:pPr>
        <w:pStyle w:val="Heading5"/>
        <w:numPr>
          <w:ilvl w:val="4"/>
          <w:numId w:val="1"/>
        </w:numPr>
        <w:rPr/>
      </w:pPr>
      <w:bookmarkStart w:id="207" w:name="__RefHeading___Toc7812240_3381743652"/>
      <w:bookmarkStart w:id="208" w:name="_Toc79"/>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امر به معروف و نهی از منکر، به اعتبارهای گوناگون، قابل تقسیم می باشد</w:t>
      </w:r>
      <w:r>
        <w:rPr>
          <w:rFonts w:eastAsia="IRNazanin" w:cs="IRNazanin"/>
          <w:color w:val="111111"/>
          <w:sz w:val="28"/>
          <w:szCs w:val="28"/>
          <w:rtl w:val="true"/>
          <w:lang w:bidi="fa-IR"/>
        </w:rPr>
        <w:t>:</w:t>
      </w:r>
    </w:p>
    <w:p>
      <w:pPr>
        <w:pStyle w:val="Heading5"/>
        <w:numPr>
          <w:ilvl w:val="4"/>
          <w:numId w:val="1"/>
        </w:numPr>
        <w:rPr/>
      </w:pPr>
      <w:bookmarkStart w:id="209" w:name="__RefHeading___Toc7812242_3381743652"/>
      <w:bookmarkStart w:id="210" w:name="_Toc80"/>
      <w:bookmarkEnd w:id="209"/>
      <w:r>
        <w:rPr>
          <w:rtl w:val="true"/>
        </w:rPr>
        <w:t>الف</w:t>
      </w:r>
      <w:r>
        <w:rPr>
          <w:rtl w:val="true"/>
        </w:rPr>
        <w:t xml:space="preserve">) </w:t>
      </w:r>
      <w:r>
        <w:rPr>
          <w:rtl w:val="true"/>
        </w:rPr>
        <w:t>تقسیم امر به معروف و نهی از منکر به اعتبار خود معروف و منکر</w:t>
      </w:r>
      <w:bookmarkEnd w:id="210"/>
    </w:p>
    <w:p>
      <w:pPr>
        <w:pStyle w:val="BookText"/>
        <w:rPr/>
      </w:pPr>
      <w:r>
        <w:rPr>
          <w:rFonts w:ascii="IRNazanin" w:hAnsi="IRNazanin" w:eastAsia="IRNazanin"/>
          <w:color w:val="111111"/>
          <w:sz w:val="28"/>
          <w:sz w:val="28"/>
          <w:szCs w:val="28"/>
          <w:rtl w:val="true"/>
          <w:lang w:bidi="fa-IR"/>
        </w:rPr>
        <w:t>از آن جا که امر و نهی، وابسته به معروف و منکر است و معروف و منکر، هریک دو قسم است؛ زیرا معروف، یا واجب است و یا مستحب و منکر هم یا حرام است یا مکروه، در نتیجه، امر و نهی نیز دو قسم خواهد بود؛ به دلیل این که امر به واجب و نهی از حرام، واجب و اما امر به مندوب و نهی از مکروه،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تقسیم از متن شریعت مقدس اسلام استفاده می گردد، متکلمان پیشین، به این تقسیم، توجه نداشته اند و وجوب امر به معروف و نهی از منکر را به صورت مطلق عنوان کرده اند، لکن بعدها ابی علی جبائی، معروف را به دو قسم واجب و مندوب تقسیم کرد و کار درستی انجام داد</w:t>
      </w:r>
      <w:r>
        <w:rPr>
          <w:rFonts w:eastAsia="IRNazanin" w:cs="IRNazanin"/>
          <w:color w:val="111111"/>
          <w:sz w:val="28"/>
          <w:szCs w:val="28"/>
          <w:rtl w:val="true"/>
          <w:lang w:bidi="fa-IR"/>
        </w:rPr>
        <w:t>.</w:t>
      </w:r>
      <w:r>
        <w:rPr>
          <w:rStyle w:val="FootnoteAnchor"/>
          <w:rtl w:val="true"/>
        </w:rPr>
        <w:footnoteReference w:id="29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منکر را نیز به دو قسم حرام و مکروه تقسیم نموده اند و در نتیجه، نهی از حرام را واجب و نهی از مکروه را مستحب دانسته اند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اما شیخ طوسی و عده دیگری از متکلمان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منکر، این تقسیم را پذیرا نیست، بلکه نهی از منکر، </w:t>
      </w:r>
      <w:bookmarkStart w:id="211" w:name="pg14387_143679"/>
    </w:p>
    <w:p>
      <w:pPr>
        <w:pStyle w:val="BookText"/>
        <w:rPr/>
      </w:pPr>
      <w:bookmarkEnd w:id="211"/>
      <w:r>
        <w:rPr>
          <w:rFonts w:ascii="IRNazanin" w:hAnsi="IRNazanin" w:eastAsia="IRNazanin"/>
          <w:color w:val="111111"/>
          <w:sz w:val="28"/>
          <w:sz w:val="28"/>
          <w:szCs w:val="28"/>
          <w:rtl w:val="true"/>
          <w:lang w:bidi="fa-IR"/>
        </w:rPr>
        <w:t>در تمام موارد، واجب است؛ چون منکر در همه جا اتصاف به زشتی دارد</w:t>
      </w:r>
      <w:r>
        <w:rPr>
          <w:rStyle w:val="FootnoteAnchor"/>
          <w:rtl w:val="true"/>
        </w:rPr>
        <w:footnoteReference w:id="293"/>
      </w:r>
      <w:r>
        <w:rPr>
          <w:rFonts w:ascii="IRNazanin" w:hAnsi="IRNazanin" w:eastAsia="IRNazanin"/>
          <w:color w:val="111111"/>
          <w:sz w:val="28"/>
          <w:sz w:val="28"/>
          <w:szCs w:val="28"/>
          <w:rtl w:val="true"/>
          <w:lang w:bidi="fa-IR"/>
        </w:rPr>
        <w:t xml:space="preserve">و به گفته عبدالجبار، منکر، یا عقلی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کردن و دروغ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شرعی و شرعی، یا اجتهادپذیر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و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اجتهادپذیر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صورت اول، نهی واجب است و در صورت سوم، بستگی به نظر مجتهد دارد و اگر منکر بداند، نهی از آن، واجب خواهد بود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بنابراین، نهی از منکر در تمام موارد،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الطایفه در این باره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معروف، به واجب و مستحب تقسیم می شود، امر به آن مانند خود معروف، به آن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گردد؛ زیرا امر به یک چیز، شدیدتر و افزونتر از خود آن 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از منکر، به صورت کلی، واجب است؛ به دلیل این که منکر، تمامش قبیح و زشت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روشن است که مقصود از منکر مورد بحث، چیزی است که حرام باشد، و گرنه نهی از مکروه، واجب نیست و این که بعضی، معروف را به واجب و منکر را به حرام تفسیر نموده اند، گواه بر این مطلب است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یا از باب این که مکروه، منکر نیست</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و یا به جهت این که مورد نزاع نیست و بحث، مربوط به نهی از حرام است و بس</w:t>
      </w:r>
      <w:r>
        <w:rPr>
          <w:rFonts w:eastAsia="IRNazanin" w:cs="IRNazanin"/>
          <w:color w:val="111111"/>
          <w:sz w:val="28"/>
          <w:szCs w:val="28"/>
          <w:rtl w:val="true"/>
          <w:lang w:bidi="fa-IR"/>
        </w:rPr>
        <w:t>!</w:t>
      </w:r>
    </w:p>
    <w:p>
      <w:pPr>
        <w:pStyle w:val="Heading5"/>
        <w:numPr>
          <w:ilvl w:val="4"/>
          <w:numId w:val="1"/>
        </w:numPr>
        <w:rPr/>
      </w:pPr>
      <w:bookmarkStart w:id="212" w:name="__RefHeading___Toc7812244_3381743652"/>
      <w:bookmarkStart w:id="213" w:name="_Toc81"/>
      <w:bookmarkEnd w:id="212"/>
      <w:r>
        <w:rPr>
          <w:rtl w:val="true"/>
        </w:rPr>
        <w:t>ب</w:t>
      </w:r>
      <w:r>
        <w:rPr>
          <w:rtl w:val="true"/>
        </w:rPr>
        <w:t xml:space="preserve">) </w:t>
      </w:r>
      <w:r>
        <w:rPr>
          <w:rtl w:val="true"/>
        </w:rPr>
        <w:t xml:space="preserve">تقسیم امر به معروف و نهی از منکر به اعتبار مجری </w:t>
      </w:r>
      <w:r>
        <w:rPr>
          <w:rtl w:val="true"/>
        </w:rPr>
        <w:t>.</w:t>
      </w:r>
      <w:bookmarkEnd w:id="213"/>
    </w:p>
    <w:p>
      <w:pPr>
        <w:pStyle w:val="BookText"/>
        <w:rPr/>
      </w:pPr>
      <w:r>
        <w:rPr>
          <w:rFonts w:ascii="IRNazanin" w:hAnsi="IRNazanin" w:eastAsia="IRNazanin"/>
          <w:color w:val="111111"/>
          <w:sz w:val="28"/>
          <w:sz w:val="28"/>
          <w:szCs w:val="28"/>
          <w:rtl w:val="true"/>
          <w:lang w:bidi="fa-IR"/>
        </w:rPr>
        <w:t>امر به معروف و نهی از منکر، به اعتبار مرحله اجرای آن، دو صورت دارد؛ زیرا معروف و منکر، یا از اموری است که اجرا و اقامه آن، جز به وسیله رهبران و داعیه داران حکومت امکان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 الهی و حفظ اسلام و سد مرزها، و یا از اموری است که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مردم و مسلمانان، توانایی اقدام به آن را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و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w:t>
      </w:r>
      <w:bookmarkStart w:id="214" w:name="pg14387_143680"/>
    </w:p>
    <w:p>
      <w:pPr>
        <w:pStyle w:val="BookText"/>
        <w:rPr/>
      </w:pPr>
      <w:bookmarkEnd w:id="214"/>
      <w:r>
        <w:rPr>
          <w:rFonts w:ascii="IRNazanin" w:hAnsi="IRNazanin" w:eastAsia="IRNazanin"/>
          <w:color w:val="111111"/>
          <w:sz w:val="28"/>
          <w:sz w:val="28"/>
          <w:szCs w:val="28"/>
          <w:rtl w:val="true"/>
          <w:lang w:bidi="fa-IR"/>
        </w:rPr>
        <w:t>حال، اگر امام و رهبری باشد که اطاعتش واجب باشد، رجوع به او بهتر است</w:t>
      </w:r>
      <w:r>
        <w:rPr>
          <w:rFonts w:eastAsia="IRNazanin" w:cs="IRNazanin"/>
          <w:color w:val="111111"/>
          <w:sz w:val="28"/>
          <w:szCs w:val="28"/>
          <w:rtl w:val="true"/>
          <w:lang w:bidi="fa-IR"/>
        </w:rPr>
        <w:t>.</w:t>
      </w:r>
      <w:r>
        <w:rPr>
          <w:rStyle w:val="FootnoteAnchor"/>
          <w:rtl w:val="true"/>
        </w:rPr>
        <w:footnoteReference w:id="298"/>
      </w:r>
    </w:p>
    <w:p>
      <w:pPr>
        <w:pStyle w:val="Heading5"/>
        <w:numPr>
          <w:ilvl w:val="4"/>
          <w:numId w:val="1"/>
        </w:numPr>
        <w:rPr/>
      </w:pPr>
      <w:bookmarkStart w:id="215" w:name="__RefHeading___Toc7812246_3381743652"/>
      <w:bookmarkStart w:id="216" w:name="_Toc82"/>
      <w:bookmarkEnd w:id="215"/>
      <w:r>
        <w:rPr>
          <w:rtl w:val="true"/>
        </w:rPr>
        <w:t>ج</w:t>
      </w:r>
      <w:r>
        <w:rPr>
          <w:rtl w:val="true"/>
        </w:rPr>
        <w:t xml:space="preserve">) </w:t>
      </w:r>
      <w:r>
        <w:rPr>
          <w:rtl w:val="true"/>
        </w:rPr>
        <w:t>تقسیم امر به معروف و نهی از منکر، به اعتبار مراتب</w:t>
      </w:r>
      <w:bookmarkEnd w:id="216"/>
    </w:p>
    <w:p>
      <w:pPr>
        <w:pStyle w:val="BookText"/>
        <w:rPr/>
      </w:pPr>
      <w:r>
        <w:rPr>
          <w:rFonts w:ascii="IRNazanin" w:hAnsi="IRNazanin" w:eastAsia="IRNazanin"/>
          <w:color w:val="111111"/>
          <w:sz w:val="28"/>
          <w:sz w:val="28"/>
          <w:szCs w:val="28"/>
          <w:rtl w:val="true"/>
          <w:lang w:bidi="fa-IR"/>
        </w:rPr>
        <w:t>متکلمان، از جمله شیخ طوسی به امر و نهی را به اعتبار مراتب، به سه قسم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 گفتاری و زبانی؛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 قلبی؛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عملی؛ زیرا در انجام آن دو، گاهی به گفتار زبانی و میل و عدم میل قلبی بسنده می گردد، ولی گاهی گفتار زبانی و تغییرات قلبی تنها کافی نیست، بلکه نیاز به شدت و اقدام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وجوب امر به معروف و نهی از منکر قلبی، نزاعی نیست، لکن درباره اقدام در جایی که انجام آن دو، اقدام عملی و غلظت در عمل را بطلبد،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طایفه ای از اشاعره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امام و سلطان است و نیاز به اذن دارد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طایفه معتزله به استثنای اصم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امر به معروف و نهی از منکر، به هر شکل که مقدور باشد، واجب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سید مرتضی</w:t>
      </w:r>
      <w:r>
        <w:rPr>
          <w:rStyle w:val="FootnoteAnchor"/>
          <w:rtl w:val="true"/>
        </w:rPr>
        <w:footnoteReference w:id="301"/>
      </w:r>
      <w:r>
        <w:rPr>
          <w:rFonts w:ascii="IRNazanin" w:hAnsi="IRNazanin" w:eastAsia="IRNazanin"/>
          <w:color w:val="111111"/>
          <w:sz w:val="28"/>
          <w:sz w:val="28"/>
          <w:szCs w:val="28"/>
          <w:rtl w:val="true"/>
          <w:lang w:bidi="fa-IR"/>
        </w:rPr>
        <w:t>و شیخ طوسی با نظر اخیر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 باره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آن سه مورد، مقدور و ممکن باشد، همه موارد، واجب است و اگر همه موارد، مقدور نبود، انجام آن دو با دست، واجب است و اگر آن هم ممکن نبود، واجب است که امر و نهی را به وسیله زبان و دل انجام دهد و اگر این هم امکان نداشت، به تمایل و عدم تمایل قلبی اکتفا می گردد</w:t>
      </w:r>
      <w:r>
        <w:rPr>
          <w:rFonts w:eastAsia="IRNazanin" w:cs="IRNazanin"/>
          <w:color w:val="111111"/>
          <w:sz w:val="28"/>
          <w:szCs w:val="28"/>
          <w:rtl w:val="true"/>
          <w:lang w:bidi="fa-IR"/>
        </w:rPr>
        <w:t>.</w:t>
      </w:r>
      <w:r>
        <w:rPr>
          <w:rStyle w:val="FootnoteAnchor"/>
          <w:rtl w:val="true"/>
        </w:rPr>
        <w:footnoteReference w:id="302"/>
      </w:r>
    </w:p>
    <w:p>
      <w:pPr>
        <w:pStyle w:val="Heading4"/>
        <w:numPr>
          <w:ilvl w:val="3"/>
          <w:numId w:val="1"/>
        </w:numPr>
        <w:rPr/>
      </w:pPr>
      <w:bookmarkStart w:id="217" w:name="__RefHeading___Toc7812248_3381743652"/>
      <w:bookmarkStart w:id="218" w:name="_Toc83"/>
      <w:bookmarkEnd w:id="217"/>
      <w:r>
        <w:rPr>
          <w:rtl w:val="true"/>
        </w:rPr>
        <w:t>د</w:t>
      </w:r>
      <w:r>
        <w:rPr>
          <w:rtl w:val="true"/>
        </w:rPr>
        <w:t xml:space="preserve">) </w:t>
      </w:r>
      <w:r>
        <w:rPr>
          <w:rtl w:val="true"/>
        </w:rPr>
        <w:t>تقسیم امر به معروف و نهی از منکر، به اعتبار متعلق</w:t>
      </w:r>
      <w:bookmarkEnd w:id="21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بدین اعتبار، سه قسم است</w:t>
      </w:r>
      <w:r>
        <w:rPr>
          <w:rFonts w:eastAsia="IRNazanin" w:cs="IRNazanin"/>
          <w:color w:val="111111"/>
          <w:sz w:val="28"/>
          <w:szCs w:val="28"/>
          <w:rtl w:val="true"/>
          <w:lang w:bidi="fa-IR"/>
        </w:rPr>
        <w:t xml:space="preserve">: </w:t>
      </w:r>
      <w:bookmarkStart w:id="219" w:name="pg14387_143681"/>
    </w:p>
    <w:p>
      <w:pPr>
        <w:pStyle w:val="BookText"/>
        <w:rPr/>
      </w:pPr>
      <w:bookmarkEnd w:id="219"/>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مربوط به حقوق پروردگار متعال است، که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تکلیف جمعی است؛ مانند نماز جمعه و یا فردی است؛ مانند تکلیفهای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متعلق به حقوق آدمیان است، که آن حقوق، یا عام است و یا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میان خداوند و انسان، مشترک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همکفوها و ملزم بودن زنها به رعایت احکام عدد در عدد زنانه</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نهی از منکر نیز بدین اعتبار،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متعلق به حقوق پروردگار است و آن هم یا در عبادات است و یا در محظورات و یا مربوط به معاملات و داد و ستدها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مربوط به حقوق آدمی است؛ مانند تعدی به حق همسایه و یا حریم خانه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مربوط به حقوق مشترک میان خداوند و آدمی است؛ مانند منع از اشراف بر منازل مردم</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ناگفته نماند که تقسیمات امر به معروف و نهی از منکر را بدین جهت بیان کردیم که گستردگی این قانون را نشان دهیم؛ تا این توهم که امر به معروف و نهی از منکر، منحصر به واجبات و محرمات مصطلح فقهی است، از بین برود و ضرورت آن، بیشتر درک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ادعا کرد که خیلی از نزاعها به درک و عدم درک همین مطلب بر می گردد</w:t>
      </w:r>
      <w:r>
        <w:rPr>
          <w:rFonts w:eastAsia="IRNazanin" w:cs="IRNazanin"/>
          <w:color w:val="111111"/>
          <w:sz w:val="28"/>
          <w:szCs w:val="28"/>
          <w:rtl w:val="true"/>
          <w:lang w:bidi="fa-IR"/>
        </w:rPr>
        <w:t>.</w:t>
      </w:r>
    </w:p>
    <w:p>
      <w:pPr>
        <w:pStyle w:val="Heading4"/>
        <w:numPr>
          <w:ilvl w:val="3"/>
          <w:numId w:val="1"/>
        </w:numPr>
        <w:rPr/>
      </w:pPr>
      <w:bookmarkStart w:id="220" w:name="__RefHeading___Toc7812250_3381743652"/>
      <w:bookmarkStart w:id="221" w:name="_Toc84"/>
      <w:bookmarkEnd w:id="220"/>
      <w:r>
        <w:rPr>
          <w:rtl w:val="true"/>
        </w:rPr>
        <w:t>امر به معروف و نهی از منکر، واجب عقلی یا شرعی؟</w:t>
      </w:r>
      <w:bookmarkEnd w:id="221"/>
    </w:p>
    <w:p>
      <w:pPr>
        <w:pStyle w:val="Heading5"/>
        <w:numPr>
          <w:ilvl w:val="4"/>
          <w:numId w:val="1"/>
        </w:numPr>
        <w:rPr/>
      </w:pPr>
      <w:bookmarkStart w:id="222" w:name="__RefHeading___Toc7812252_3381743652"/>
      <w:bookmarkStart w:id="223" w:name="_Toc85"/>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برای اثبات وجوب امر به معروف و نهی از منکر، دو دیدگاه وجود 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و اکثر معتزله و امامیه، وجوب آن دو را شرعی می دانند و معتقدند که عقل را در این باب، راهی نیست، و تنها برخی از آنان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آن دو، موجب ضرر باشد، وجوب آن دو، عقلی خواهد بود؛ به دلیل وجوب دفع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بعضی چون سید مرتضی، به صورت کلی این مورد را استثنا نموده اند</w:t>
      </w:r>
      <w:r>
        <w:rPr>
          <w:rStyle w:val="FootnoteAnchor"/>
          <w:rtl w:val="true"/>
        </w:rPr>
        <w:footnoteReference w:id="305"/>
      </w:r>
      <w:r>
        <w:rPr>
          <w:rFonts w:ascii="IRNazanin" w:hAnsi="IRNazanin" w:eastAsia="IRNazanin"/>
          <w:color w:val="111111"/>
          <w:sz w:val="28"/>
          <w:sz w:val="28"/>
          <w:szCs w:val="28"/>
          <w:rtl w:val="true"/>
          <w:lang w:bidi="fa-IR"/>
        </w:rPr>
        <w:t xml:space="preserve">و کسانی دیگر؛ همچون عبدالجبار معتزلی و ابیهاشم معتزلی، این مورد را اختصاص داده اند به جایی </w:t>
      </w:r>
    </w:p>
    <w:p>
      <w:pPr>
        <w:pStyle w:val="BookText"/>
        <w:rPr/>
      </w:pPr>
      <w:r>
        <w:rPr>
          <w:rFonts w:ascii="IRNazanin" w:hAnsi="IRNazanin" w:eastAsia="IRNazanin"/>
          <w:color w:val="111111"/>
          <w:sz w:val="28"/>
          <w:sz w:val="28"/>
          <w:szCs w:val="28"/>
          <w:rtl w:val="true"/>
          <w:lang w:bidi="fa-IR"/>
        </w:rPr>
        <w:t>که ترک آن دو، سبب حزن گردد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وجوب آن دو را عقلی دانسته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شرعی، مؤید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اگر چه در آغاز، نظر اول را پسندیده است، ولی عقل را نادیده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باره، نوعی تزلزل در کلام شیخ دیده می شود؛ زیرا در مواردی گفته است که در عقل، چیزی که بر وجوب امر به معروف و نهی از منکر دلالت نماید، وجود ندارد و همچنین گفته است که جمهور متکلمان، فقها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 است که وجوب آن دو را به غیر از دو مورد زیر، شرعی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مدافعه؛ یعنی در موردی که ضرر از انسان به وسیله امر به معروف و نهی از منکر، دفع گردد که در چنین صورتی، امر و نهی از دید عقل، واجب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منکر؛ شیخ در این باره دو گونه سخن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خوش نداشتن منکر از دید عقل، واجب است؛ جز این که دلیل نقلی بر وجوب آن دلالت دارد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در جای دیگری فراتر رفته و تصریح نموده است که نهی از منکر، وجوب عقلی دارد؛ به دلیل لطفی که در آن وجود دارد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بنابراین، زدودن منکر به وسیله امور پسندیده به اندازه توان، بر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ما توان محو منکر را داشتیم، حق نداریم گناهکار را آزاد بگذاریم که با انجام گناه، اشاعه منکر بنماید؛ خواه آن گناه، از امور اعتقادی و قلبی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مذاهب فاسد، یا از کارهای اعضا و جوارح</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شاید منشأ این سخن شیخ، وجه استدلال ابوعلی معتزلی در وجوب عقلی امر به معروف و نهی از منکر باشد؛ چنان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امتناع از منکر بر انسان واجب است، منع از آن نیز واجب است؛ زیرا عقل، تفاوتی میان آن دو نمی بیند</w:t>
      </w:r>
      <w:r>
        <w:rPr>
          <w:rFonts w:eastAsia="IRNazanin" w:cs="IRNazanin"/>
          <w:color w:val="111111"/>
          <w:sz w:val="28"/>
          <w:szCs w:val="28"/>
          <w:rtl w:val="true"/>
          <w:lang w:bidi="fa-IR"/>
        </w:rPr>
        <w:t>.</w:t>
      </w:r>
      <w:r>
        <w:rPr>
          <w:rStyle w:val="FootnoteAnchor"/>
          <w:rtl w:val="true"/>
        </w:rPr>
        <w:footnoteReference w:id="31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شیخ نهی از منکر را از دید عقل، واجب دانسته، در حالی که در مورد </w:t>
      </w:r>
      <w:bookmarkStart w:id="224" w:name="pg14387_143683"/>
    </w:p>
    <w:p>
      <w:pPr>
        <w:pStyle w:val="BookText"/>
        <w:rPr/>
      </w:pPr>
      <w:bookmarkEnd w:id="224"/>
      <w:r>
        <w:rPr>
          <w:rFonts w:ascii="IRNazanin" w:hAnsi="IRNazanin" w:eastAsia="IRNazanin"/>
          <w:color w:val="111111"/>
          <w:sz w:val="28"/>
          <w:sz w:val="28"/>
          <w:szCs w:val="28"/>
          <w:rtl w:val="true"/>
          <w:lang w:bidi="fa-IR"/>
        </w:rPr>
        <w:t>دیگر، از این نیز فراتر رفته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هر دو از دید عقل، واجب است؛ به دلیل لطفی که در آن دو وجود دارد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پس با توجه به همه اظهارات شیخ، می توان چنین نتیجه گرفت که او معتقد است که شرع و عقل، هر دو بر واجب بودن امر به معروف و نهی از منکر، دلالت دارد</w:t>
      </w:r>
      <w:r>
        <w:rPr>
          <w:rFonts w:eastAsia="IRNazanin" w:cs="IRNazanin"/>
          <w:color w:val="111111"/>
          <w:sz w:val="28"/>
          <w:szCs w:val="28"/>
          <w:rtl w:val="true"/>
          <w:lang w:bidi="fa-IR"/>
        </w:rPr>
        <w:t>.</w:t>
      </w:r>
    </w:p>
    <w:p>
      <w:pPr>
        <w:pStyle w:val="Heading5"/>
        <w:numPr>
          <w:ilvl w:val="4"/>
          <w:numId w:val="1"/>
        </w:numPr>
        <w:rPr/>
      </w:pPr>
      <w:bookmarkStart w:id="225" w:name="__RefHeading___Toc7812254_3381743652"/>
      <w:bookmarkStart w:id="226" w:name="_Toc86"/>
      <w:bookmarkEnd w:id="225"/>
      <w:r>
        <w:rPr>
          <w:rtl w:val="true"/>
        </w:rPr>
        <w:t>ادله قائلان به وجوب شرعی امر به معروف و نهی از منکر</w:t>
      </w:r>
      <w:bookmarkEnd w:id="226"/>
    </w:p>
    <w:p>
      <w:pPr>
        <w:pStyle w:val="BookText"/>
        <w:rPr/>
      </w:pPr>
      <w:r>
        <w:rPr>
          <w:rFonts w:ascii="IRNazanin" w:hAnsi="IRNazanin" w:eastAsia="IRNazanin"/>
          <w:color w:val="111111"/>
          <w:sz w:val="28"/>
          <w:sz w:val="28"/>
          <w:szCs w:val="28"/>
          <w:rtl w:val="true"/>
          <w:lang w:bidi="fa-IR"/>
        </w:rPr>
        <w:t>دلیل واجب بودن امر به معروف و نهی از منکر از طریق شریعت، آیات قرآنی، روایات متواتر و اجماع امت اسلامی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أمة یدعون إلی الخیر ویأمرون بالمعروف وینهون عن المنکر</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 تأمرون بالمعروف وتنهون عن المنکر وتؤمنون بالله</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 که مردم به معروف، امر و از منکر، نهی و به نیکی و تقوا، همدیگر را یاری بنمایند، زندگیشان به خوبی سپری خواهد شد، اما زمانی که این فریضه را ترک نمایند، برکات از آنها برداشته می شود و بعضی از آنان بر بعضی دیگر تسلط می یابند و برای آنها یاوری در زمین و آسمان نخواهد بود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امر به معروف و نهی از منکر را به دل و زبان و دست ترک نماید، چون مردهای میان زندگان است</w:t>
      </w:r>
      <w:r>
        <w:rPr>
          <w:rFonts w:eastAsia="IRNazanin" w:cs="IRNazanin"/>
          <w:color w:val="111111"/>
          <w:sz w:val="28"/>
          <w:szCs w:val="28"/>
          <w:rtl w:val="true"/>
          <w:lang w:bidi="fa-IR"/>
        </w:rPr>
        <w:t>.</w:t>
      </w:r>
      <w:r>
        <w:rPr>
          <w:rStyle w:val="FootnoteAnchor"/>
          <w:rtl w:val="true"/>
        </w:rPr>
        <w:footnoteReference w:id="31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ذکر شد، در اصل وجوب آن دو، همه مسلمانان متفقند</w:t>
      </w:r>
      <w:r>
        <w:rPr>
          <w:rFonts w:eastAsia="IRNazanin" w:cs="IRNazanin"/>
          <w:color w:val="111111"/>
          <w:sz w:val="28"/>
          <w:szCs w:val="28"/>
          <w:rtl w:val="true"/>
          <w:lang w:bidi="fa-IR"/>
        </w:rPr>
        <w:t>.</w:t>
      </w:r>
      <w:r>
        <w:rPr>
          <w:rStyle w:val="FootnoteAnchor"/>
          <w:rtl w:val="true"/>
        </w:rPr>
        <w:footnoteReference w:id="318"/>
      </w:r>
      <w:bookmarkStart w:id="227" w:name="pg14387_143684"/>
    </w:p>
    <w:p>
      <w:pPr>
        <w:pStyle w:val="BookText"/>
        <w:rPr/>
      </w:pPr>
      <w:bookmarkEnd w:id="227"/>
      <w:r>
        <w:rPr>
          <w:rFonts w:ascii="IRNazanin" w:hAnsi="IRNazanin" w:eastAsia="IRNazanin"/>
          <w:color w:val="111111"/>
          <w:sz w:val="28"/>
          <w:sz w:val="28"/>
          <w:szCs w:val="28"/>
          <w:rtl w:val="true"/>
          <w:lang w:bidi="fa-IR"/>
        </w:rPr>
        <w:t>اما عقل را در این باب، راهی نیست؛ چون حکم عقل به وجوب آن دو، یا از باب جلب منفعت است و یا از باب دفع ضرر، لکن عقل جلب منفعت را واجب نمی داند، پس حکم عقل از این جهت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دفع ضرر نیز نمی تواند حکم به وجوب آن دو بنماید؛</w:t>
      </w:r>
      <w:r>
        <w:rPr>
          <w:rStyle w:val="FootnoteAnchor"/>
          <w:rtl w:val="true"/>
        </w:rPr>
        <w:footnoteReference w:id="319"/>
      </w:r>
      <w:r>
        <w:rPr>
          <w:rFonts w:ascii="IRNazanin" w:hAnsi="IRNazanin" w:eastAsia="IRNazanin"/>
          <w:color w:val="111111"/>
          <w:sz w:val="28"/>
          <w:sz w:val="28"/>
          <w:szCs w:val="28"/>
          <w:rtl w:val="true"/>
          <w:lang w:bidi="fa-IR"/>
        </w:rPr>
        <w:t>زیرا اگر عقل به هر وجهی از وجوه، حکم به وجوب بنماید، بر خداوند نیز واجب خواهد بود؛ به دلیل این که حکم عقل، عام و تخصیص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اگر خدا آن واجب را انجام داده باشد، باید هیچ معروفی ضایع و هیچ منکری واقع نمی شد، در حالی که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انجام نداده باشد، اخلال به واجب نموده که از حکمت باری تعالی به دور است</w:t>
      </w:r>
      <w:r>
        <w:rPr>
          <w:rFonts w:eastAsia="IRNazanin" w:cs="IRNazanin"/>
          <w:color w:val="111111"/>
          <w:sz w:val="28"/>
          <w:szCs w:val="28"/>
          <w:rtl w:val="true"/>
          <w:lang w:bidi="fa-IR"/>
        </w:rPr>
        <w:t>.</w:t>
      </w:r>
      <w:r>
        <w:rPr>
          <w:rStyle w:val="FootnoteAnchor"/>
          <w:rtl w:val="true"/>
        </w:rPr>
        <w:footnoteReference w:id="320"/>
      </w:r>
    </w:p>
    <w:p>
      <w:pPr>
        <w:pStyle w:val="Heading5"/>
        <w:numPr>
          <w:ilvl w:val="4"/>
          <w:numId w:val="1"/>
        </w:numPr>
        <w:rPr/>
      </w:pPr>
      <w:bookmarkStart w:id="228" w:name="__RefHeading___Toc7812256_3381743652"/>
      <w:bookmarkStart w:id="229" w:name="_Toc87"/>
      <w:bookmarkEnd w:id="228"/>
      <w:r>
        <w:rPr>
          <w:rtl w:val="true"/>
        </w:rPr>
        <w:t>ادله قائلان به وجوب عقلی امر به معروف و نهی از منکر</w:t>
      </w:r>
      <w:bookmarkEnd w:id="229"/>
    </w:p>
    <w:p>
      <w:pPr>
        <w:pStyle w:val="BookText"/>
        <w:rPr/>
      </w:pPr>
      <w:r>
        <w:rPr>
          <w:rFonts w:ascii="IRNazanin" w:hAnsi="IRNazanin" w:eastAsia="IRNazanin"/>
          <w:color w:val="111111"/>
          <w:sz w:val="28"/>
          <w:sz w:val="28"/>
          <w:szCs w:val="28"/>
          <w:rtl w:val="true"/>
          <w:lang w:bidi="fa-IR"/>
        </w:rPr>
        <w:t>کسانی که وجوب آن دو را علاوه بر نقل، از طریق عقل دانسته اند، به وجوه زیر استدلال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امر پسندیده و منکر، امر زشت و ناپسند است و نفس انسانی، بالطبع به امور پسندیده متمایل و از امور زشت، نفرت دارد و به حکم عاقل بودن، دوست دارد که دیگران را به انجام کارهای نیک ترغیب نموده، از ارتکاب زشتیها باز دارد تا کارهای نیک</w:t>
      </w:r>
    </w:p>
    <w:p>
      <w:pPr>
        <w:pStyle w:val="BookText"/>
        <w:rPr/>
      </w:pPr>
      <w:r>
        <w:rPr>
          <w:rFonts w:ascii="IRNazanin" w:hAnsi="IRNazanin" w:eastAsia="IRNazanin"/>
          <w:color w:val="111111"/>
          <w:sz w:val="28"/>
          <w:sz w:val="28"/>
          <w:szCs w:val="28"/>
          <w:rtl w:val="true"/>
          <w:lang w:bidi="fa-IR"/>
        </w:rPr>
        <w:t>گسترش یابد و زشتیها برچیده گردد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اگر کسی این وظیفه را انجام ندهد، لازمه اش آن است که به خوبیها تمایل نداشته باشد و از بدیها روی گردان نباشد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بلکه به عکس، به انجام دادن بدیها رضایت داشته باشد و اگر چنین نباشد، دیگران چنین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بر خلاف فرض پیشین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پس فرمان دادن به خوبیها و بازداشتن از بدیها، از دید عقل، ضروری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بر وجوب عقلی امر به معروف و نهی از منکر که شیخ طوسی نیز به آن استدلال نموده،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در عرف متکلمان، چنان که شیخ بیان نموده، عبارت است از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مکلف را به انجام دادن واجب دعوت نماید و از ارتکاب کار </w:t>
      </w:r>
      <w:bookmarkStart w:id="230" w:name="pg14387_143685"/>
    </w:p>
    <w:p>
      <w:pPr>
        <w:pStyle w:val="BookText"/>
        <w:rPr/>
      </w:pPr>
      <w:bookmarkEnd w:id="230"/>
      <w:r>
        <w:rPr>
          <w:rFonts w:ascii="IRNazanin" w:hAnsi="IRNazanin" w:eastAsia="IRNazanin"/>
          <w:color w:val="111111"/>
          <w:sz w:val="28"/>
          <w:sz w:val="28"/>
          <w:szCs w:val="28"/>
          <w:rtl w:val="true"/>
          <w:lang w:bidi="fa-IR"/>
        </w:rPr>
        <w:t>زشت،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مرتبه لطف، آن است که انسان به فرمانبرداری از خداوند متعال و رعایت مصالح و ترک گناهان و مفاسد، سوق داده شود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رعایت هر چیزی که دارای مصلحت دینی باشد و سبب رسیدن به کمالات معنوی و مانع از سقوط در فساد و جهالت گردد، بر هر خردمند حکیم،بخصوص بر خداوند که حکیم مطلق است، ضروری می باشد، وگر نه، نقض غرض می شود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بعد از بیان این مقدمات، به این نتیجه می 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رعایت اصلح که موجب سعادت و رسیدن به کمال معنوی می شود، بر خردمند حکیم،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نظرم قوی می رسد، این است که امر به معروف و نهی از منکر، از دید عقل، واجب است و صرف دانستن ثواب و عقاب در لطف، کافی نیست، و گر نه ریاست امام نیز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 و نهی از منکر، عقلی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عبدالجبار معتزلی، جریان لطف را در این باب می پذیرد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این وجه، می تواند دلیل بر وجوب عقلی امر به معروف و نهی از منکر باشد، جز این که ما آن دو را فقط از طریق شریعت می شناسیم؛ چون در توان عقل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ما را به واجب دعوت نموده و از قبیح باز میدارد</w:t>
      </w:r>
      <w:r>
        <w:rPr>
          <w:rFonts w:eastAsia="IRNazanin" w:cs="IRNazanin"/>
          <w:color w:val="111111"/>
          <w:sz w:val="28"/>
          <w:szCs w:val="28"/>
          <w:rtl w:val="true"/>
          <w:lang w:bidi="fa-IR"/>
        </w:rPr>
        <w:t>.</w:t>
      </w:r>
      <w:r>
        <w:rPr>
          <w:rStyle w:val="FootnoteAnchor"/>
          <w:rtl w:val="true"/>
        </w:rPr>
        <w:footnoteReference w:id="327"/>
      </w:r>
    </w:p>
    <w:p>
      <w:pPr>
        <w:pStyle w:val="Heading4"/>
        <w:numPr>
          <w:ilvl w:val="3"/>
          <w:numId w:val="1"/>
        </w:numPr>
        <w:rPr/>
      </w:pPr>
      <w:bookmarkStart w:id="231" w:name="__RefHeading___Toc7812258_3381743652"/>
      <w:bookmarkStart w:id="232" w:name="_Toc88"/>
      <w:bookmarkEnd w:id="231"/>
      <w:r>
        <w:rPr>
          <w:rtl w:val="true"/>
        </w:rPr>
        <w:t>امر به معروف و نهی از منکر، واجب کفایی یا عینی؟</w:t>
      </w:r>
      <w:bookmarkEnd w:id="232"/>
    </w:p>
    <w:p>
      <w:pPr>
        <w:pStyle w:val="Heading5"/>
        <w:numPr>
          <w:ilvl w:val="4"/>
          <w:numId w:val="1"/>
        </w:numPr>
        <w:rPr/>
      </w:pPr>
      <w:bookmarkStart w:id="233" w:name="__RefHeading___Toc7812260_3381743652"/>
      <w:bookmarkStart w:id="234" w:name="_Toc89"/>
      <w:bookmarkEnd w:id="233"/>
      <w:r>
        <w:rPr>
          <w:rtl w:val="true"/>
        </w:rPr>
        <w:t>اشاره</w:t>
      </w:r>
      <w:bookmarkEnd w:id="23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نوع وجوب امر به معروف و نهی از منکر،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دو را واجب کفایی</w:t>
      </w:r>
      <w:r>
        <w:rPr>
          <w:rStyle w:val="FootnoteAnchor"/>
          <w:rtl w:val="true"/>
        </w:rPr>
        <w:footnoteReference w:id="328"/>
      </w:r>
      <w:r>
        <w:rPr>
          <w:rFonts w:ascii="IRNazanin" w:hAnsi="IRNazanin" w:eastAsia="IRNazanin"/>
          <w:color w:val="111111"/>
          <w:sz w:val="28"/>
          <w:sz w:val="28"/>
          <w:szCs w:val="28"/>
          <w:rtl w:val="true"/>
          <w:lang w:bidi="fa-IR"/>
        </w:rPr>
        <w:t>و برخی دیگر، واجب عینی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است که وجوب آن دو را عینی می داند؛ چنان که او خود، بعد از ذکر اختلاف مذکور، فرموده است</w:t>
      </w:r>
      <w:r>
        <w:rPr>
          <w:rFonts w:eastAsia="IRNazanin" w:cs="IRNazanin"/>
          <w:color w:val="111111"/>
          <w:sz w:val="28"/>
          <w:szCs w:val="28"/>
          <w:rtl w:val="true"/>
          <w:lang w:bidi="fa-IR"/>
        </w:rPr>
        <w:t xml:space="preserve">: </w:t>
      </w:r>
      <w:bookmarkStart w:id="235" w:name="pg14387_143686"/>
    </w:p>
    <w:p>
      <w:pPr>
        <w:pStyle w:val="BookText"/>
        <w:rPr/>
      </w:pPr>
      <w:bookmarkEnd w:id="235"/>
      <w:r>
        <w:rPr>
          <w:rFonts w:ascii="IRNazanin" w:hAnsi="IRNazanin" w:eastAsia="IRNazanin"/>
          <w:color w:val="111111"/>
          <w:sz w:val="28"/>
          <w:sz w:val="28"/>
          <w:szCs w:val="28"/>
          <w:rtl w:val="true"/>
          <w:lang w:bidi="fa-IR"/>
        </w:rPr>
        <w:t>اکثریت را باور آن است که آن دو از واجبهای کفایی است که با اقدام عده ای به انجام آن دو، تکلیف از دیگران ساقط می گردد، لکن عدهای آن دو را واجب عینی دانسته اند که با فراهم بودن شرایط، عینی بودن آن دو، به نظر من درست است؛ چون عمومیت</w:t>
      </w:r>
    </w:p>
    <w:p>
      <w:pPr>
        <w:pStyle w:val="BookText"/>
        <w:rPr/>
      </w:pPr>
      <w:r>
        <w:rPr>
          <w:rFonts w:ascii="IRNazanin" w:hAnsi="IRNazanin" w:eastAsia="IRNazanin"/>
          <w:color w:val="111111"/>
          <w:sz w:val="28"/>
          <w:sz w:val="28"/>
          <w:szCs w:val="28"/>
          <w:rtl w:val="true"/>
          <w:lang w:bidi="fa-IR"/>
        </w:rPr>
        <w:t>آیات قرآنی و روایات، اقتضای عینی بودن را دارد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بنابراین، در انجام امر به معروف و نهی از منکر، هر فردی وظیفه دارد که خود اقدام نماید و به اقدام دیگری بسنده ننماید</w:t>
      </w:r>
      <w:r>
        <w:rPr>
          <w:rFonts w:eastAsia="IRNazanin" w:cs="IRNazanin"/>
          <w:color w:val="111111"/>
          <w:sz w:val="28"/>
          <w:szCs w:val="28"/>
          <w:rtl w:val="true"/>
          <w:lang w:bidi="fa-IR"/>
        </w:rPr>
        <w:t>.</w:t>
      </w:r>
    </w:p>
    <w:p>
      <w:pPr>
        <w:pStyle w:val="Heading5"/>
        <w:numPr>
          <w:ilvl w:val="4"/>
          <w:numId w:val="1"/>
        </w:numPr>
        <w:rPr/>
      </w:pPr>
      <w:bookmarkStart w:id="236" w:name="__RefHeading___Toc7812262_3381743652"/>
      <w:bookmarkStart w:id="237" w:name="_Toc90"/>
      <w:bookmarkEnd w:id="236"/>
      <w:r>
        <w:rPr>
          <w:rtl w:val="true"/>
        </w:rPr>
        <w:t>دلیل عینی بودن</w:t>
      </w:r>
      <w:bookmarkEnd w:id="237"/>
    </w:p>
    <w:p>
      <w:pPr>
        <w:pStyle w:val="BookText"/>
        <w:rPr/>
      </w:pPr>
      <w:r>
        <w:rPr>
          <w:rFonts w:ascii="IRNazanin" w:hAnsi="IRNazanin" w:eastAsia="IRNazanin"/>
          <w:color w:val="111111"/>
          <w:sz w:val="28"/>
          <w:sz w:val="28"/>
          <w:szCs w:val="28"/>
          <w:rtl w:val="true"/>
          <w:lang w:bidi="fa-IR"/>
        </w:rPr>
        <w:t>شیخ طوسی برای اثبات نظر خویش، به همگانی بودن آیات و روایات امر به معروف و نهی از منکر استدلال نموده است؛ زیرا آیات و روایات مذکور، انجام آن دو را به گروه خاصی اختصاص نداده است، بلکه به عنوان یک وظیفه عمومی بیان شده؛</w:t>
      </w:r>
      <w:r>
        <w:rPr>
          <w:rStyle w:val="FootnoteAnchor"/>
          <w:rtl w:val="true"/>
        </w:rPr>
        <w:footnoteReference w:id="330"/>
      </w:r>
      <w:r>
        <w:rPr>
          <w:rFonts w:ascii="IRNazanin" w:hAnsi="IRNazanin" w:eastAsia="IRNazanin"/>
          <w:color w:val="111111"/>
          <w:sz w:val="28"/>
          <w:sz w:val="28"/>
          <w:szCs w:val="28"/>
          <w:rtl w:val="true"/>
          <w:lang w:bidi="fa-IR"/>
        </w:rPr>
        <w:t>مانند آیات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أمة یدعون إلی الخیر ویأمرون بالمعروف وینهون عن المنکر</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تبیین است، نه برای تبعیض؛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تا مخاطبها را از میان سایر اجناس جدا نماید؛ همان طور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و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جمیعکم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به معروف و نهی از منکر، یک وظیفه عمومی عینی است که با اقدام عده ای، ساقط نمی شود</w:t>
      </w:r>
      <w:r>
        <w:rPr>
          <w:rFonts w:eastAsia="IRNazanin" w:cs="IRNazanin"/>
          <w:color w:val="111111"/>
          <w:sz w:val="28"/>
          <w:szCs w:val="28"/>
          <w:rtl w:val="true"/>
          <w:lang w:bidi="fa-IR"/>
        </w:rPr>
        <w:t>.</w:t>
      </w:r>
      <w:r>
        <w:rPr>
          <w:rStyle w:val="FootnoteAnchor"/>
          <w:rtl w:val="true"/>
        </w:rPr>
        <w:footnoteReference w:id="33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و المؤمنات بعضهم أولیاء بعض یأمرون بالمعروف وینهون عن المنکر</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شیخ در ضمن تفسیر این آیه،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بر عینی بودن امر به معروف و نهی از منکر دارد؛ زیرا خداوند متعال، آن دو را از صفات مؤمنان قرار داده است، بدون این که آن را به دسته خاصی اختصاص بدهد</w:t>
      </w:r>
      <w:r>
        <w:rPr>
          <w:rFonts w:eastAsia="IRNazanin" w:cs="IRNazanin"/>
          <w:color w:val="111111"/>
          <w:sz w:val="28"/>
          <w:szCs w:val="28"/>
          <w:rtl w:val="true"/>
          <w:lang w:bidi="fa-IR"/>
        </w:rPr>
        <w:t>.</w:t>
      </w:r>
      <w:r>
        <w:rPr>
          <w:rStyle w:val="FootnoteAnchor"/>
          <w:rtl w:val="true"/>
        </w:rPr>
        <w:footnoteReference w:id="334"/>
      </w:r>
      <w:bookmarkStart w:id="238" w:name="pg14387_143687"/>
    </w:p>
    <w:p>
      <w:pPr>
        <w:pStyle w:val="BookText"/>
        <w:rPr/>
      </w:pPr>
      <w:bookmarkEnd w:id="238"/>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 تأمرون بالمعروف وتنهون عن المنکر</w:t>
      </w:r>
      <w:r>
        <w:rPr>
          <w:rFonts w:eastAsia="IRNazanin" w:cs="IRNazanin"/>
          <w:color w:val="111111"/>
          <w:sz w:val="28"/>
          <w:szCs w:val="28"/>
          <w:rtl w:val="true"/>
          <w:lang w:bidi="fa-IR"/>
        </w:rPr>
        <w:t>»</w:t>
      </w:r>
      <w:r>
        <w:rPr>
          <w:rStyle w:val="FootnoteAnchor"/>
          <w:rtl w:val="true"/>
        </w:rPr>
        <w:footnoteReference w:id="335"/>
      </w:r>
    </w:p>
    <w:p>
      <w:pPr>
        <w:pStyle w:val="Heading5"/>
        <w:numPr>
          <w:ilvl w:val="4"/>
          <w:numId w:val="1"/>
        </w:numPr>
        <w:rPr/>
      </w:pPr>
      <w:bookmarkStart w:id="239" w:name="__RefHeading___Toc7812264_3381743652"/>
      <w:bookmarkStart w:id="240" w:name="_Toc91"/>
      <w:bookmarkEnd w:id="239"/>
      <w:r>
        <w:rPr>
          <w:rtl w:val="true"/>
        </w:rPr>
        <w:t>دلیل کفایی بودن</w:t>
      </w:r>
      <w:bookmarkEnd w:id="240"/>
    </w:p>
    <w:p>
      <w:pPr>
        <w:pStyle w:val="BookText"/>
        <w:rPr/>
      </w:pPr>
      <w:r>
        <w:rPr>
          <w:rFonts w:ascii="IRNazanin" w:hAnsi="IRNazanin" w:eastAsia="IRNazanin"/>
          <w:color w:val="111111"/>
          <w:sz w:val="28"/>
          <w:sz w:val="28"/>
          <w:szCs w:val="28"/>
          <w:rtl w:val="true"/>
          <w:lang w:bidi="fa-IR"/>
        </w:rPr>
        <w:t>کسانی که امر به معروف و نهی از منکر را واجب کفایی می دانند، به دو دلیل زیر استدلال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 منکم أمة یدعون إلی الخیر و یأمرون بالمعروف وینهون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میان شما دسته ای باشد که به نیکی دعوت نموده، امر به معروف و نهی از منکر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هم، علما هستند؛ زیرا شرط آن دو، علم به معروف و منکر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 که ذکر شد، این دلیل، از نظر شیخ،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امر به معروف و نهی از منکر، این است که معروف، واقع شود و منکر، زایل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غرض به سبب اقدام بعضی حاصل گردد، از دیگران ساقط می گردد، و گر نه، تحصیل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به معروف و نهی از منکر، واجب کفایی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برخی مدعی شده اند که نزاع بین دو طرف، شبیه نزاع لفظی است؛ زیرا طرفداران وجوب عینی امر به معروف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امر بر همه واجب است، با اقدام مؤثر فردی، از سایرین ساقط می شود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انصاف آن است که این نزاع، لفظی نیست، بلکه حقیقی است و برای این که دچار قضاوت نادرست نگردیم، باید گستره امر به معروف و نهی از منکر را بشناسیم</w:t>
      </w:r>
      <w:r>
        <w:rPr>
          <w:rFonts w:eastAsia="IRNazanin" w:cs="IRNazanin"/>
          <w:color w:val="111111"/>
          <w:sz w:val="28"/>
          <w:szCs w:val="28"/>
          <w:rtl w:val="true"/>
          <w:lang w:bidi="fa-IR"/>
        </w:rPr>
        <w:t>.</w:t>
      </w:r>
    </w:p>
    <w:p>
      <w:pPr>
        <w:pStyle w:val="Heading4"/>
        <w:numPr>
          <w:ilvl w:val="3"/>
          <w:numId w:val="1"/>
        </w:numPr>
        <w:rPr/>
      </w:pPr>
      <w:bookmarkStart w:id="241" w:name="__RefHeading___Toc7812266_3381743652"/>
      <w:bookmarkStart w:id="242" w:name="_Toc92"/>
      <w:bookmarkEnd w:id="241"/>
      <w:r>
        <w:rPr>
          <w:rtl w:val="true"/>
        </w:rPr>
        <w:t>قلمرو امر به معروف و نهی از منکر</w:t>
      </w:r>
      <w:bookmarkEnd w:id="24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دامنه امر به معروف و نهی از منکر، خیلی وسیع است، حتی جامعه حیوانات را نیز شامل می شود؛ چنان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مشغول عبادت بود و </w:t>
      </w:r>
      <w:bookmarkStart w:id="243" w:name="pg14387_143688"/>
    </w:p>
    <w:p>
      <w:pPr>
        <w:pStyle w:val="BookText"/>
        <w:rPr/>
      </w:pPr>
      <w:bookmarkEnd w:id="243"/>
      <w:r>
        <w:rPr>
          <w:rFonts w:ascii="IRNazanin" w:hAnsi="IRNazanin" w:eastAsia="IRNazanin"/>
          <w:color w:val="111111"/>
          <w:sz w:val="28"/>
          <w:sz w:val="28"/>
          <w:szCs w:val="28"/>
          <w:rtl w:val="true"/>
          <w:lang w:bidi="fa-IR"/>
        </w:rPr>
        <w:t>چند کودک، مشغول اذیت کردن و کندن پرهای خروسی بودند، آن عابد، اعتنا نکرد و همچنان به عبادت ادامه داد و خداوند به زمین دستور داد که آن عابد را فرو برد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اما نسبت به جامعه انسانی، به تعبیر برخی از دانشمندان مسلمان، دارای سه سطح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عموم امت اسلامی؛ به گونه ای که هر فردی از مسلمانان، در حد توان خویش، دیگری را امر به معروف و نهی از 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وظیفه عینی و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همین امت مسلمان؛ لکن نه به صورت عمومی، بلکه گروه ویژهای لازم است برای این کار، خود را آماده کنند و مقدمات و شرایط لازم را برای اقدام خویش، فرا بگیرند و احکام را برای توده مردم بیان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این گروه، نمی تواند نظارت ملی و وظیفه عمومی مردم را از بین ببرد، بلکه مسلمانان همچنان باید نظارت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در سطح جهانی؛ که قطعا برای این کار، نیاز به تشکیل گروه مخصوصی از امت اسلامی با تجهیزات و شرایط لازم است</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که در آینده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داشتن چنین گروهی با تجهیزات و مقدمات لازم، بر مسلمانان ضروری است؛ زیرا دین اسلام ادعای جهانی و جاوید بودن این مکتب را دارد</w:t>
      </w:r>
      <w:r>
        <w:rPr>
          <w:rFonts w:eastAsia="IRNazanin" w:cs="IRNazanin"/>
          <w:color w:val="111111"/>
          <w:sz w:val="28"/>
          <w:szCs w:val="28"/>
          <w:rtl w:val="true"/>
          <w:lang w:bidi="fa-IR"/>
        </w:rPr>
        <w:t>.</w:t>
      </w:r>
    </w:p>
    <w:p>
      <w:pPr>
        <w:pStyle w:val="Heading4"/>
        <w:numPr>
          <w:ilvl w:val="3"/>
          <w:numId w:val="1"/>
        </w:numPr>
        <w:rPr/>
      </w:pPr>
      <w:bookmarkStart w:id="244" w:name="__RefHeading___Toc7812268_3381743652"/>
      <w:bookmarkStart w:id="245" w:name="_Toc93"/>
      <w:bookmarkEnd w:id="244"/>
      <w:r>
        <w:rPr>
          <w:rtl w:val="true"/>
        </w:rPr>
        <w:t>جامعه و نقش امر به معروف و نهی از منکر</w:t>
      </w:r>
      <w:bookmarkEnd w:id="245"/>
    </w:p>
    <w:p>
      <w:pPr>
        <w:pStyle w:val="Heading5"/>
        <w:numPr>
          <w:ilvl w:val="4"/>
          <w:numId w:val="1"/>
        </w:numPr>
        <w:rPr/>
      </w:pPr>
      <w:bookmarkStart w:id="246" w:name="__RefHeading___Toc7812270_3381743652"/>
      <w:bookmarkStart w:id="247" w:name="_Toc94"/>
      <w:bookmarkEnd w:id="246"/>
      <w:r>
        <w:rPr>
          <w:rtl w:val="true"/>
        </w:rPr>
        <w:t>اشاره</w:t>
      </w:r>
      <w:bookmarkEnd w:id="24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ظرافت کاربرد و جایگاه امر به معروف و نهی از منکر را در دین دریافته و به این نتیجه رسیده بود که باید واجب عینی باشد، و گر نه امت اسلامی متحمل خسارات غیرقابل جبرانی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شیخ طوسی در این باره به تفصیل نپرداخته، برای تبیین و دقت نظر ایشان، لازم به نظر می رسد که مطالبی در این بخش از نوشتار، عنوان گردد</w:t>
      </w:r>
      <w:r>
        <w:rPr>
          <w:rFonts w:eastAsia="IRNazanin" w:cs="IRNazanin"/>
          <w:color w:val="111111"/>
          <w:sz w:val="28"/>
          <w:szCs w:val="28"/>
          <w:rtl w:val="true"/>
          <w:lang w:bidi="fa-IR"/>
        </w:rPr>
        <w:t xml:space="preserve">. </w:t>
      </w:r>
      <w:bookmarkStart w:id="248" w:name="pg14387_143689"/>
    </w:p>
    <w:p>
      <w:pPr>
        <w:pStyle w:val="Heading5"/>
        <w:numPr>
          <w:ilvl w:val="4"/>
          <w:numId w:val="1"/>
        </w:numPr>
        <w:rPr/>
      </w:pPr>
      <w:bookmarkStart w:id="249" w:name="__RefHeading___Toc7812272_3381743652"/>
      <w:bookmarkStart w:id="250" w:name="_Toc95"/>
      <w:bookmarkEnd w:id="248"/>
      <w:bookmarkEnd w:id="249"/>
      <w:r>
        <w:rPr>
          <w:rtl w:val="true"/>
        </w:rPr>
        <w:t>امر به معروف و نهی از منکر، ملاک دینداری</w:t>
      </w:r>
      <w:bookmarkEnd w:id="250"/>
    </w:p>
    <w:p>
      <w:pPr>
        <w:pStyle w:val="BookText"/>
        <w:rPr/>
      </w:pPr>
      <w:r>
        <w:rPr>
          <w:rFonts w:ascii="IRNazanin" w:hAnsi="IRNazanin" w:eastAsia="IRNazanin"/>
          <w:color w:val="111111"/>
          <w:sz w:val="28"/>
          <w:sz w:val="28"/>
          <w:szCs w:val="28"/>
          <w:rtl w:val="true"/>
          <w:lang w:bidi="fa-IR"/>
        </w:rPr>
        <w:t>روایاتی که ملاک دینداری را انجام امر به معروف و نهی از منکر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بودن وجوب آن دو را تقویت می کند؛ زیرا کسانی اهل دین و از امت اسلامی دانسته شده اند که آن دو وظیفه را انجام دهند، و گر نه از امت اسلامی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ابوعمرو زبیری نقل نموده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معنای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أمة یدعون إلی الخیر و یأمرون بالمعروف وینهون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 تکفیر اهل قبله گناهکار دلالت دارد؛ چون کسانی که دعوت به خیر و امر به معروف و نهی از منکر نمی کنند، از امت وصف شده در این آیه نیستند، در حالی که شما گمان دارید که تمام مسلمانان، از امت حضرت محمد الا هستند؛ با این که این آیه مبارکه، آشکارا بیان نموده است که امت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خیر و نیکی؛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امر به معروف؛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او چنین صفاتی نباشد، چگونه از امت است؟ با این که خصایصی را که خداوند، برای امت شرط کرده و امت را به آن وصف نموده، ندارد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انصافا اگر هر مسلمانی خود را ملزم به انجام این دو وظیفه دانسته، موارد آن را بشناسد، بدون تردید، نیکیها گسترش یافته، زشتیها از میان جامعه برچیده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کسانی که دین خداوند را با امر نمودن به معروف و نهی کردن از منکر، مراعات نمیکنند</w:t>
      </w:r>
      <w:r>
        <w:rPr>
          <w:rFonts w:eastAsia="IRNazanin" w:cs="IRNazanin"/>
          <w:color w:val="111111"/>
          <w:sz w:val="28"/>
          <w:szCs w:val="28"/>
          <w:rtl w:val="true"/>
          <w:lang w:bidi="fa-IR"/>
        </w:rPr>
        <w:t>.</w:t>
      </w:r>
      <w:r>
        <w:rPr>
          <w:rStyle w:val="FootnoteAnchor"/>
          <w:rtl w:val="true"/>
        </w:rPr>
        <w:footnoteReference w:id="34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حدیث، هشدار به کسانی است که در انجام این دو وظیفه، بی اعتنایند و با بهانه هایی، تنها به امور شخصی خویش می پردازند و از اوضاع امت اسلامی،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پرسش در ذهن انسان ایجاد گردد که چه نیازی به امر به معروف و نهی از منکر هست که این همه به آن دو بها داده می شود؛ با این که هر کسی، فردای قیامت، حساب و کتابش جداست؟ برای پاسخ این سؤال، ناگزیر مطلب بعدی را عنوان می کنیم</w:t>
      </w:r>
      <w:r>
        <w:rPr>
          <w:rFonts w:eastAsia="IRNazanin" w:cs="IRNazanin"/>
          <w:color w:val="111111"/>
          <w:sz w:val="28"/>
          <w:szCs w:val="28"/>
          <w:rtl w:val="true"/>
          <w:lang w:bidi="fa-IR"/>
        </w:rPr>
        <w:t xml:space="preserve">. </w:t>
      </w:r>
      <w:bookmarkStart w:id="251" w:name="pg14387_143690"/>
    </w:p>
    <w:p>
      <w:pPr>
        <w:pStyle w:val="Heading5"/>
        <w:numPr>
          <w:ilvl w:val="4"/>
          <w:numId w:val="1"/>
        </w:numPr>
        <w:rPr/>
      </w:pPr>
      <w:bookmarkStart w:id="252" w:name="__RefHeading___Toc7812274_3381743652"/>
      <w:bookmarkStart w:id="253" w:name="_Toc96"/>
      <w:bookmarkEnd w:id="251"/>
      <w:bookmarkEnd w:id="252"/>
      <w:r>
        <w:rPr>
          <w:rtl w:val="true"/>
        </w:rPr>
        <w:t>نیاز جامعه به امر به معروف و نهی از منکر</w:t>
      </w:r>
      <w:bookmarkEnd w:id="253"/>
    </w:p>
    <w:p>
      <w:pPr>
        <w:pStyle w:val="BookText"/>
        <w:rPr/>
      </w:pPr>
      <w:r>
        <w:rPr>
          <w:rFonts w:ascii="IRNazanin" w:hAnsi="IRNazanin" w:eastAsia="IRNazanin"/>
          <w:color w:val="111111"/>
          <w:sz w:val="28"/>
          <w:sz w:val="28"/>
          <w:szCs w:val="28"/>
          <w:rtl w:val="true"/>
          <w:lang w:bidi="fa-IR"/>
        </w:rPr>
        <w:t>ناگفته پیداست که انسان، موجودی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هم رعایت قوانین خاصی را می طلبد تا حیات بشری مختل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نوع انسان، موجودی تغییرپذیر است و فرهنگ حاکم بر جامعه، او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انسانی در برابر انسان دیگر و در قبال جامعه خویش، دارای مسؤولیت اجتماعی است</w:t>
      </w:r>
      <w:r>
        <w:rPr>
          <w:rStyle w:val="FootnoteAnchor"/>
          <w:rtl w:val="true"/>
        </w:rPr>
        <w:footnoteReference w:id="342"/>
      </w:r>
      <w:r>
        <w:rPr>
          <w:rFonts w:ascii="IRNazanin" w:hAnsi="IRNazanin" w:eastAsia="IRNazanin"/>
          <w:color w:val="111111"/>
          <w:sz w:val="28"/>
          <w:sz w:val="28"/>
          <w:szCs w:val="28"/>
          <w:rtl w:val="true"/>
          <w:lang w:bidi="fa-IR"/>
        </w:rPr>
        <w:t>و برای اصلاح و سعادت خود و دیگران، وظیفه دارد که تلاش لازم را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نیز از این قاعده بیرون نیست، بلکه مسلمانان، پیکری واحدند که صدمه دیدن بعضی از آنان، سایرین را آرام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مبارزه با آفات اجتماعی و اصلاح آن، یک وظیفه اجتناب ناپذیر است</w:t>
      </w:r>
      <w:r>
        <w:rPr>
          <w:rStyle w:val="FootnoteAnchor"/>
          <w:rtl w:val="true"/>
        </w:rPr>
        <w:footnoteReference w:id="343"/>
      </w:r>
      <w:r>
        <w:rPr>
          <w:rFonts w:ascii="IRNazanin" w:hAnsi="IRNazanin" w:eastAsia="IRNazanin"/>
          <w:color w:val="111111"/>
          <w:sz w:val="28"/>
          <w:sz w:val="28"/>
          <w:szCs w:val="28"/>
          <w:rtl w:val="true"/>
          <w:lang w:bidi="fa-IR"/>
        </w:rPr>
        <w:t>که انجام آن، جز با اجرای امر به معروف و نهی از منکر، میسور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اقدام به این دو وظیفه، با بیان دو نکته زیر بهتر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اعضای یک پیکرند؛ همان طور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دوستی و مهرورزی نسبت به یکدیگر، چون پیکری واحدند؛ هر گاه که عضوی از آن به درد آید، سایر اعضا با بیدار خوابی و تب کردن، آن عضو را همراهی خواهند کرد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بر همین مبناست که 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اعضای یکدیگرند</w:t>
      </w:r>
    </w:p>
    <w:p>
      <w:pPr>
        <w:pStyle w:val="BookText"/>
        <w:rPr/>
      </w:pP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چو عضوی به درد آورد روزگار</w:t>
      </w:r>
    </w:p>
    <w:p>
      <w:pPr>
        <w:pStyle w:val="BookText"/>
        <w:rPr/>
      </w:pP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تو کز محنت دیگران بی غمی</w:t>
      </w:r>
    </w:p>
    <w:p>
      <w:pPr>
        <w:pStyle w:val="BookText"/>
        <w:rPr/>
      </w:pPr>
      <w:r>
        <w:rPr>
          <w:rFonts w:ascii="IRNazanin" w:hAnsi="IRNazanin" w:eastAsia="IRNazanin"/>
          <w:color w:val="111111"/>
          <w:sz w:val="28"/>
          <w:sz w:val="28"/>
          <w:szCs w:val="28"/>
          <w:rtl w:val="true"/>
          <w:lang w:bidi="fa-IR"/>
        </w:rPr>
        <w:t>نشاید که نامت نهند آدمی</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نسبت به یکدیگر، چون سد محکمی هستند که از همدیگر محافظت می نمایند</w:t>
      </w:r>
      <w:r>
        <w:rPr>
          <w:rFonts w:eastAsia="IRNazanin" w:cs="IRNazanin"/>
          <w:color w:val="111111"/>
          <w:sz w:val="28"/>
          <w:szCs w:val="28"/>
          <w:rtl w:val="true"/>
          <w:lang w:bidi="fa-IR"/>
        </w:rPr>
        <w:t>.»</w:t>
      </w:r>
      <w:r>
        <w:rPr>
          <w:rStyle w:val="FootnoteAnchor"/>
          <w:rtl w:val="true"/>
        </w:rPr>
        <w:footnoteReference w:id="34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اجتماعی بودن بشر و تغییرپذیری او و با عنایت به گفتار سرور کاینات، بر هر مسلمانی لازم است که از گسترش منکر و زشتی جلوگیری نماید؛ زیرا مسلمان </w:t>
      </w:r>
    </w:p>
    <w:p>
      <w:pPr>
        <w:pStyle w:val="BookText"/>
        <w:rPr/>
      </w:pPr>
      <w:r>
        <w:rPr>
          <w:rFonts w:ascii="IRNazanin" w:hAnsi="IRNazanin" w:eastAsia="IRNazanin"/>
          <w:color w:val="111111"/>
          <w:sz w:val="28"/>
          <w:sz w:val="28"/>
          <w:szCs w:val="28"/>
          <w:rtl w:val="true"/>
          <w:lang w:bidi="fa-IR"/>
        </w:rPr>
        <w:t>راستین، تحمل این مرض مسری را ندارد و برای درمان و بهداشت جامعه اسلامی، پرچم معروف را به اهتزاز در آورده، آن را گسترش می دهد؛ چون امت اسلامی، پیکر واحدی است که منشأ حیات آن در تمام شؤون زندگانی، توجه به پروردگار یگانه است که عامل وحدت آن پیکر، چنگ زدن به ریسمان الهی است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همگانی بودن امر به معروف و نهی از منکر را نفی می کنند، روا می دانند که مسلمان، جاهل باشد و بد و خوب و معروف و منکر را از هم تمیز ندهد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امور مسلمانان، واجب است و دلیل اثبات این مطلب، کلام صریح پیامبران است 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شب را به روز برساند در حالی که به امور مسلمانان اهمیت نمی دهد، مسلمان نیست و هر کسی هم که صدای فردی را می شنود که مسلمانان را به یاری می طلبد، ولی پاسخ نمی دهد، مسلمان نیست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نکات زیر، از این روایت شریف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امور مسلمانان و داشتن دغدغه آن امور، در هر حالی بر هر مسلمانی لازم و ضروری است؛ یعنی همان طور که یک مسلمان به امور شخصی خویش بها می دهد و برای اصلاح آن می کوشد، نسبت به مسائل مسلمانان نیز باید این گونه باشد و حق ندارد به بهانه این که دیگران هستند، از اوضاع مسلمانان غافل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لزوم اهتمام، یک تکلیف عینی است؛ زیرا پیامبر اکرم تا همه افراد امت را مورد خطاب قرار داده و غافلان را از زمره مسلمانی، بیرون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در جای خود ثابت شده است که اصل در تکلیف، نفسی و عینی و مطلق بودن آن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اهتمام به امور مسلمانها، فراگیر است و مرزهای منطقه ای و ملی نمی شناسد؛ چون همه افراد مسلمان، بدنه یک پیکرند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مبارک پیامبر نیز هیچ گونه قید و مرزی جز مسلمانی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به مسائل مسلمانان در هر</w:t>
      </w:r>
      <w:bookmarkStart w:id="254" w:name="pg14387_143692"/>
    </w:p>
    <w:p>
      <w:pPr>
        <w:pStyle w:val="BookText"/>
        <w:rPr/>
      </w:pPr>
      <w:bookmarkEnd w:id="254"/>
      <w:r>
        <w:rPr>
          <w:rFonts w:ascii="IRNazanin" w:hAnsi="IRNazanin" w:eastAsia="IRNazanin"/>
          <w:color w:val="111111"/>
          <w:sz w:val="28"/>
          <w:sz w:val="28"/>
          <w:szCs w:val="28"/>
          <w:rtl w:val="true"/>
          <w:lang w:bidi="fa-IR"/>
        </w:rPr>
        <w:t>منطقه ای و از هر ملتی که باشند، بر فرد فرد مسلمان،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عمل نمودن به این وظیفه، لزوم به دست آوردن معلومات درست را از اوضاع مسلمانان در هر نقطه ای از نقاط کره خاکی که باشند، به دنبال دارد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طبیعی است که تحصیل چنین امری، بدون تشکیل حکومت و پایه گذاری مراکزی جهت کسب اطلاع از اوضاع فرهنگی، اقتصادی،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هر منطقه ای که مسلمانان در آن زندگی می کنند، امکان ندارد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با توجه به این مطلب، چگونه یک فرد مسلمان می تواند ساکت بنشیند و از گسترش منکر جلوگیری نکند و خود را موظف نداند که در برابر منکرات و امراض اجتماعی، بی تفاوت نباشد، در حالی که آن امراض، دامن او را نیز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جامعه همچون کشتی ای در میان اقیانوس مواج و متلاطم است که اگر بعضی از مسافران آن، اقدام به تخریب و سوراخ نمودن کشتی کنند و دیگران او را از این کار، منع نکنند کشتی و همه مسافران آن، غرق خواهند شد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بنابراین، برای مبارزه با منکر، باید همه افراد جامعه اسلامی، آماده باشند و قلمرو آن را بشناسند؛ زیرا آثار فراوانی را به ارمغان خواهد آورد که ما فهرستی از آن آثار را در قسمت بعدی ارائه خواهیم نمود</w:t>
      </w:r>
      <w:r>
        <w:rPr>
          <w:rFonts w:eastAsia="IRNazanin" w:cs="IRNazanin"/>
          <w:color w:val="111111"/>
          <w:sz w:val="28"/>
          <w:szCs w:val="28"/>
          <w:rtl w:val="true"/>
          <w:lang w:bidi="fa-IR"/>
        </w:rPr>
        <w:t>.</w:t>
      </w:r>
    </w:p>
    <w:p>
      <w:pPr>
        <w:pStyle w:val="Heading5"/>
        <w:numPr>
          <w:ilvl w:val="4"/>
          <w:numId w:val="1"/>
        </w:numPr>
        <w:rPr/>
      </w:pPr>
      <w:bookmarkStart w:id="255" w:name="__RefHeading___Toc7812276_3381743652"/>
      <w:bookmarkStart w:id="256" w:name="_Toc97"/>
      <w:bookmarkEnd w:id="255"/>
      <w:r>
        <w:rPr>
          <w:rtl w:val="true"/>
        </w:rPr>
        <w:t>آثار امر به معروف و نهی از منکر</w:t>
      </w:r>
      <w:bookmarkEnd w:id="25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انسان هوشمند، هیچ گاه کاری را بدون هدف، دنبال نمی کند، بلکه در آغاز برای کارهای خویش، هدفی ترسیم نموده، نتایج مثبتی را برای آن در نظر میگیرد و آنگاه برای رسیدن به آن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که سرچشمه آن، بارگاه با عظمت قدسی است و قوانین آن بر اساس مصالح و مفاسد، استوار است، به طریق اولی، آثار و پیامدهای یک امر را لحاظ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یکی از همان قوانین می باشد که انجام آن، آثار مثبت و </w:t>
      </w:r>
    </w:p>
    <w:p>
      <w:pPr>
        <w:pStyle w:val="BookText"/>
        <w:rPr/>
      </w:pPr>
      <w:r>
        <w:rPr>
          <w:rFonts w:ascii="IRNazanin" w:hAnsi="IRNazanin" w:eastAsia="IRNazanin"/>
          <w:color w:val="111111"/>
          <w:sz w:val="28"/>
          <w:sz w:val="28"/>
          <w:szCs w:val="28"/>
          <w:rtl w:val="true"/>
          <w:lang w:bidi="fa-IR"/>
        </w:rPr>
        <w:t>ترک نمودن آن، عواقب خطرناکی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به فرازهایی از کلام معصومین علا اشاره می کنیم</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دعوت به اسلام است؛ همراه با برگرداندن حقوق پایمال شده و گرفتن صدقات و مالیات اسلامی از مجاری درست و صرف آن در مواردی که سزاوار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طریقه پیامبران و منهاج شایستگان است؛ فریضه بزرگی است که به سبب آن، فرایض دیگر، بر پا و راههای دین، امن و درآمدها حلال می گردد و حقوق پایمال شده، برگردانده و زمین، آباد و حق از دشمنان گرفته شده و امر دین، اصلاح می شود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با توجه به متن این دو حدیث و احادیث دیگر در این باب، آثار امر به معروف و نهی از منکر را با عناوین زیر می توان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امنیت در تمام زوایا و گستره زندگی اجتماعی و انفرادی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امور فرهنگی و اجتماعی و امور عمرانی و اقتصادی؛ یعنی حلال شدن درآمدها و مشروعیت مشاغل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و آبادانی کشور و محیط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حقوق پایمال شده افراد و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عادلانه ثروت و بیت المال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مالیات اسلامی و صرف آن در مجاری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مفسدان، ستم پیشگان و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زمینه برای تشکیل حکومت اسلامی و دعوت اسلامی و زدودن موانع دعوت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شدن زمینه اجرای دیگر قوانین اسلامی</w:t>
      </w:r>
      <w:r>
        <w:rPr>
          <w:rFonts w:eastAsia="IRNazanin" w:cs="IRNazanin"/>
          <w:color w:val="111111"/>
          <w:sz w:val="28"/>
          <w:szCs w:val="28"/>
          <w:rtl w:val="true"/>
          <w:lang w:bidi="fa-IR"/>
        </w:rPr>
        <w:t>.</w:t>
      </w:r>
      <w:bookmarkStart w:id="257" w:name="pg14387_143694"/>
    </w:p>
    <w:p>
      <w:pPr>
        <w:pStyle w:val="BookText"/>
        <w:rPr/>
      </w:pPr>
      <w:bookmarkEnd w:id="257"/>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حاکمیت دین در همه سرزمینهای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امور این عالم و تأمین سعادت جهان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محبت میان خالق و مخلوق و افراد جامعه نسبت به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را آگاه نکنم از افرادی که نه از انبیااند و نه از شهدا و در روز قیامت، مردم به جایگاه آنان که از طرف خداوند است و بر منبرهایی از نور قرار دارند، غبطه می خورند؟</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آنها چه کسانند؟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بندگان خدا را محبوب خداوند و خداوند را محبوب بندگانش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را نزد بندگانش محبوب می گردانند، درست، لکن بندگان خداوند را</w:t>
      </w:r>
    </w:p>
    <w:p>
      <w:pPr>
        <w:pStyle w:val="BookText"/>
        <w:rPr/>
      </w:pPr>
      <w:r>
        <w:rPr>
          <w:rFonts w:ascii="IRNazanin" w:hAnsi="IRNazanin" w:eastAsia="IRNazanin"/>
          <w:color w:val="111111"/>
          <w:sz w:val="28"/>
          <w:sz w:val="28"/>
          <w:szCs w:val="28"/>
          <w:rtl w:val="true"/>
          <w:lang w:bidi="fa-IR"/>
        </w:rPr>
        <w:t>چگونه محبوب خدا می نمایند؟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امر میکنند به چیزی که محبوب خداست و نهی می نمایند از چیزی که مورد کراهت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فرمانبرداری نمودند، خداوند، آنان را دوست خواهد داشت</w:t>
      </w:r>
      <w:r>
        <w:rPr>
          <w:rFonts w:eastAsia="IRNazanin" w:cs="IRNazanin"/>
          <w:color w:val="111111"/>
          <w:sz w:val="28"/>
          <w:szCs w:val="28"/>
          <w:rtl w:val="true"/>
          <w:lang w:bidi="fa-IR"/>
        </w:rPr>
        <w:t>.</w:t>
      </w:r>
      <w:r>
        <w:rPr>
          <w:rStyle w:val="FootnoteAnchor"/>
          <w:rtl w:val="true"/>
        </w:rPr>
        <w:footnoteReference w:id="356"/>
      </w:r>
    </w:p>
    <w:p>
      <w:pPr>
        <w:pStyle w:val="Heading5"/>
        <w:numPr>
          <w:ilvl w:val="4"/>
          <w:numId w:val="1"/>
        </w:numPr>
        <w:rPr/>
      </w:pPr>
      <w:bookmarkStart w:id="258" w:name="__RefHeading___Toc7812278_3381743652"/>
      <w:bookmarkStart w:id="259" w:name="_Toc98"/>
      <w:bookmarkEnd w:id="258"/>
      <w:r>
        <w:rPr>
          <w:rtl w:val="true"/>
        </w:rPr>
        <w:t>پیامدهای ترک امر به معروف و نهی از منکر</w:t>
      </w:r>
      <w:bookmarkEnd w:id="259"/>
    </w:p>
    <w:p>
      <w:pPr>
        <w:pStyle w:val="BookText"/>
        <w:rPr/>
      </w:pPr>
      <w:r>
        <w:rPr>
          <w:rFonts w:ascii="IRNazanin" w:hAnsi="IRNazanin" w:eastAsia="IRNazanin"/>
          <w:color w:val="111111"/>
          <w:sz w:val="28"/>
          <w:sz w:val="28"/>
          <w:szCs w:val="28"/>
          <w:rtl w:val="true"/>
          <w:lang w:bidi="fa-IR"/>
        </w:rPr>
        <w:t>اگر این دو وظیفه مقدس ترک گردد و خوبان برای انجام آن، سینه سپر نکنند، جامعه و امت اسلامی، گرفتار مصیبتهای دردناک و جبران ناپذیری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من تا زمانی که امر به معروف و نهی از منکر می نمایند و به کارهای نیک دعوت می کنند، پیوسته در خیر و سعادت به سر می برند، اما هنگامی که این وظایف را انجام ندادند، برکات از آنان گرفته می شود و بعضی از آنان بر بعضی دیگر مسلط خواهند شد و نه در آسمان یاوری خواهند داشت و نه در زمین</w:t>
      </w:r>
      <w:r>
        <w:rPr>
          <w:rStyle w:val="FootnoteAnchor"/>
          <w:rtl w:val="true"/>
        </w:rPr>
        <w:footnoteReference w:id="357"/>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را ترک نکنید که اگر چنین کنید، خداوند، بدانتان را بر شما ولایت میدهد و آنگاه، دعا می کنید، لکن مورد اجابت قرار نمی گیرد</w:t>
      </w:r>
      <w:r>
        <w:rPr>
          <w:rFonts w:eastAsia="IRNazanin" w:cs="IRNazanin"/>
          <w:color w:val="111111"/>
          <w:sz w:val="28"/>
          <w:szCs w:val="28"/>
          <w:rtl w:val="true"/>
          <w:lang w:bidi="fa-IR"/>
        </w:rPr>
        <w:t>.</w:t>
      </w:r>
      <w:r>
        <w:rPr>
          <w:rStyle w:val="FootnoteAnchor"/>
          <w:rtl w:val="true"/>
        </w:rPr>
        <w:footnoteReference w:id="358"/>
      </w:r>
      <w:bookmarkStart w:id="260" w:name="pg14387_143695"/>
    </w:p>
    <w:p>
      <w:pPr>
        <w:pStyle w:val="BookText"/>
        <w:rPr/>
      </w:pPr>
      <w:bookmarkEnd w:id="260"/>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کوچک ما رحم و به بزرگ ما احترام نگذارد و امر به معروف و نهی از منکر ننماید، از ما نیست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با استفاده از قرآن کریم و روایات معصومین عله پیامدهای ترک امر به معروف و نهی از منکر را به صورت زیر می توان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این دو وظیفه، سبب زوال نعمتهای الهی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حاکمیت اشرار می شود؛ زیرا با ترک این دو فریضه، زمینه برای حاکمیت اشرار فراهم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 مورد اجابت قرار نمی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نابودی و اضمحلال جامعه انسانی می شود؛ چنان که قرآن، علت نابودی جوامع گذشته را ترک این دو فریضه دانسته است</w:t>
      </w:r>
      <w:r>
        <w:rPr>
          <w:rFonts w:eastAsia="IRNazanin" w:cs="IRNazanin"/>
          <w:color w:val="111111"/>
          <w:sz w:val="28"/>
          <w:szCs w:val="28"/>
          <w:rtl w:val="true"/>
          <w:lang w:bidi="fa-IR"/>
        </w:rPr>
        <w:t>.</w:t>
      </w:r>
      <w:r>
        <w:rPr>
          <w:rStyle w:val="FootnoteAnchor"/>
          <w:rtl w:val="true"/>
        </w:rPr>
        <w:footnoteReference w:id="360"/>
      </w:r>
    </w:p>
    <w:p>
      <w:pPr>
        <w:pStyle w:val="Heading5"/>
        <w:numPr>
          <w:ilvl w:val="4"/>
          <w:numId w:val="1"/>
        </w:numPr>
        <w:rPr/>
      </w:pPr>
      <w:bookmarkStart w:id="261" w:name="__RefHeading___Toc7812280_3381743652"/>
      <w:bookmarkStart w:id="262" w:name="_Toc99"/>
      <w:bookmarkEnd w:id="261"/>
      <w:r>
        <w:rPr>
          <w:rtl w:val="true"/>
        </w:rPr>
        <w:t>اسباب ترک امر به معروف و نهی از منکر</w:t>
      </w:r>
      <w:bookmarkEnd w:id="262"/>
    </w:p>
    <w:p>
      <w:pPr>
        <w:pStyle w:val="BookText"/>
        <w:rPr/>
      </w:pPr>
      <w:r>
        <w:rPr>
          <w:rFonts w:ascii="IRNazanin" w:hAnsi="IRNazanin" w:eastAsia="IRNazanin"/>
          <w:color w:val="111111"/>
          <w:sz w:val="28"/>
          <w:sz w:val="28"/>
          <w:szCs w:val="28"/>
          <w:rtl w:val="true"/>
          <w:lang w:bidi="fa-IR"/>
        </w:rPr>
        <w:t>علت ترک این وظیفه مهم دینی و انسانی، یکی از امور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نادیده گرفتن معروف و مبارزه نکردن با منکر، طمع رسیدن به قدرت و مقام و یا به دست آوردن شهرت و مال و ثروت است</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طمع موجب می شود که انسان، بصیرت لازم را نداشته باشد و در نتیجه، انجام منکر و ترک معروف، در نظرش ناچیز جلوه نماید؛ بلکه گاهی نیکو نیز به نظر رسد؛ آن زمان است که بشر، گستاخ می گردد و از کنار این مأموریت، به راحتی می گذرد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جاهای لغزش خردها، زیر درخشندگیهای طمعهاست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طمع می برد از رخ سرد، آب</w:t>
      </w:r>
    </w:p>
    <w:p>
      <w:pPr>
        <w:pStyle w:val="BookText"/>
        <w:rPr/>
      </w:pPr>
      <w:r>
        <w:rPr>
          <w:rFonts w:ascii="IRNazanin" w:hAnsi="IRNazanin" w:eastAsia="IRNazanin"/>
          <w:color w:val="111111"/>
          <w:sz w:val="28"/>
          <w:sz w:val="28"/>
          <w:szCs w:val="28"/>
          <w:rtl w:val="true"/>
          <w:lang w:bidi="fa-IR"/>
        </w:rPr>
        <w:t>سیه روی شد تا گرفت آفتاب</w:t>
      </w:r>
    </w:p>
    <w:p>
      <w:pPr>
        <w:pStyle w:val="BookText"/>
        <w:rPr/>
      </w:pPr>
      <w:r>
        <w:rPr>
          <w:rFonts w:ascii="IRNazanin" w:hAnsi="IRNazanin" w:eastAsia="IRNazanin"/>
          <w:color w:val="111111"/>
          <w:sz w:val="28"/>
          <w:sz w:val="28"/>
          <w:szCs w:val="28"/>
          <w:rtl w:val="true"/>
          <w:lang w:bidi="fa-IR"/>
        </w:rPr>
        <w:t>در آرد طمع مرغ و ماهی به بند</w:t>
      </w:r>
    </w:p>
    <w:p>
      <w:pPr>
        <w:pStyle w:val="BookText"/>
        <w:rPr/>
      </w:pPr>
      <w:r>
        <w:rPr>
          <w:rFonts w:ascii="IRNazanin" w:hAnsi="IRNazanin" w:eastAsia="IRNazanin"/>
          <w:color w:val="111111"/>
          <w:sz w:val="28"/>
          <w:sz w:val="28"/>
          <w:szCs w:val="28"/>
          <w:rtl w:val="true"/>
          <w:lang w:bidi="fa-IR"/>
        </w:rPr>
        <w:t>بدوزد شره دیده هوشمند</w:t>
      </w:r>
    </w:p>
    <w:p>
      <w:pPr>
        <w:pStyle w:val="BookText"/>
        <w:rPr/>
      </w:pPr>
      <w:r>
        <w:rPr>
          <w:rFonts w:ascii="IRNazanin" w:hAnsi="IRNazanin" w:eastAsia="IRNazanin"/>
          <w:color w:val="111111"/>
          <w:sz w:val="28"/>
          <w:sz w:val="28"/>
          <w:szCs w:val="28"/>
          <w:rtl w:val="true"/>
          <w:lang w:bidi="fa-IR"/>
        </w:rPr>
        <w:t>بنابراین، برای انجام این وظیفه، بایسته است که ابتدا دندان طمع در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غزالی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طمع آمد، حسبت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مشایخ، عادت داشتی که از قضاب غدد فراستدی برای گربه، یک روز منکری بدید از قصاب، باز خانه شد و گربه را بیرون کرد، آنگاه بر قصاب حسبت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مجدد می خواهی، احتساب نتوانی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 گربه را بیرون کردم، آنگاه به حسبت آمدم</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مرگ و کم شدن رزق و روزی و ترس از ریختن آبرو و هر یک به تنهایی می تواند مرد را حقیر کرده و سبب تن در دادن وی به ذلت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تخشوهم و اخشونی</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اما آن که ترس از غیر خداوند برایش معنی ندارد، نه تنها از مرگ نمی هراسد، بلکه مرگ، یعنی رسیدن به معشوق، یگانه آروزی اوست، چنان که سردار عزت و شرف، حضرت حسین بن علی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مرگ را جز سعادت، و زندگی با ستمکاران را جز ذلت و خواری نمی دانم</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چه در پای ریزی زرش</w:t>
      </w:r>
    </w:p>
    <w:p>
      <w:pPr>
        <w:pStyle w:val="BookText"/>
        <w:rPr/>
      </w:pPr>
      <w:r>
        <w:rPr>
          <w:rFonts w:ascii="IRNazanin" w:hAnsi="IRNazanin" w:eastAsia="IRNazanin"/>
          <w:color w:val="111111"/>
          <w:sz w:val="28"/>
          <w:sz w:val="28"/>
          <w:szCs w:val="28"/>
          <w:rtl w:val="true"/>
          <w:lang w:bidi="fa-IR"/>
        </w:rPr>
        <w:t>چه شمشیر هندی نهی بر سرش</w:t>
      </w:r>
    </w:p>
    <w:p>
      <w:pPr>
        <w:pStyle w:val="BookText"/>
        <w:rPr/>
      </w:pPr>
      <w:r>
        <w:rPr>
          <w:rFonts w:ascii="IRNazanin" w:hAnsi="IRNazanin" w:eastAsia="IRNazanin"/>
          <w:color w:val="111111"/>
          <w:sz w:val="28"/>
          <w:sz w:val="28"/>
          <w:szCs w:val="28"/>
          <w:rtl w:val="true"/>
          <w:lang w:bidi="fa-IR"/>
        </w:rPr>
        <w:t>امید و هراسش نباشد ز کس</w:t>
      </w:r>
    </w:p>
    <w:p>
      <w:pPr>
        <w:pStyle w:val="BookText"/>
        <w:rPr/>
      </w:pPr>
      <w:r>
        <w:rPr>
          <w:rFonts w:ascii="IRNazanin" w:hAnsi="IRNazanin" w:eastAsia="IRNazanin"/>
          <w:color w:val="111111"/>
          <w:sz w:val="28"/>
          <w:sz w:val="28"/>
          <w:szCs w:val="28"/>
          <w:rtl w:val="true"/>
          <w:lang w:bidi="fa-IR"/>
        </w:rPr>
        <w:t>بر این است بنیاد توحید و بس</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چون انسان صالح، خدا را تنها مؤثر می داند و به امید او زنده است و فقط برای رضای او تلاش می کند و 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نادرست از آیات قرآنی؛ مانند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لاتلقوا بأیدیکم إلی التهلکة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درک نکردن مفهوم تقیه، باعث می شود که انسان برای انجام امر به معروف و نهی از منکر، تعلل ورزیده، دنبال بهانه هایی برود تا از زیر بار این فریضه مهم، شانه خالی نماید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نادرست از شرایط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شرایط این دو </w:t>
      </w:r>
      <w:bookmarkStart w:id="263" w:name="pg14387_143697"/>
    </w:p>
    <w:p>
      <w:pPr>
        <w:pStyle w:val="BookText"/>
        <w:rPr/>
      </w:pPr>
      <w:bookmarkEnd w:id="263"/>
      <w:r>
        <w:rPr>
          <w:rFonts w:ascii="IRNazanin" w:hAnsi="IRNazanin" w:eastAsia="IRNazanin"/>
          <w:color w:val="111111"/>
          <w:sz w:val="28"/>
          <w:sz w:val="28"/>
          <w:szCs w:val="28"/>
          <w:rtl w:val="true"/>
          <w:lang w:bidi="fa-IR"/>
        </w:rPr>
        <w:t>فریضه را دقیق بررسی نکرده، با دیدن صحنه ای خاص، فکر می کنند زمینه اقدام به این وظیفه الهی نیست؛ مثلا فکر می کنند که تأثیر ندارد، وظیفه را از یاد برده، به فکر نتیجه می افتند و این خود مانع از گسترش معروف و بازداشتن از منکر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گوشه گیری را از آمیزش با مردم، بهتر دانسته، آن را ترویج می نمایند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انزواطلبی فوایدی چون اندیشیدن و دوری از بسیاری از گناهان را به دنبال دارد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پذیرفتن این تفکر، سبب می گردد که انسان، مسؤولیت اجتماعی خویش را از یاد برده، به فکر اصلاح و سعادت جامعه انسانی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بعضی از انسانهای نادان در انجام این وظیفه و نشناختن زمان و مکان و قوانین جامعه، موجب می گردد که این داروی بیداری جامعه و احیاگر ارزشها، از دیدها بیفتد و ناچیز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هایی که تحت این عناوین صورت گرفته، سبب می شود که این امر مقدس، در میان امت اسلامی، متروک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انسان مسلمان، به حکم مسلمانی، همه معروفها، و منکرها را بشناسد و برای اصلاح امت اسلامی، آماده گردد و آن را نصب العین خود قرار دهد و این امر را یک وظیفه شخصی و عینی خویش بداند</w:t>
      </w:r>
      <w:r>
        <w:rPr>
          <w:rFonts w:eastAsia="IRNazanin" w:cs="IRNazanin"/>
          <w:color w:val="111111"/>
          <w:sz w:val="28"/>
          <w:szCs w:val="28"/>
          <w:rtl w:val="true"/>
          <w:lang w:bidi="fa-IR"/>
        </w:rPr>
        <w:t>.</w:t>
      </w:r>
    </w:p>
    <w:p>
      <w:pPr>
        <w:pStyle w:val="Heading5"/>
        <w:numPr>
          <w:ilvl w:val="4"/>
          <w:numId w:val="1"/>
        </w:numPr>
        <w:rPr/>
      </w:pPr>
      <w:bookmarkStart w:id="264" w:name="__RefHeading___Toc7812282_3381743652"/>
      <w:bookmarkStart w:id="265" w:name="_Toc100"/>
      <w:bookmarkEnd w:id="264"/>
      <w:r>
        <w:rPr>
          <w:rtl w:val="true"/>
        </w:rPr>
        <w:t>تجهیزات لازم برای حضور در جبهه امر به معروف و نهی از منکر</w:t>
      </w:r>
      <w:bookmarkEnd w:id="265"/>
    </w:p>
    <w:p>
      <w:pPr>
        <w:pStyle w:val="BookText"/>
        <w:rPr/>
      </w:pPr>
      <w:r>
        <w:rPr>
          <w:rFonts w:ascii="IRNazanin" w:hAnsi="IRNazanin" w:eastAsia="IRNazanin"/>
          <w:color w:val="111111"/>
          <w:sz w:val="28"/>
          <w:sz w:val="28"/>
          <w:szCs w:val="28"/>
          <w:rtl w:val="true"/>
          <w:lang w:bidi="fa-IR"/>
        </w:rPr>
        <w:t>به دلیل این که امر به معروف و نهی از منکر، گستره وسیعی دارد و محدود به جامعه اسلامی نمی گردد، ضرورت دارد که امت مسلمان، علاوه بر معطر ساختن محیط زندگی خویش با معروف، برای گستراندن آن رایحه دلنواز و زدودن تعقن منکر، در سطح جهان،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خود مستلزم مجهز شدن به اموری است که فهرستی از آن در این جا بیان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کافی به محتوای دعوت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لازم از اوضاع مردم جهان از نظر روحیه و شؤون زندگی و شرایط آن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عوامل و ریشه های علم تاریخ عمومی</w:t>
      </w:r>
      <w:r>
        <w:rPr>
          <w:rFonts w:eastAsia="IRNazanin" w:cs="IRNazanin"/>
          <w:color w:val="111111"/>
          <w:sz w:val="28"/>
          <w:szCs w:val="28"/>
          <w:rtl w:val="true"/>
          <w:lang w:bidi="fa-IR"/>
        </w:rPr>
        <w:t xml:space="preserve">. </w:t>
      </w:r>
      <w:bookmarkStart w:id="266" w:name="pg14387_143698"/>
    </w:p>
    <w:p>
      <w:pPr>
        <w:pStyle w:val="BookText"/>
        <w:rPr/>
      </w:pPr>
      <w:bookmarkEnd w:id="266"/>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جغرافیای عمومی کشورها و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بلکه مهارت کامل در روانشناسی</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علم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جامعه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علوم سیاسی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دانستن زبانهای مختلف ملتهایی که می خواهند، آنها را به اسلام دعوت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دانشهای متداول و معمول ملتهای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داشتن از ادیان و مکتبهای گوناگون</w:t>
      </w:r>
      <w:r>
        <w:rPr>
          <w:rFonts w:eastAsia="IRNazanin" w:cs="IRNazanin"/>
          <w:color w:val="111111"/>
          <w:sz w:val="28"/>
          <w:szCs w:val="28"/>
          <w:rtl w:val="true"/>
          <w:lang w:bidi="fa-IR"/>
        </w:rPr>
        <w:t>.</w:t>
      </w:r>
      <w:r>
        <w:rPr>
          <w:rStyle w:val="FootnoteAnchor"/>
          <w:rtl w:val="true"/>
        </w:rPr>
        <w:footnoteReference w:id="368"/>
      </w:r>
    </w:p>
    <w:p>
      <w:pPr>
        <w:pStyle w:val="Heading5"/>
        <w:numPr>
          <w:ilvl w:val="4"/>
          <w:numId w:val="1"/>
        </w:numPr>
        <w:rPr/>
      </w:pPr>
      <w:bookmarkStart w:id="267" w:name="__RefHeading___Toc7812284_3381743652"/>
      <w:bookmarkStart w:id="268" w:name="_Toc101"/>
      <w:bookmarkEnd w:id="267"/>
      <w:r>
        <w:rPr>
          <w:rtl w:val="true"/>
        </w:rPr>
        <w:t>آیا امر به معروف و نهی از منکر، یک وظیفه همگانی است؟</w:t>
      </w:r>
      <w:bookmarkEnd w:id="268"/>
    </w:p>
    <w:p>
      <w:pPr>
        <w:pStyle w:val="BookText"/>
        <w:rPr/>
      </w:pPr>
      <w:r>
        <w:rPr>
          <w:rFonts w:ascii="IRNazanin" w:hAnsi="IRNazanin" w:eastAsia="IRNazanin"/>
          <w:color w:val="111111"/>
          <w:sz w:val="28"/>
          <w:sz w:val="28"/>
          <w:szCs w:val="28"/>
          <w:rtl w:val="true"/>
          <w:lang w:bidi="fa-IR"/>
        </w:rPr>
        <w:t>اگر چه از بحث کفایی و یا عینی بودن امر به معروف و نهی از منکر، استفاده می گردد که تکلیف به آن دو، همگانی است؛ با این تفاوت که در صورت کفایی بودن، با اقدام عده ای به آن، تکلیف از دیگران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این باره دو دیدگاه وجود دارد؛ زیرا عده ای آن را وظیفهای همگانی می دانند و عده ای دیگر، آن را وظیفه ای اختصاصی پنداشته اند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در صورت دوم نیز دو نظریه زیر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وظیفه، بر عهده علماست؛ چون انجام این تکلیف، متوقف بر شناخت معروف و منکر است، وگرنه ممکن است که معروف و منکر، وارونه جلوه داده شود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آن وظیفه، از شأن حکومت است؛ زیرا انجام آن، گاهی قدرت و توان اجرایی را می طلبد که تنها از حاکمان ساخته است، وگرنه جامعه دچار بی نظمی خواهد شد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برخی دیگر با توجه به اهمیت مسئله فوق،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دو بخش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فردی که بر همگان لازم است به انجام آن اقدام نمایند؛ چنان که از عموم آیات این باب استفاده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اجتماعی که حکومت و مردم، به صورت </w:t>
      </w:r>
      <w:bookmarkStart w:id="269" w:name="pg14387_143699"/>
    </w:p>
    <w:p>
      <w:pPr>
        <w:pStyle w:val="BookText"/>
        <w:rPr/>
      </w:pPr>
      <w:bookmarkEnd w:id="269"/>
      <w:r>
        <w:rPr>
          <w:rFonts w:ascii="IRNazanin" w:hAnsi="IRNazanin" w:eastAsia="IRNazanin"/>
          <w:color w:val="111111"/>
          <w:sz w:val="28"/>
          <w:sz w:val="28"/>
          <w:szCs w:val="28"/>
          <w:rtl w:val="true"/>
          <w:lang w:bidi="fa-IR"/>
        </w:rPr>
        <w:t xml:space="preserve">دسته جمعی اقدام نمایند یا حداقل چنین نهادی داشته باشند و از آن حمایت نمایند؛ چنان که این مطلب از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 منکم أمة یدعون إلی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طوسیله این تکلیف را تکلیف همگانی می داند؛ زیرا ایشان امر به معروف و نهی از منکر را تکلیف عینی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رهبران، حاکمان، دانشمندان و افراد عادی، هر یک به اندازه توان خود وظیفه دارند برای گسترش معروف و برچیده شدن منکر، تلاش نمایند و اقدام یکی از آنها، نه تنها مانع از انجام وظیفه دیگری نیست، بلکه کامل کننده آن و فراخوان اجتماع به سوی کمال معنوی خواهد بود</w:t>
      </w:r>
      <w:r>
        <w:rPr>
          <w:rFonts w:eastAsia="IRNazanin" w:cs="IRNazanin"/>
          <w:color w:val="111111"/>
          <w:sz w:val="28"/>
          <w:szCs w:val="28"/>
          <w:rtl w:val="true"/>
          <w:lang w:bidi="fa-IR"/>
        </w:rPr>
        <w:t>.</w:t>
      </w:r>
    </w:p>
    <w:p>
      <w:pPr>
        <w:pStyle w:val="Heading5"/>
        <w:numPr>
          <w:ilvl w:val="4"/>
          <w:numId w:val="1"/>
        </w:numPr>
        <w:rPr/>
      </w:pPr>
      <w:bookmarkStart w:id="270" w:name="__RefHeading___Toc7812286_3381743652"/>
      <w:bookmarkStart w:id="271" w:name="_Toc102"/>
      <w:bookmarkEnd w:id="270"/>
      <w:r>
        <w:rPr>
          <w:rtl w:val="true"/>
        </w:rPr>
        <w:t>فاسق و امر به معروف و نهی از منکر</w:t>
      </w:r>
      <w:bookmarkEnd w:id="271"/>
    </w:p>
    <w:p>
      <w:pPr>
        <w:pStyle w:val="BookText"/>
        <w:rPr/>
      </w:pPr>
      <w:r>
        <w:rPr>
          <w:rFonts w:ascii="IRNazanin" w:hAnsi="IRNazanin" w:eastAsia="IRNazanin"/>
          <w:color w:val="111111"/>
          <w:sz w:val="28"/>
          <w:sz w:val="28"/>
          <w:szCs w:val="28"/>
          <w:rtl w:val="true"/>
          <w:lang w:bidi="fa-IR"/>
        </w:rPr>
        <w:t>با توجه به همگانی بودن تکلیف مذکور، ممکن است این سؤال ایجاد شود که آیا مرتکب منکر و فرد فاسق نیز این وظیفه را دارد؟ برای پاسخ به این پرسش، سه احتمال زیر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فاسق نمی تواند امر به معروف و نهی از منکر نماید؛ چون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 منکم أمة یدعون إلی الخیر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دلالت دارد بر این که فرمان دهنده به معروف و بازدارنده از منکر، از رستگاران و اهل فلاح است و فاسق، از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 نیز این مطلب را تأیید می کند؛ چنانکه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را به نیکی نمودن امر می نمایید و خود را فراموش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 گویید آنچه را که انجام نمی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بسیار موجب خشم است که بگویید آنچه را که انجام نمی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آن است که باید دید، فاسق، به زبان، امر به معروف و نهی از منکر می نماید یا به وسیله دست و به قهر و زور؟ در صورت اول مجاز نیست و در صورت دوم، مجاز است؛ چنان که غزالی می 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حسبت از دو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نصیحت و 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حسبت، فاسق را نشاید، بلکه باشد که بزهکار شود؛ چون داند که نشنوند و بر وی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272" w:name="pg14387_143700"/>
    </w:p>
    <w:p>
      <w:pPr>
        <w:pStyle w:val="BookText"/>
        <w:rPr/>
      </w:pPr>
      <w:bookmarkEnd w:id="272"/>
      <w:r>
        <w:rPr>
          <w:rFonts w:ascii="IRNazanin" w:hAnsi="IRNazanin" w:eastAsia="IRNazanin"/>
          <w:color w:val="111111"/>
          <w:sz w:val="28"/>
          <w:sz w:val="28"/>
          <w:szCs w:val="28"/>
          <w:rtl w:val="true"/>
          <w:lang w:bidi="fa-IR"/>
        </w:rPr>
        <w:t>رونق وعظ و حشمت شرع، به چشم مردمان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است که وعظ دانشمندان که فسق ایشان ظاهر بود، خلق را زیان دارد و ایشان بدان بزهکار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حسبت، آن است که به دست بود و قهر؛ چنان که خمر بریزد و چنگ و رباب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فاسق را نیز روا باشد که بر هر کسی دو 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خود نکند، دیگری آن که نگذارد که دیگری بکند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اکثر مسلمانان این است که انجام امر به معروف و نهی از منکر، بر فاسق نیز واجب است؛ زیرا ترک ارتکاب منکر و انکار آن، دو واجب است و با ترک یکی از دو واجب، واجب دیگر، ساقط نمی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آیاتی که برای واجب نبودن امر به معروف و نهی از منکر بر فاسق ذکر شد، دلالت بر واجب نبودن آن دو ندارد، بلکه بر سرزنش فاسق دلالت دارد که او چرا اصلاح نفس و مهم خود را از یاد برده و به آن عنایت ندارد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درباره اثر نداشتن نصیحت فاسق، از کجا معلوم است که نصیحت او تأثیر نکند؟ ممکن است گاهی تأثیر، دو چندان باشد و از آن گذشته، عدم تأثیر، از ناحیه خود فاسق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چنین فرضی، تکلیف ساقط باشد، از ناحیه نبودن یکی از شرایط است که تأثیر داشتن باشد، نه از باب فاسق بودن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با دیدگاه اخیر موافق است که فاسق نیز مکلف به انجام امر به معروف و نهی از منکر می باشد؛ زیرا ایشان آن دو را تکلیف عینی و همگانی می داند؛ بدون این که دسته خاصی را استثنا کند</w:t>
      </w:r>
      <w:r>
        <w:rPr>
          <w:rFonts w:eastAsia="IRNazanin" w:cs="IRNazanin"/>
          <w:color w:val="111111"/>
          <w:sz w:val="28"/>
          <w:szCs w:val="28"/>
          <w:rtl w:val="true"/>
          <w:lang w:bidi="fa-IR"/>
        </w:rPr>
        <w:t>.</w:t>
      </w:r>
      <w:r>
        <w:rPr>
          <w:rStyle w:val="FootnoteAnchor"/>
          <w:rtl w:val="true"/>
        </w:rPr>
        <w:footnoteReference w:id="374"/>
      </w:r>
    </w:p>
    <w:p>
      <w:pPr>
        <w:pStyle w:val="Heading4"/>
        <w:numPr>
          <w:ilvl w:val="3"/>
          <w:numId w:val="1"/>
        </w:numPr>
        <w:rPr/>
      </w:pPr>
      <w:bookmarkStart w:id="273" w:name="__RefHeading___Toc7812288_3381743652"/>
      <w:bookmarkStart w:id="274" w:name="_Toc103"/>
      <w:bookmarkEnd w:id="273"/>
      <w:r>
        <w:rPr>
          <w:rtl w:val="true"/>
        </w:rPr>
        <w:t>شرایط و مراتب امر به معروف و نهی از منکر</w:t>
      </w:r>
      <w:bookmarkEnd w:id="274"/>
    </w:p>
    <w:p>
      <w:pPr>
        <w:pStyle w:val="Heading5"/>
        <w:numPr>
          <w:ilvl w:val="4"/>
          <w:numId w:val="1"/>
        </w:numPr>
        <w:rPr/>
      </w:pPr>
      <w:bookmarkStart w:id="275" w:name="__RefHeading___Toc7812290_3381743652"/>
      <w:bookmarkStart w:id="276" w:name="_Toc104"/>
      <w:bookmarkEnd w:id="275"/>
      <w:r>
        <w:rPr>
          <w:rtl w:val="true"/>
        </w:rPr>
        <w:t>شرایط امر به معروف و نهی از منکر</w:t>
      </w:r>
      <w:bookmarkEnd w:id="27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امر به معروف و نهی از منکر، شرایط خاصی دارد، جای بحث نیست و همه </w:t>
      </w:r>
    </w:p>
    <w:p>
      <w:pPr>
        <w:pStyle w:val="BookText"/>
        <w:rPr/>
      </w:pPr>
      <w:r>
        <w:rPr>
          <w:rFonts w:ascii="IRNazanin" w:hAnsi="IRNazanin" w:eastAsia="IRNazanin"/>
          <w:color w:val="111111"/>
          <w:sz w:val="28"/>
          <w:sz w:val="28"/>
          <w:szCs w:val="28"/>
          <w:rtl w:val="true"/>
          <w:lang w:bidi="fa-IR"/>
        </w:rPr>
        <w:t>مسلمانان با فراهم بودن شرایط خاص، آن دو را واجب می دانند، لکن در تعداد آن شرایط، کلام دانشمندان مسلمان، متفاوت است؛ زیرا برخی آن شرایط را دو</w:t>
      </w:r>
      <w:r>
        <w:rPr>
          <w:rStyle w:val="FootnoteAnchor"/>
          <w:rtl w:val="true"/>
        </w:rPr>
        <w:footnoteReference w:id="375"/>
      </w:r>
      <w:r>
        <w:rPr>
          <w:rFonts w:ascii="IRNazanin" w:hAnsi="IRNazanin" w:eastAsia="IRNazanin"/>
          <w:color w:val="111111"/>
          <w:sz w:val="28"/>
          <w:sz w:val="28"/>
          <w:szCs w:val="28"/>
          <w:rtl w:val="true"/>
          <w:lang w:bidi="fa-IR"/>
        </w:rPr>
        <w:t>برخی سه</w:t>
      </w:r>
      <w:r>
        <w:rPr>
          <w:rStyle w:val="FootnoteAnchor"/>
          <w:rtl w:val="true"/>
        </w:rPr>
        <w:footnoteReference w:id="376"/>
      </w:r>
      <w:r>
        <w:rPr>
          <w:rFonts w:ascii="IRNazanin" w:hAnsi="IRNazanin" w:eastAsia="IRNazanin"/>
          <w:color w:val="111111"/>
          <w:sz w:val="28"/>
          <w:sz w:val="28"/>
          <w:szCs w:val="28"/>
          <w:rtl w:val="true"/>
          <w:lang w:bidi="fa-IR"/>
        </w:rPr>
        <w:t xml:space="preserve">و عده ای پنج </w:t>
      </w:r>
      <w:r>
        <w:rPr>
          <w:rStyle w:val="FootnoteAnchor"/>
          <w:rtl w:val="true"/>
        </w:rPr>
        <w:footnoteReference w:id="377"/>
      </w:r>
      <w:r>
        <w:rPr>
          <w:rFonts w:ascii="IRNazanin" w:hAnsi="IRNazanin" w:eastAsia="IRNazanin"/>
          <w:color w:val="111111"/>
          <w:sz w:val="28"/>
          <w:sz w:val="28"/>
          <w:szCs w:val="28"/>
          <w:rtl w:val="true"/>
          <w:lang w:bidi="fa-IR"/>
        </w:rPr>
        <w:t xml:space="preserve">و عده دیگر، شش عدد </w:t>
      </w:r>
      <w:r>
        <w:rPr>
          <w:rStyle w:val="FootnoteAnchor"/>
          <w:rtl w:val="true"/>
        </w:rPr>
        <w:footnoteReference w:id="378"/>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شیخ طوسی به همه آن شرایط را در چهار شرط جمع کرده و به ترتیب زیر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معروف فرمان می دهد و از منکر باز می دارد، باید خود، معروف و منکر را بشناسد، وگر نه ممکن است به منکر فرمان دهد و از معروف، منع نماید که این خود نوعی منکر است چون غرض حاصل نمی گردد، اقدام به این تکلیف، مانند خبر دادن می ماند؛ زیرا خبر دهنده، تا زمانی که علم به خبر نداشته باشد، شایسته نیست خبر دهد؛ چون احتمال دروغ بودن آن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نیز چنین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عبارت است از وجود نشانه استمرار ارتکاب منکر و ترک معروف در فرد متخلف؛ زیرا غرض از اقدام به این وظیفه، آن است که در آینده، معروف، ضایع، و منکر، واقع نگردد و امر و یا نهی نسبت به چیزی که واقع شده،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نشانه استمرار عصیان در متخلف باید وجود داشته باشد تا گمان غالب بر اقدام او در انجام منکر و ترک معروف در آینده، حاصل شود و سبب امر به معروف و نهی از منکر او گردد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استمرار انجام منکر و ترک معروف، به وسیله عادت، قابل درک 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نشانه استمرار نبود، با صرف احتمال وقوع منکر و تضییع معروف، اقدام به این وظیفه، جایز نیست؛ زیرا در این صورت، لازم می آید که امر به معروف و نهی از منکر بر هر فرد توانمند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قیدی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باشد، در حالی که چنین نیست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 آن است که امر به معروف و نهی از منکر، مؤثر باشد؛ دست کم، احتمال تأثیر در آن داده شود؛ زیرا کسی که اقدام به انجام این تکلیف می نماید، نسبت به متخلف، یکی از سه حالت زیر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غالب دارد که امر و نهیش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غالب دارد که امر و نهیش تأثیر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دو طرف را ترجیح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امر به معروف و نهی از منکر، بدون تردید، واجب است و در صورت دوم، واجب نیست و در فرض سوم،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در چنین فرضی، برداشته می شود و عده ای چون سید مرتضی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باقی است</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شیخ طوسی نظر سید مرتضی را پسندیده و به عام بودن آیات و روایات این باب استدلال نموده است، که به طور مطلق، دلالت بر وجوب امر به معروف و نهی از منکر دارد، بدون اختصاص دادن به حالی غیر از حال دیگر</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بنابراین، دست کم در انجام آن دو، باید احتمال تأثیر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 عبارت است از این که در امر و نهی، مفسده ای وجود نداشته باشد؛ نه برای شخص آمر و ناهی و نه برای غیر او از مؤمنان دیگر؛ نه در حال و نه در آینده؛</w:t>
      </w:r>
      <w:r>
        <w:rPr>
          <w:rStyle w:val="FootnoteAnchor"/>
          <w:rtl w:val="true"/>
        </w:rPr>
        <w:footnoteReference w:id="383"/>
      </w:r>
      <w:r>
        <w:rPr>
          <w:rFonts w:ascii="IRNazanin" w:hAnsi="IRNazanin" w:eastAsia="IRNazanin"/>
          <w:color w:val="111111"/>
          <w:sz w:val="28"/>
          <w:sz w:val="28"/>
          <w:szCs w:val="28"/>
          <w:rtl w:val="true"/>
          <w:lang w:bidi="fa-IR"/>
        </w:rPr>
        <w:t>چه آن مفسده، مفسده دنیوی باشد یا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بر جان و مال نیز در این شرط، داخل است؛ زیرا ترس خود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نیازی نیست که به عنوان شرط جداگانه آورده شود؛ چنان که سید مرتضی چنین گمان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ای برای خود آمر و ناهی یا برای سایر مؤمنان وجود داشته باشد، نه تنها امر و نهی، واجب نیست، بلکه زشت و ناپسند است</w:t>
      </w:r>
      <w:r>
        <w:rPr>
          <w:rFonts w:eastAsia="IRNazanin" w:cs="IRNazanin"/>
          <w:color w:val="111111"/>
          <w:sz w:val="28"/>
          <w:szCs w:val="28"/>
          <w:rtl w:val="true"/>
          <w:lang w:bidi="fa-IR"/>
        </w:rPr>
        <w:t>.</w:t>
      </w:r>
      <w:r>
        <w:rPr>
          <w:rStyle w:val="FootnoteAnchor"/>
          <w:rtl w:val="true"/>
        </w:rPr>
        <w:footnoteReference w:id="38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که روشن شد شیخ، امر به معروف و نهی از منکر را مشروط به شروط چهارگانه دانسته است که با فراهم نبودن آن شرایط، تکلیف برداشته می شود، نوبت به </w:t>
      </w:r>
      <w:bookmarkStart w:id="277" w:name="pg14387_143703"/>
    </w:p>
    <w:p>
      <w:pPr>
        <w:pStyle w:val="BookText"/>
        <w:rPr/>
      </w:pPr>
      <w:bookmarkEnd w:id="277"/>
      <w:r>
        <w:rPr>
          <w:rFonts w:ascii="IRNazanin" w:hAnsi="IRNazanin" w:eastAsia="IRNazanin"/>
          <w:color w:val="111111"/>
          <w:sz w:val="28"/>
          <w:sz w:val="28"/>
          <w:szCs w:val="28"/>
          <w:rtl w:val="true"/>
          <w:lang w:bidi="fa-IR"/>
        </w:rPr>
        <w:t>این پرسش می رسد که آیا حسن امر به معروف و نهی از منکر، با وجود مفسده ای چون ترس بر جان، از بین می رود؛ چنان که وجوب آن دو، بدان وسیله برداشته می شود، یا این که ممدوح بودن عمل مذکور، هم چنان باقی است</w:t>
      </w:r>
      <w:r>
        <w:rPr>
          <w:rStyle w:val="FootnoteAnchor"/>
          <w:rtl w:val="true"/>
        </w:rPr>
        <w:footnoteReference w:id="385"/>
      </w:r>
    </w:p>
    <w:p>
      <w:pPr>
        <w:pStyle w:val="Heading5"/>
        <w:numPr>
          <w:ilvl w:val="4"/>
          <w:numId w:val="1"/>
        </w:numPr>
        <w:rPr/>
      </w:pPr>
      <w:bookmarkStart w:id="278" w:name="__RefHeading___Toc7812292_3381743652"/>
      <w:bookmarkStart w:id="279" w:name="_Toc105"/>
      <w:bookmarkEnd w:id="278"/>
      <w:r>
        <w:rPr>
          <w:rtl w:val="true"/>
        </w:rPr>
        <w:t>پسندیده بودن امر به معروف با ترس بر جان</w:t>
      </w:r>
      <w:bookmarkEnd w:id="279"/>
    </w:p>
    <w:p>
      <w:pPr>
        <w:pStyle w:val="BookText"/>
        <w:rPr/>
      </w:pPr>
      <w:r>
        <w:rPr>
          <w:rFonts w:ascii="IRNazanin" w:hAnsi="IRNazanin" w:eastAsia="IRNazanin"/>
          <w:color w:val="111111"/>
          <w:sz w:val="28"/>
          <w:sz w:val="28"/>
          <w:szCs w:val="28"/>
          <w:rtl w:val="true"/>
          <w:lang w:bidi="fa-IR"/>
        </w:rPr>
        <w:t>در این باره، دیدگاههای زیر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ترس بر جان، الزام این تکلیف رفع می شود، لکن حسن و شایسته بودن اقدام به آن، در صورتی که سبب عزت دین گردد،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دارد و مستحب نیز هست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سوم این است که با ترس مذکور، حسن آن عمل نیز از بین می رود؛ چنان که واجب، ساقط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طوسی نیز نظر اخیر را پسندیده و دو دیدگاه دیگر را مردود دانسته و فرموده أست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بر جان و مال، هر دو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مفسده، همان طور که واجب بودن عسل را بر می دارد، حسن آن را نیز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انسان، ظن قوی داشته باشد که اقدامش سبب وقوع کار زشت و ناپسند می گردد، به طوری که اگر آن اقدام نبود، این کار زشت واقع نمی شد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شیخ در ادامه این مطلب، چنین می گوید که در وقوع مفسده، میان مفسده بزرگ و کوچک؛ چون قتل نفس و قطع عضو و یا گرفتن مال زیاد و یا کم، تفاوتی نیست؛ زیرا همه دارای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مفسده، وجوب و حسن آن ثابت نمی گردد؛ چون بدون نزاع، قابل جمع نمی باشد</w:t>
      </w:r>
      <w:r>
        <w:rPr>
          <w:rFonts w:eastAsia="IRNazanin" w:cs="IRNazanin"/>
          <w:color w:val="111111"/>
          <w:sz w:val="28"/>
          <w:szCs w:val="28"/>
          <w:rtl w:val="true"/>
          <w:lang w:bidi="fa-IR"/>
        </w:rPr>
        <w:t>.</w:t>
      </w:r>
      <w:r>
        <w:rPr>
          <w:rStyle w:val="FootnoteAnchor"/>
          <w:rtl w:val="true"/>
        </w:rPr>
        <w:footnoteReference w:id="388"/>
      </w:r>
    </w:p>
    <w:p>
      <w:pPr>
        <w:pStyle w:val="Heading5"/>
        <w:numPr>
          <w:ilvl w:val="4"/>
          <w:numId w:val="1"/>
        </w:numPr>
        <w:rPr/>
      </w:pPr>
      <w:bookmarkStart w:id="280" w:name="__RefHeading___Toc7812294_3381743652"/>
      <w:bookmarkStart w:id="281" w:name="_Toc106"/>
      <w:bookmarkEnd w:id="280"/>
      <w:r>
        <w:rPr>
          <w:rtl w:val="true"/>
        </w:rPr>
        <w:t>تفاوت امر به معروف و عبادات شرعیه</w:t>
      </w:r>
      <w:bookmarkEnd w:id="28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 بر جان و مال در عباداتی چون نماز و روزه، چنان که در امر به معروف، سبب سقوط می گردید، سبب سقوط تکلیف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که اگر </w:t>
      </w:r>
      <w:bookmarkStart w:id="282" w:name="pg14387_143704"/>
    </w:p>
    <w:p>
      <w:pPr>
        <w:pStyle w:val="BookText"/>
        <w:rPr/>
      </w:pPr>
      <w:bookmarkEnd w:id="282"/>
      <w:r>
        <w:rPr>
          <w:rFonts w:ascii="IRNazanin" w:hAnsi="IRNazanin" w:eastAsia="IRNazanin"/>
          <w:color w:val="111111"/>
          <w:sz w:val="28"/>
          <w:sz w:val="28"/>
          <w:szCs w:val="28"/>
          <w:rtl w:val="true"/>
          <w:lang w:bidi="fa-IR"/>
        </w:rPr>
        <w:t>خداوند بداند در بعضی از حالات در عبادات شرعیه، مفسده هست، حتما آن را از ما اسقاط می نمود و چون ما به وجوب عبادات شرعیه، تحت هر شرایطی علم داریم، می دانیم که در انجام آن در هیچ حالی مفسدهای حاصل نخواهد شد، پس وجوب آن ساقط</w:t>
      </w:r>
    </w:p>
    <w:p>
      <w:pPr>
        <w:pStyle w:val="BookText"/>
        <w:rPr/>
      </w:pPr>
      <w:r>
        <w:rPr>
          <w:rFonts w:ascii="IRNazanin" w:hAnsi="IRNazanin" w:eastAsia="IRNazanin"/>
          <w:color w:val="111111"/>
          <w:sz w:val="28"/>
          <w:sz w:val="28"/>
          <w:szCs w:val="28"/>
          <w:rtl w:val="true"/>
          <w:lang w:bidi="fa-IR"/>
        </w:rPr>
        <w:t>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وجوب امر به معروف و نهی از منکر، چنین نیست؛ زیرا وجوب آن دو، مشروط به نبودن مفسده است، بدون این که نزاعی در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عبادات شرعیه این گونه نیست و همه امت اسلامی، وجوب عبادات را غیرمشروط می دانند</w:t>
      </w:r>
      <w:r>
        <w:rPr>
          <w:rFonts w:eastAsia="IRNazanin" w:cs="IRNazanin"/>
          <w:color w:val="111111"/>
          <w:sz w:val="28"/>
          <w:szCs w:val="28"/>
          <w:rtl w:val="true"/>
          <w:lang w:bidi="fa-IR"/>
        </w:rPr>
        <w:t>.</w:t>
      </w:r>
      <w:r>
        <w:rPr>
          <w:rStyle w:val="FootnoteAnchor"/>
          <w:rtl w:val="true"/>
        </w:rPr>
        <w:footnoteReference w:id="389"/>
      </w:r>
    </w:p>
    <w:p>
      <w:pPr>
        <w:pStyle w:val="Heading4"/>
        <w:numPr>
          <w:ilvl w:val="3"/>
          <w:numId w:val="1"/>
        </w:numPr>
        <w:rPr/>
      </w:pPr>
      <w:bookmarkStart w:id="283" w:name="__RefHeading___Toc7812296_3381743652"/>
      <w:bookmarkStart w:id="284" w:name="_Toc107"/>
      <w:bookmarkEnd w:id="283"/>
      <w:r>
        <w:rPr>
          <w:rtl w:val="true"/>
        </w:rPr>
        <w:t>مراتب امر به معروف و نهی از منکر</w:t>
      </w:r>
      <w:bookmarkEnd w:id="284"/>
    </w:p>
    <w:p>
      <w:pPr>
        <w:pStyle w:val="Heading5"/>
        <w:numPr>
          <w:ilvl w:val="4"/>
          <w:numId w:val="1"/>
        </w:numPr>
        <w:rPr/>
      </w:pPr>
      <w:bookmarkStart w:id="285" w:name="__RefHeading___Toc7812298_3381743652"/>
      <w:bookmarkStart w:id="286" w:name="_Toc108"/>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کسی را که گناه انجام می دهد، آزاد گذاشت تا هر کاری را که خواست، انجام دهد، بلکه وظیفه داریم او را از گناه باز داریم؛ اگر با زبان مکان داشت، به همان مقدار، اکتفا می شود، و گر نه باید او را منع نمود؛ لکن بدون این</w:t>
      </w:r>
    </w:p>
    <w:p>
      <w:pPr>
        <w:pStyle w:val="BookText"/>
        <w:rPr/>
      </w:pPr>
      <w:r>
        <w:rPr>
          <w:rFonts w:ascii="IRNazanin" w:hAnsi="IRNazanin" w:eastAsia="IRNazanin"/>
          <w:color w:val="111111"/>
          <w:sz w:val="28"/>
          <w:sz w:val="28"/>
          <w:szCs w:val="28"/>
          <w:rtl w:val="true"/>
          <w:lang w:bidi="fa-IR"/>
        </w:rPr>
        <w:t>که به او نسرری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اثر نبخشید، راه آخر، مبارزه و جنگ با اوست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قبل از بیان تفصیلی این مراتب، باید دو مقدمه زیر ذکر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دانسته شد، امر به معروف و نهی از منکر، به وسیله قلب، زبان یا دست تحقق می پذیرد، لکن در انجام عملی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معتزلیان به غیر از اصم، اقدام به آن دو را به هر شکل ممکن، واجب دانسته اند؛ حتی با شمشیر</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و بعضی دیگر، اقدام با دست را جایز دانسته اند، در صورتی که نیاز به شمشیر نباشد، اما با شمشیر را مجاز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اقدام با دست را هم جایز ندانسته اند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غیرقولی، نیاز به اذن سلطان دارد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اکثر علمای امامیه نیز در صورت نیاز به قتال و حمل سلاح، اقدام به آن را متوقف به اذن امام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معتزله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اولویت اقدام با امام و سلطان است؛ چون به سیاست، داناترند</w:t>
      </w:r>
      <w:r>
        <w:rPr>
          <w:rFonts w:eastAsia="IRNazanin" w:cs="IRNazanin"/>
          <w:color w:val="111111"/>
          <w:sz w:val="28"/>
          <w:szCs w:val="28"/>
          <w:rtl w:val="true"/>
          <w:lang w:bidi="fa-IR"/>
        </w:rPr>
        <w:t>.</w:t>
      </w:r>
      <w:r>
        <w:rPr>
          <w:rStyle w:val="FootnoteAnchor"/>
          <w:rtl w:val="true"/>
        </w:rPr>
        <w:footnoteReference w:id="394"/>
      </w:r>
      <w:bookmarkStart w:id="287" w:name="pg14387_143705"/>
    </w:p>
    <w:p>
      <w:pPr>
        <w:pStyle w:val="BookText"/>
        <w:rPr/>
      </w:pPr>
      <w:bookmarkEnd w:id="287"/>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مقصود از امر به معروف با قلب، زبان و دست، چیست؟ شیخ چنین فرموده است که امر به معروف زبانی، آن است که مردم به معروف خوانده شده و برای انجام آن، وعده مدح و ثواب داده شوند و از ترک معروف، منع گردیده و از عقاب آن ترسانده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به معروف به وسیله دست،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 معروف را انجام دهد و از منکر، اجتناب نماید؛ به طوری که مردم به او تأسی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به معروف با دست، به تأدیب و ردع و قتل نفوس و زدن جراحات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امر به معروف، جایز نیست، مگر با اجازه سلطان وقت، اما اقامه حدود، جز برای سلطان منصوب از ناحیه خداوند،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شیخ در النهایه چنین است</w:t>
      </w:r>
      <w:r>
        <w:rPr>
          <w:rStyle w:val="FootnoteAnchor"/>
          <w:rtl w:val="true"/>
        </w:rPr>
        <w:footnoteReference w:id="395"/>
      </w:r>
      <w:r>
        <w:rPr>
          <w:rFonts w:ascii="IRNazanin" w:hAnsi="IRNazanin" w:eastAsia="IRNazanin"/>
          <w:color w:val="111111"/>
          <w:sz w:val="28"/>
          <w:sz w:val="28"/>
          <w:szCs w:val="28"/>
          <w:rtl w:val="true"/>
          <w:lang w:bidi="fa-IR"/>
        </w:rPr>
        <w:t>، لکن در موارد دیگر، حمل سلاح را نیز برای اقدام به این تکلیف، بدون اذن امام، واجب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امر 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عبارت است از اعتقاد به وجوب معروف و میل به آن و حرمت منکر و کراهت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صورتی است که انسان به جهت ضرر بر خودش یا دیگران، قادر به انجام دستی و زبانی وظیفه مذکور نباشد</w:t>
      </w:r>
      <w:r>
        <w:rPr>
          <w:rFonts w:eastAsia="IRNazanin" w:cs="IRNazanin"/>
          <w:color w:val="111111"/>
          <w:sz w:val="28"/>
          <w:szCs w:val="28"/>
          <w:rtl w:val="true"/>
          <w:lang w:bidi="fa-IR"/>
        </w:rPr>
        <w:t>.</w:t>
      </w:r>
      <w:r>
        <w:rPr>
          <w:rStyle w:val="FootnoteAnchor"/>
          <w:rtl w:val="true"/>
        </w:rPr>
        <w:footnoteReference w:id="396"/>
      </w:r>
    </w:p>
    <w:p>
      <w:pPr>
        <w:pStyle w:val="Heading5"/>
        <w:numPr>
          <w:ilvl w:val="4"/>
          <w:numId w:val="1"/>
        </w:numPr>
        <w:rPr/>
      </w:pPr>
      <w:bookmarkStart w:id="288" w:name="__RefHeading___Toc7812300_3381743652"/>
      <w:bookmarkStart w:id="289" w:name="_Toc109"/>
      <w:bookmarkEnd w:id="288"/>
      <w:r>
        <w:rPr>
          <w:rtl w:val="true"/>
        </w:rPr>
        <w:t>سیر صعودی و نزولی در امر به معروف و نهی از منکر</w:t>
      </w:r>
      <w:bookmarkEnd w:id="28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مراتب امر به معروف و نهی از منکر، دو سیر صعودی و نزولی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سیر صعودی، ایشان مانند همه دانشمندان مسلمان، معتقد است که برای تحقق این آرمان، باید پله پله بالا رفت؛ یعنی از امر ساده و آسان آغاز نمود و به ترتیب، ادامه داد تا ترقی به دشوارترین راه که حمل سلاح و قتال است؛ زیرا غرض، وقوع معروف و جلوگیری از منکر است و اگر با طریق آسان حاصل گردد، عدول به راه دشوار و غلیظ، عاقلانه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او گام اول را وعظ و نصیحت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نصیحت تأثیر دارد، از آن عدول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موعظه اثر نکرد، با سخن گفتن </w:t>
      </w:r>
    </w:p>
    <w:p>
      <w:pPr>
        <w:pStyle w:val="BookText"/>
        <w:rPr/>
      </w:pPr>
      <w:r>
        <w:rPr>
          <w:rFonts w:ascii="IRNazanin" w:hAnsi="IRNazanin" w:eastAsia="IRNazanin"/>
          <w:color w:val="111111"/>
          <w:sz w:val="28"/>
          <w:sz w:val="28"/>
          <w:szCs w:val="28"/>
          <w:rtl w:val="true"/>
          <w:lang w:bidi="fa-IR"/>
        </w:rPr>
        <w:t>تند، او را باز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تأثیر نداشت، او را از انجام منکر، منع نموده، منکر را دفع می کنیم؛ اگر چه به ایلام منکر علیه و ضرر زدن به او و یا اتلاف نفس او منجر گردد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غزالی برای این سیر صعودی، هشت مرحله ذکر نموده که خلاصه آن از قرار ذیل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حال طرف، بدون تجسس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کردن؛ شاید طرف، نادان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موعظه با رفق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درشت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دادن به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کشیدن و جنگ کردن</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دلیل این سیر صعودی تدریجی، چنان که فخر رازی نیز استدلال نموده،</w:t>
      </w:r>
      <w:r>
        <w:rPr>
          <w:rStyle w:val="FootnoteAnchor"/>
          <w:rtl w:val="true"/>
        </w:rPr>
        <w:footnoteReference w:id="399"/>
      </w:r>
      <w:r>
        <w:rPr>
          <w:rFonts w:ascii="IRNazanin" w:hAnsi="IRNazanin" w:eastAsia="IRNazanin"/>
          <w:color w:val="111111"/>
          <w:sz w:val="28"/>
          <w:sz w:val="28"/>
          <w:szCs w:val="28"/>
          <w:rtl w:val="true"/>
          <w:lang w:bidi="fa-IR"/>
        </w:rPr>
        <w:t>دو آیه مبارکه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طائفتان من المؤمنین اقتتلوا فأصلحوا بینها فإن بغت إحدها علی الأخری فقاتلوا التی تبغی حتی تفیء إلی أمر الله</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خداوند متعال در این آیه، اصلاح را بر قتال مقدم نموده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اللاتی تخافون نشوزه فعظوه و اهجروهن فی المضاجع و اضربوهن</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خداوند در این آیه، دستور به سیر صعودی از موعظه و کناره گیری تا ضرب را داده است؛ یعنی باید با نرمی و نصیحت شروع شود و به تدریج، در صورت تأثیر نداشتن گام آغازین، به راه دشوارتر ترقی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امر به معروف و نهی از منکر نیز چنین است</w:t>
      </w:r>
      <w:r>
        <w:rPr>
          <w:rFonts w:eastAsia="IRNazanin" w:cs="IRNazanin"/>
          <w:color w:val="111111"/>
          <w:sz w:val="28"/>
          <w:szCs w:val="28"/>
          <w:rtl w:val="true"/>
          <w:lang w:bidi="fa-IR"/>
        </w:rPr>
        <w:t xml:space="preserve">. </w:t>
      </w:r>
      <w:bookmarkStart w:id="290" w:name="pg14387_143707"/>
    </w:p>
    <w:p>
      <w:pPr>
        <w:pStyle w:val="Heading5"/>
        <w:numPr>
          <w:ilvl w:val="4"/>
          <w:numId w:val="1"/>
        </w:numPr>
        <w:rPr/>
      </w:pPr>
      <w:bookmarkStart w:id="291" w:name="__RefHeading___Toc7812302_3381743652"/>
      <w:bookmarkStart w:id="292" w:name="_Toc110"/>
      <w:bookmarkEnd w:id="290"/>
      <w:bookmarkEnd w:id="291"/>
      <w:r>
        <w:rPr>
          <w:rtl w:val="true"/>
        </w:rPr>
        <w:t>لزوم حمل سلاح در انکار منکر</w:t>
      </w:r>
      <w:bookmarkEnd w:id="292"/>
    </w:p>
    <w:p>
      <w:pPr>
        <w:pStyle w:val="BookText"/>
        <w:rPr/>
      </w:pPr>
      <w:r>
        <w:rPr>
          <w:rFonts w:ascii="IRNazanin" w:hAnsi="IRNazanin" w:eastAsia="IRNazanin"/>
          <w:color w:val="111111"/>
          <w:sz w:val="28"/>
          <w:sz w:val="28"/>
          <w:szCs w:val="28"/>
          <w:rtl w:val="true"/>
          <w:lang w:bidi="fa-IR"/>
        </w:rPr>
        <w:t>اگر برای جلوگیری از منکر و فساد، تا آخرین مرحله تلاش گردد، لکن در فاسق و مرتکب منکر، تأثیر نکند، آیا لازم است برای ارتفاع آن، وارد جنگ شد و دست به اسلحه برد؟</w:t>
      </w:r>
    </w:p>
    <w:p>
      <w:pPr>
        <w:pStyle w:val="BookText"/>
        <w:rPr/>
      </w:pPr>
      <w:r>
        <w:rPr>
          <w:rFonts w:ascii="IRNazanin" w:hAnsi="IRNazanin" w:eastAsia="IRNazanin"/>
          <w:color w:val="111111"/>
          <w:sz w:val="28"/>
          <w:sz w:val="28"/>
          <w:szCs w:val="28"/>
          <w:rtl w:val="true"/>
          <w:lang w:bidi="fa-IR"/>
        </w:rPr>
        <w:t>شیخ طوسی این پرسش را خود مطرح می کند و چنین به آن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وعظ و نصیحت و منع با دست، نتیجه نداد، مبارزه و دست به اسلحه بردن، به حسب امکان، واجب است؛ به دلیل امر خدا به انکار منکر</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و این فریضه در صورت امکان، جز با زدودن منگر که جهاد، بدان سبب واجب شده، برداشته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این که اقدام به این عمل، باید با هدف انکار منکر و رفع فساد باشد، نه با قصد قتال و به انگیزه وارد نمودن ضرر به فاسق؛ اگر چه منجر به اتلاف نفس و یا ضرر بر او گردد؛ مانند دفع ضرر از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دفع ضرر از جان، پسندیده است، اگر چه</w:t>
      </w:r>
    </w:p>
    <w:p>
      <w:pPr>
        <w:pStyle w:val="BookText"/>
        <w:rPr/>
      </w:pPr>
      <w:r>
        <w:rPr>
          <w:rFonts w:ascii="IRNazanin" w:hAnsi="IRNazanin" w:eastAsia="IRNazanin"/>
          <w:color w:val="111111"/>
          <w:sz w:val="28"/>
          <w:sz w:val="28"/>
          <w:szCs w:val="28"/>
          <w:rtl w:val="true"/>
          <w:lang w:bidi="fa-IR"/>
        </w:rPr>
        <w:t>منجر به ضرر زدن به غیر گردد، مبارزه با فاسق، با انگیزه رفع منکر نیز پسندیده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شیخ در ادامه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امامیه این قسم انکار منکر را جز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کسی که مأذون از جانب أئمه است،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مرتضی آن را بدون اذن امام، جایز دانسته است؛ به دلیل این که مقصود در این مورد، مدافعه و مخالفت با منکر است، نه وارد نمودن ضرر؛ اگر ضرری هم وارد شد، مقصود نیست، بر عکس موردی که باید با اذن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404"/>
      </w:r>
    </w:p>
    <w:p>
      <w:pPr>
        <w:pStyle w:val="Heading5"/>
        <w:numPr>
          <w:ilvl w:val="4"/>
          <w:numId w:val="1"/>
        </w:numPr>
        <w:rPr/>
      </w:pPr>
      <w:bookmarkStart w:id="293" w:name="__RefHeading___Toc7812304_3381743652"/>
      <w:bookmarkStart w:id="294" w:name="_Toc111"/>
      <w:bookmarkEnd w:id="293"/>
      <w:r>
        <w:rPr>
          <w:rtl w:val="true"/>
        </w:rPr>
        <w:t>تفاوت انکار منکر به اعتبار موارد</w:t>
      </w:r>
      <w:bookmarkEnd w:id="29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انکار منکر را به اعتبار موارد، متفاوت می داند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یا در باب مذاهب فاسده و اهل ذمه است و یا در مورد فردی که مرتکب گناه جوارحی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اول، به اقامه دلیل و برهان و خواندن به حق، اکتفا می شود، اما انکار به ید، منحصر به افرادی است که مرتکب معاصی جوارحی می گردند و یا باغی بر امام حق </w:t>
      </w:r>
      <w:bookmarkStart w:id="295" w:name="pg14387_143708"/>
    </w:p>
    <w:p>
      <w:pPr>
        <w:pStyle w:val="BookText"/>
        <w:rPr/>
      </w:pPr>
      <w:bookmarkEnd w:id="295"/>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قتال و دفع آنان بر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آنها به حق رجوع نمایند، راه آنان همان راه اهل حرب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انکار منکر نسبت به آنها با دست و قتال است؛ تا زمانی که به اسلام برگردند</w:t>
      </w:r>
      <w:r>
        <w:rPr>
          <w:rFonts w:eastAsia="IRNazanin" w:cs="IRNazanin"/>
          <w:color w:val="111111"/>
          <w:sz w:val="28"/>
          <w:szCs w:val="28"/>
          <w:rtl w:val="true"/>
          <w:lang w:bidi="fa-IR"/>
        </w:rPr>
        <w:t>.</w:t>
      </w:r>
      <w:r>
        <w:rPr>
          <w:rStyle w:val="FootnoteAnchor"/>
          <w:rtl w:val="true"/>
        </w:rPr>
        <w:footnoteReference w:id="405"/>
      </w:r>
    </w:p>
    <w:p>
      <w:pPr>
        <w:pStyle w:val="Heading5"/>
        <w:numPr>
          <w:ilvl w:val="4"/>
          <w:numId w:val="1"/>
        </w:numPr>
        <w:rPr/>
      </w:pPr>
      <w:bookmarkStart w:id="296" w:name="__RefHeading___Toc7812306_3381743652"/>
      <w:bookmarkStart w:id="297" w:name="_Toc112"/>
      <w:bookmarkEnd w:id="296"/>
      <w:r>
        <w:rPr>
          <w:rtl w:val="true"/>
        </w:rPr>
        <w:t>سیر نزولی امر به معروف و نهی از منکر</w:t>
      </w:r>
      <w:bookmarkEnd w:id="297"/>
    </w:p>
    <w:p>
      <w:pPr>
        <w:pStyle w:val="BookText"/>
        <w:rPr/>
      </w:pPr>
      <w:r>
        <w:rPr>
          <w:rFonts w:ascii="IRNazanin" w:hAnsi="IRNazanin" w:eastAsia="IRNazanin"/>
          <w:color w:val="111111"/>
          <w:sz w:val="28"/>
          <w:sz w:val="28"/>
          <w:szCs w:val="28"/>
          <w:rtl w:val="true"/>
          <w:lang w:bidi="fa-IR"/>
        </w:rPr>
        <w:t>در سیر نزولی امر به معروف و نهی از منکر، شیخ طوسی همچون سایر دانشمندان مسلمان، چنین فرموده است که اگر اقدام به آن دو با زور و سلاح، ممکن نبود، فقط به انجام آن به وسیله دست، اکتفا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 مقدور نبود، به امر به معروف و نهی از منکر زبانی بسنده می نماید و اگر آن هم امکان نداشت، همان اعتقاد به وجوب معروف و حرمت منکر، کافی است</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اگر چه پیامبر اکرم 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ضعیفترین درجه ایمان است</w:t>
      </w:r>
      <w:r>
        <w:rPr>
          <w:rFonts w:eastAsia="IRNazanin" w:cs="IRNazanin"/>
          <w:color w:val="111111"/>
          <w:sz w:val="28"/>
          <w:szCs w:val="28"/>
          <w:rtl w:val="true"/>
          <w:lang w:bidi="fa-IR"/>
        </w:rPr>
        <w:t>.</w:t>
      </w:r>
      <w:r>
        <w:rPr>
          <w:rStyle w:val="FootnoteAnchor"/>
          <w:rtl w:val="true"/>
        </w:rPr>
        <w:footnoteReference w:id="407"/>
      </w:r>
    </w:p>
    <w:p>
      <w:pPr>
        <w:pStyle w:val="Heading4"/>
        <w:numPr>
          <w:ilvl w:val="3"/>
          <w:numId w:val="1"/>
        </w:numPr>
        <w:rPr/>
      </w:pPr>
      <w:bookmarkStart w:id="298" w:name="__RefHeading___Toc7812308_3381743652"/>
      <w:bookmarkStart w:id="299" w:name="_Toc113"/>
      <w:bookmarkEnd w:id="298"/>
      <w:r>
        <w:rPr>
          <w:rtl w:val="true"/>
        </w:rPr>
        <w:t>چکیده</w:t>
      </w:r>
      <w:bookmarkEnd w:id="299"/>
    </w:p>
    <w:p>
      <w:pPr>
        <w:pStyle w:val="BookText"/>
        <w:rPr/>
      </w:pPr>
      <w:r>
        <w:rPr>
          <w:rFonts w:ascii="IRNazanin" w:hAnsi="IRNazanin" w:eastAsia="IRNazanin"/>
          <w:color w:val="111111"/>
          <w:sz w:val="28"/>
          <w:sz w:val="28"/>
          <w:szCs w:val="28"/>
          <w:rtl w:val="true"/>
          <w:lang w:bidi="fa-IR"/>
        </w:rPr>
        <w:t>چون امر به معروف و نهی از منکر از شؤون الهی و اساس استواری سایر قوانین دین اسلام است، تحقق خارجی آن، نیاز به تشکیلات حکومتی دارد؛ زیرا انجام آن، موجب کمال دیگران است و این خود غایت دین اسلام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یعنی فرمان دادن به کار مأنوس و شناخته شده و بازداشتن از کار نامأنوس و مجهول و در اصطلاح نیز به معنای وادار نمودن به انجام امر شایسته و نیک و منع از انجام امر ناشایست و زشت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شیخ الطایفه، عبارت است از تعهد درونی مستمر که واکنش بیرونی را به دنبال 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مسلمانان، انجام آن را واجب می دانند؛ فقط در اثبات آن از طریق شرع و یا عقل و همچنین در کفایی و یا عینی بودن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طرفدار عینی بودن آن است؛ به دلیل عمومیت آیات و روایات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 به معروف و نهی از منکر، ملاک دینداری افراد و مورد نیاز شدید جامعه انسانی است و تحقق آن در جامعه، آثار مثبتی همچون امنیت و حکومت خوبان و ترک آن، عواقب بدی همچون ناامنی و حکومت بدان را در پی خواهد داشت و ترک هم یا به خاطر ترس است و یا طمع و یا بعضی از ظاهر پنداریها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دو فریضه، تکلیف همگانی است و به جمع و یا فرد خاصی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اجرای آن، شرایط خاصی همچون شناخت معروف و منکر، اثر داشتن و نبودن مفسده را می طلبد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بیرونی آن، در صورت امکان، از وعظ و نصیحت آغاز می شود و تا مبارزه مسلحانه به قصد برچیدن منکر، ادامه می یابد؛ اگر چه به کشته شدن طرف،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 اجرا، به اعتبار جوامع،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قدرت و امکان، تا آخرین مرحله که اعتقاد قلبی است، سیر نزولی به خود می گیرد</w:t>
      </w:r>
      <w:r>
        <w:rPr>
          <w:rFonts w:eastAsia="IRNazanin" w:cs="IRNazanin"/>
          <w:color w:val="111111"/>
          <w:sz w:val="28"/>
          <w:szCs w:val="28"/>
          <w:rtl w:val="true"/>
          <w:lang w:bidi="fa-IR"/>
        </w:rPr>
        <w:t xml:space="preserve">. </w:t>
      </w:r>
      <w:bookmarkStart w:id="300" w:name="pg14387_143710"/>
    </w:p>
    <w:p>
      <w:pPr>
        <w:pStyle w:val="Heading2"/>
        <w:numPr>
          <w:ilvl w:val="1"/>
          <w:numId w:val="1"/>
        </w:numPr>
        <w:rPr/>
      </w:pPr>
      <w:bookmarkStart w:id="301" w:name="__RefHeading___Toc7812310_3381743652"/>
      <w:bookmarkStart w:id="302" w:name="_Toc114"/>
      <w:bookmarkEnd w:id="300"/>
      <w:bookmarkEnd w:id="301"/>
      <w:r>
        <w:rPr>
          <w:rtl w:val="true"/>
        </w:rPr>
        <w:t>معاد</w:t>
      </w:r>
      <w:bookmarkEnd w:id="302"/>
    </w:p>
    <w:p>
      <w:pPr>
        <w:pStyle w:val="Heading3"/>
        <w:numPr>
          <w:ilvl w:val="2"/>
          <w:numId w:val="1"/>
        </w:numPr>
        <w:rPr/>
      </w:pPr>
      <w:bookmarkStart w:id="303" w:name="__RefHeading___Toc7812312_3381743652"/>
      <w:bookmarkStart w:id="304" w:name="_Toc115"/>
      <w:bookmarkEnd w:id="303"/>
      <w:r>
        <w:rPr>
          <w:rtl w:val="true"/>
        </w:rPr>
        <w:t>مقدمه</w:t>
      </w:r>
      <w:bookmarkEnd w:id="304"/>
    </w:p>
    <w:p>
      <w:pPr>
        <w:pStyle w:val="BookText"/>
        <w:rPr/>
      </w:pPr>
      <w:r>
        <w:rPr>
          <w:rFonts w:ascii="IRNazanin" w:hAnsi="IRNazanin" w:eastAsia="IRNazanin"/>
          <w:color w:val="111111"/>
          <w:sz w:val="28"/>
          <w:sz w:val="28"/>
          <w:szCs w:val="28"/>
          <w:rtl w:val="true"/>
          <w:lang w:bidi="fa-IR"/>
        </w:rPr>
        <w:t>انسان، موجودی آینده نگر و هدفمند است که در ورای اعمال اختیاری خویش، غایات و اهداف خاصی را جستجو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عالی ترین هدف هر انسانی، دستیابی به گوهر سعادت است، اما تفسیر و تصویر انسانها از سعادت، یکسان نیست؛ کسی که زندگی خویش را در زندگی دنیوی منحصر می داند و مرگ را پایان هستی خود می پندارد، سعادت خود را در حیات محدود این جهان جستجو می کند، اما کسی که به حیات جاویدان پس از مرگ معتقد است، سعادت حقیقی و کمال نهایی را در گرو رستگاری اخروی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دنیا را مزرعه آخرت می داند و بر این باور است که کیفر و پاداش نهایی تمام اعمال خود را در روز بازپسین، به دست خواهد آورد؛ بنابراین، ایمان انسان به حیات پس از مرگ، نقش بسیار مهمی در سلوک فکری و عملی انسان ایفا می 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است که شاهد تفاوتهای اساسی زندگی معاد باوران، با حیات منکران معاد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نقش اساسی، عقل آدمی الزام می کند که در چند و چون حیات اخروی خویش، تأمل نماییم و با استفاده از منابعی که در دست داریم، در جوانب </w:t>
      </w:r>
    </w:p>
    <w:p>
      <w:pPr>
        <w:pStyle w:val="BookText"/>
        <w:rPr/>
      </w:pPr>
      <w:r>
        <w:rPr>
          <w:rFonts w:ascii="IRNazanin" w:hAnsi="IRNazanin" w:eastAsia="IRNazanin"/>
          <w:color w:val="111111"/>
          <w:sz w:val="28"/>
          <w:sz w:val="28"/>
          <w:szCs w:val="28"/>
          <w:rtl w:val="true"/>
          <w:lang w:bidi="fa-IR"/>
        </w:rPr>
        <w:t>مختلف این مسئله، به تحقیق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مسئله معاد تا آن جاست که حتی افرادی که در اصل وقوع آن تردید دارند، خویش را بی نیاز از تحقیق و تفحص نمی یابند؛ زیرا صرف احتمال وقوع معاد، هر چند ضعیف باشد، از آن رو که 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خطیر و مهمی است، انسان را عقلا ملزم به تحقیق و بررسی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اسلام، در تداوم رسالت پیامبران پیشین، جایگاه بلندی به مباحث معادشناسی بخشیده و در صدها آیه، به صورت مستقیم یا غیرمستقیم، به مسئله معاد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ای از آیات، ایمان به معاد، در کنار ایمان به خدا و به صورت مستقل، مطرح شده</w:t>
      </w:r>
    </w:p>
    <w:p>
      <w:pPr>
        <w:pStyle w:val="BookText"/>
        <w:rPr/>
      </w:pPr>
      <w:r>
        <w:rPr>
          <w:rFonts w:ascii="IRNazanin" w:hAnsi="IRNazanin" w:eastAsia="IRNazanin"/>
          <w:color w:val="111111"/>
          <w:sz w:val="28"/>
          <w:sz w:val="28"/>
          <w:szCs w:val="28"/>
          <w:rtl w:val="true"/>
          <w:lang w:bidi="fa-IR"/>
        </w:rPr>
        <w:t>و مورد تأکید قرار گرفته 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قرآن کریم، از یک سو، امکان و ضرورت وقوع معاد را با شیوه های گوناگون، تبیین کرده و به شبهات منکران معاد پاسخ گفته است و از سوی دیگر، در آیات متعددی به بیان چگونگی نعمتها و عذابها و رابطه آن با اعمال نیک و بد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علاوه بر آگاه ساختن انسان از احوال اخروی خویش، او را به انجام اعمال نیک و پرهیز از زشتیها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احادیث پیامبر و اهل بیت عالی نیز می توان معارف بلندی درباره معاد و حیات ابدی انسان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مسلمان، بویژه متکلمان اسلامی، با الهام از قرآن و سنت، پژوهشهای گرانسنگ و عمیقی را در معادشناسی به انجام رسانده اند و کمتر متکلمی را می توان یافت که در نوشته کلامی خویش، بحث مستقلی از معاد ارائه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گفت که اصل معاد، چه در منابع اصیل اندیشه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نزد دانشمندان مسلمان، از جایگاه ممتازی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معادشناسی به دو بخش قابل تقسیم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مباحث معاد، با روش عقلی قابل تحقیق و بررسی است و در این حوزه می توان از استدلالها و براهین عقلی مدد جست و آموزه های قرآن و سنت را با تأیید عقل، همراه ساخت</w:t>
      </w:r>
      <w:r>
        <w:rPr>
          <w:rFonts w:eastAsia="IRNazanin" w:cs="IRNazanin"/>
          <w:color w:val="111111"/>
          <w:sz w:val="28"/>
          <w:szCs w:val="28"/>
          <w:rtl w:val="true"/>
          <w:lang w:bidi="fa-IR"/>
        </w:rPr>
        <w:t xml:space="preserve">. </w:t>
      </w:r>
      <w:bookmarkStart w:id="305" w:name="pg14387_143712"/>
    </w:p>
    <w:p>
      <w:pPr>
        <w:pStyle w:val="BookText"/>
        <w:rPr/>
      </w:pPr>
      <w:bookmarkEnd w:id="305"/>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ای از مسائل مربوط به معاد، به گونه ای است که در آن، مجالی برای داوری عقل و توسل به ادله و براهین عقلی وجود ندارد و تنها راه مطمئن و قابل اعتماد، بهره گیری از تعالیم وحیانی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پیکره بحث معاد در کتب کلامی گذشته، با آنچه در متون امروزی کلام و عقاید اسلامی به چشم می خورد،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در گذشته، مسائلی مانند امکان انقطاع تکلیف و امکان اعدام جواهر و عالم طبیعت را به مثابه مقدمه بحث معاد مطرح می کردند و در اواخر این بحث، مباحثی مانند وعد و وعید، ایمان و کفر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افزودند، اما دیدگاه اسلام را در توصیف احوال برزخ و قیامت، به تفصیل مورد بررسی قرار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الطایفه نیز در کتب کلامی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فیما یتعلق بالاعتقاد، تمهید الأصول فی علم الکلام این روش را دنبال نموده است، ولی شیوه مذکور، با کاستیهای زیر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مباحث لازم، مورد بررسی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و نظم منطقی در آن رعایت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نوشتار، چون سعی شده است که اکثر مباحث، طبق نظم منطقی، مورد بحث قرار گیرد، تعداد کثیری از مباحثی که در کتب کلامی شیخ مطرح نبوده، مطرح و سعی شده است که دیدگاه وی از آثار تفسیری ایشان به دست آورده شود</w:t>
      </w:r>
      <w:r>
        <w:rPr>
          <w:rFonts w:eastAsia="IRNazanin" w:cs="IRNazanin"/>
          <w:color w:val="111111"/>
          <w:sz w:val="28"/>
          <w:szCs w:val="28"/>
          <w:rtl w:val="true"/>
          <w:lang w:bidi="fa-IR"/>
        </w:rPr>
        <w:t>.</w:t>
      </w:r>
    </w:p>
    <w:p>
      <w:pPr>
        <w:pStyle w:val="Heading3"/>
        <w:numPr>
          <w:ilvl w:val="2"/>
          <w:numId w:val="1"/>
        </w:numPr>
        <w:rPr/>
      </w:pPr>
      <w:bookmarkStart w:id="306" w:name="__RefHeading___Toc7812314_3381743652"/>
      <w:bookmarkStart w:id="307" w:name="_Toc116"/>
      <w:bookmarkEnd w:id="306"/>
      <w:r>
        <w:rPr>
          <w:rtl w:val="true"/>
        </w:rPr>
        <w:t>معاد در لغت و اصطلاح</w:t>
      </w:r>
      <w:bookmarkEnd w:id="307"/>
    </w:p>
    <w:p>
      <w:pPr>
        <w:pStyle w:val="BookText"/>
        <w:rPr/>
      </w:pPr>
      <w:r>
        <w:rPr>
          <w:rFonts w:ascii="IRNazanin" w:hAnsi="IRNazanin" w:eastAsia="IRNazanin"/>
          <w:color w:val="111111"/>
          <w:sz w:val="28"/>
          <w:sz w:val="28"/>
          <w:szCs w:val="28"/>
          <w:rtl w:val="true"/>
          <w:lang w:bidi="fa-IR"/>
        </w:rPr>
        <w:t xml:space="preserve">در کلام اسلامی، مشهورترین اصطلاحی که برای اشاره به مجموعه مباحث مربوط به احوال انسان پس از مرگ و حیات اخروی به کار می رود،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بازگشتن، یا محل بازگشت و یا وقت بازگشت است</w:t>
      </w:r>
      <w:r>
        <w:rPr>
          <w:rFonts w:eastAsia="IRNazanin" w:cs="IRNazanin"/>
          <w:color w:val="111111"/>
          <w:sz w:val="28"/>
          <w:szCs w:val="28"/>
          <w:rtl w:val="true"/>
          <w:lang w:bidi="fa-IR"/>
        </w:rPr>
        <w:t>.</w:t>
      </w:r>
      <w:r>
        <w:rPr>
          <w:rStyle w:val="FootnoteAnchor"/>
          <w:rtl w:val="true"/>
        </w:rPr>
        <w:footnoteReference w:id="40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مفهوم اصطلاحی معاد، آرای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تفسیر شیخ الطایفه، معاد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اجسام در روز رستاخیز به همان شکلی که بوده است</w:t>
      </w:r>
      <w:r>
        <w:rPr>
          <w:rFonts w:eastAsia="IRNazanin" w:cs="IRNazanin"/>
          <w:color w:val="111111"/>
          <w:sz w:val="28"/>
          <w:szCs w:val="28"/>
          <w:rtl w:val="true"/>
          <w:lang w:bidi="fa-IR"/>
        </w:rPr>
        <w:t>».</w:t>
      </w:r>
      <w:r>
        <w:rPr>
          <w:rStyle w:val="FootnoteAnchor"/>
          <w:rtl w:val="true"/>
        </w:rPr>
        <w:footnoteReference w:id="410"/>
      </w:r>
      <w:bookmarkStart w:id="308" w:name="pg14387_143713"/>
    </w:p>
    <w:p>
      <w:pPr>
        <w:pStyle w:val="BookText"/>
        <w:rPr/>
      </w:pPr>
      <w:bookmarkEnd w:id="308"/>
      <w:r>
        <w:rPr>
          <w:rFonts w:ascii="IRNazanin" w:hAnsi="IRNazanin" w:eastAsia="IRNazanin"/>
          <w:color w:val="111111"/>
          <w:sz w:val="28"/>
          <w:sz w:val="28"/>
          <w:szCs w:val="28"/>
          <w:rtl w:val="true"/>
          <w:lang w:bidi="fa-IR"/>
        </w:rPr>
        <w:t xml:space="preserve">در تفسیر دیگری، معاد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روح به بدن، بعد از مفارقت از آن</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xml:space="preserve">و طبق تفسیر سوم، معاد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کردن خداوند، بندگانش را برای دادن پاداش و کیفر</w:t>
      </w:r>
      <w:r>
        <w:rPr>
          <w:rFonts w:eastAsia="IRNazanin" w:cs="IRNazanin"/>
          <w:color w:val="111111"/>
          <w:sz w:val="28"/>
          <w:szCs w:val="28"/>
          <w:rtl w:val="true"/>
          <w:lang w:bidi="fa-IR"/>
        </w:rPr>
        <w:t>»</w:t>
      </w:r>
      <w:r>
        <w:rPr>
          <w:rStyle w:val="FootnoteAnchor"/>
          <w:rtl w:val="true"/>
        </w:rPr>
        <w:footnoteReference w:id="412"/>
      </w:r>
    </w:p>
    <w:p>
      <w:pPr>
        <w:pStyle w:val="Heading3"/>
        <w:numPr>
          <w:ilvl w:val="2"/>
          <w:numId w:val="1"/>
        </w:numPr>
        <w:rPr/>
      </w:pPr>
      <w:bookmarkStart w:id="309" w:name="__RefHeading___Toc7812316_3381743652"/>
      <w:bookmarkStart w:id="310" w:name="_Toc117"/>
      <w:bookmarkEnd w:id="309"/>
      <w:r>
        <w:rPr>
          <w:rtl w:val="true"/>
        </w:rPr>
        <w:t>دلایل امکان معاد در قرآن</w:t>
      </w:r>
      <w:bookmarkEnd w:id="310"/>
    </w:p>
    <w:p>
      <w:pPr>
        <w:pStyle w:val="Heading4"/>
        <w:numPr>
          <w:ilvl w:val="3"/>
          <w:numId w:val="1"/>
        </w:numPr>
        <w:rPr/>
      </w:pPr>
      <w:bookmarkStart w:id="311" w:name="__RefHeading___Toc7812318_3381743652"/>
      <w:bookmarkStart w:id="312" w:name="_Toc118"/>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در قرآن مجید، برای اثبات امکان معاد، طرق فراوانی وجود دارد که همه در شکل استدلال منطقی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طرق را با تعبیرات بسیار لطیفی شرح داده است که آنها را می توان در عناوین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ارض یا حیات و مرگ گیاهان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تکامل 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عینی و تاریخی معاد</w:t>
      </w:r>
      <w:r>
        <w:rPr>
          <w:rFonts w:eastAsia="IRNazanin" w:cs="IRNazanin"/>
          <w:color w:val="111111"/>
          <w:sz w:val="28"/>
          <w:szCs w:val="28"/>
          <w:rtl w:val="true"/>
          <w:lang w:bidi="fa-IR"/>
        </w:rPr>
        <w:t>.</w:t>
      </w:r>
    </w:p>
    <w:p>
      <w:pPr>
        <w:pStyle w:val="Heading4"/>
        <w:numPr>
          <w:ilvl w:val="3"/>
          <w:numId w:val="1"/>
        </w:numPr>
        <w:rPr/>
      </w:pPr>
      <w:bookmarkStart w:id="313" w:name="__RefHeading___Toc7812320_3381743652"/>
      <w:bookmarkStart w:id="314" w:name="_Toc119"/>
      <w:bookmarkEnd w:id="313"/>
      <w:r>
        <w:rPr/>
        <w:t>۱</w:t>
      </w:r>
      <w:r>
        <w:rPr>
          <w:rtl w:val="true"/>
        </w:rPr>
        <w:t xml:space="preserve">. </w:t>
      </w:r>
      <w:r>
        <w:rPr>
          <w:rtl w:val="true"/>
        </w:rPr>
        <w:t>آفرینش نخستین</w:t>
      </w:r>
      <w:bookmarkEnd w:id="314"/>
    </w:p>
    <w:p>
      <w:pPr>
        <w:pStyle w:val="BookText"/>
        <w:rPr/>
      </w:pPr>
      <w:r>
        <w:rPr>
          <w:rFonts w:ascii="IRNazanin" w:hAnsi="IRNazanin" w:eastAsia="IRNazanin"/>
          <w:color w:val="111111"/>
          <w:sz w:val="28"/>
          <w:sz w:val="28"/>
          <w:szCs w:val="28"/>
          <w:rtl w:val="true"/>
          <w:lang w:bidi="fa-IR"/>
        </w:rPr>
        <w:t>درباره هر یک از موضوعات فوق، آیات متعددی در قرآن آمده است که بررسی همه آنها از حوصله این نوشتار، خارج است، ولی به صورت خلاصه، درباره هر یک از عناوین فوق، به یک یا دو آیه اشاره می 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آفرینش نخستین 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لنا مثلا و نسی خلقه قال من یحیی العظام و هی رمیم، قل یحییها الذی أنشأها أول مرتی و هو بکل خلق علیم</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هنگامی که عرب مشرکی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أمیة بن خلفه قطعه استخوان پوسیده ای را به دست گرفت و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 تواند این استخوان را در حالی که پوسیده است، از نو زنده کند؟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 xml:space="preserve">قرآن به </w:t>
      </w:r>
      <w:bookmarkStart w:id="315" w:name="pg14387_143714"/>
    </w:p>
    <w:p>
      <w:pPr>
        <w:pStyle w:val="BookText"/>
        <w:rPr/>
      </w:pPr>
      <w:bookmarkEnd w:id="315"/>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پنج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که پاسخ قاطعی از طرق مختلف به او و امثال او بدهد که یکی از آنها، همین مسئله آفرینش نخستین است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آفرینش نخستین خود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 را آن کسی که برای بار نخست آفرید،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آیه قبلش، به مطالب زیر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قادر است انسان را نخستین بار، از نطفه خلق کند و به سر حد کمال و رشد برساند، قادر است که همان استخوانهای پوسیده او را حیات بخشد و مثل خلق اول، دوباره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صحت نظر و استدلال نیز اشاره دارد؛ چون خداوند از طریق مقایسه بین خلق اول و اعاده دوم، برای اثبات اعاده روز رستاخیز استدلال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اولی را پذیرفته باشد، باید دومی را هم بپذیرد؛ چون اعاده، مهمتر و مشکلتر از خلق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انواع خلق را به خوبی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اجزای بدن انسان را به خوبی می شناسد، همان خدایی که به این مواد بی جان، جان بخشید، به آن، روح و حیات می بخشد</w:t>
      </w:r>
      <w:r>
        <w:rPr>
          <w:rFonts w:eastAsia="IRNazanin" w:cs="IRNazanin"/>
          <w:color w:val="111111"/>
          <w:sz w:val="28"/>
          <w:szCs w:val="28"/>
          <w:rtl w:val="true"/>
          <w:lang w:bidi="fa-IR"/>
        </w:rPr>
        <w:t>.</w:t>
      </w:r>
      <w:r>
        <w:rPr>
          <w:rStyle w:val="FootnoteAnchor"/>
          <w:rtl w:val="true"/>
        </w:rPr>
        <w:footnoteReference w:id="415"/>
      </w:r>
    </w:p>
    <w:p>
      <w:pPr>
        <w:pStyle w:val="Heading4"/>
        <w:numPr>
          <w:ilvl w:val="3"/>
          <w:numId w:val="1"/>
        </w:numPr>
        <w:rPr/>
      </w:pPr>
      <w:bookmarkStart w:id="316" w:name="__RefHeading___Toc7812322_3381743652"/>
      <w:bookmarkStart w:id="317" w:name="_Toc120"/>
      <w:bookmarkEnd w:id="316"/>
      <w:r>
        <w:rPr/>
        <w:t>۲</w:t>
      </w:r>
      <w:r>
        <w:rPr>
          <w:rtl w:val="true"/>
        </w:rPr>
        <w:t xml:space="preserve">. </w:t>
      </w:r>
      <w:r>
        <w:rPr>
          <w:rtl w:val="true"/>
        </w:rPr>
        <w:t>قدرت مطلقه خداوند</w:t>
      </w:r>
      <w:bookmarkEnd w:id="317"/>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لخلق السموات و الأرض أکبر من خلق الناس و لکن أکثر الناس لا یعلمون</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مسئله احیای مردگان را با آفرینش مجموعه آسمانها و زمین مقایسه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آسمانها و زمین، از آفرینش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احیای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است، و لکن بیشتر مردم نمی دانند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الطایفه در وجه برتری و اهمیت آفرینش آسمان و زمین بر آفرینش مجدد انسان،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آسمان و زمین، با این بزرگی و سنگینی و نگهداری آنها بدون هیچ گونه عمود و ستون و جریان افلاک و کواکب و آن اسرار عظیم و نظم دقیقی که بین افلاک و کهکشانها برقرار است، مهمتر و برتر از آفرینش مجدد انسانهاست، و لکن </w:t>
      </w:r>
      <w:bookmarkStart w:id="318" w:name="pg14387_143715"/>
    </w:p>
    <w:p>
      <w:pPr>
        <w:pStyle w:val="BookText"/>
        <w:rPr/>
      </w:pPr>
      <w:bookmarkEnd w:id="318"/>
      <w:r>
        <w:rPr>
          <w:rFonts w:ascii="IRNazanin" w:hAnsi="IRNazanin" w:eastAsia="IRNazanin"/>
          <w:color w:val="111111"/>
          <w:sz w:val="28"/>
          <w:sz w:val="28"/>
          <w:szCs w:val="28"/>
          <w:rtl w:val="true"/>
          <w:lang w:bidi="fa-IR"/>
        </w:rPr>
        <w:t>اکثر مردم به خاطر تعصب و پیروی از هوای نفس، آن را نمی دانند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فخر رازی در تفسیر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 واضح برای بیان این حقیقت است که خداوند، قادر بر اعاده حیات انسان است و نشان می دهد که منکران معاد، بدون هیچ گونه دلیل و برهان، بلکه تنها به خاطر حسد، جهل، کبر و تعصب، راه جدال و انکار</w:t>
      </w:r>
    </w:p>
    <w:p>
      <w:pPr>
        <w:pStyle w:val="BookText"/>
        <w:rPr/>
      </w:pPr>
      <w:r>
        <w:rPr>
          <w:rFonts w:ascii="IRNazanin" w:hAnsi="IRNazanin" w:eastAsia="IRNazanin"/>
          <w:color w:val="111111"/>
          <w:sz w:val="28"/>
          <w:sz w:val="28"/>
          <w:szCs w:val="28"/>
          <w:rtl w:val="true"/>
          <w:lang w:bidi="fa-IR"/>
        </w:rPr>
        <w:t>را پیموده اند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مفسران دیگری مانند طبرسی</w:t>
      </w:r>
      <w:r>
        <w:rPr>
          <w:rStyle w:val="FootnoteAnchor"/>
          <w:rtl w:val="true"/>
        </w:rPr>
        <w:footnoteReference w:id="419"/>
      </w:r>
      <w:r>
        <w:rPr>
          <w:rFonts w:ascii="IRNazanin" w:hAnsi="IRNazanin" w:eastAsia="IRNazanin"/>
          <w:color w:val="111111"/>
          <w:sz w:val="28"/>
          <w:sz w:val="28"/>
          <w:szCs w:val="28"/>
          <w:rtl w:val="true"/>
          <w:lang w:bidi="fa-IR"/>
        </w:rPr>
        <w:t>، قرطبی</w:t>
      </w:r>
      <w:r>
        <w:rPr>
          <w:rStyle w:val="FootnoteAnchor"/>
          <w:rtl w:val="true"/>
        </w:rPr>
        <w:footnoteReference w:id="420"/>
      </w:r>
      <w:r>
        <w:rPr>
          <w:rFonts w:ascii="IRNazanin" w:hAnsi="IRNazanin" w:eastAsia="IRNazanin"/>
          <w:color w:val="111111"/>
          <w:sz w:val="28"/>
          <w:sz w:val="28"/>
          <w:szCs w:val="28"/>
          <w:rtl w:val="true"/>
          <w:lang w:bidi="fa-IR"/>
        </w:rPr>
        <w:t>، اسماعیل حقی</w:t>
      </w:r>
      <w:r>
        <w:rPr>
          <w:rStyle w:val="FootnoteAnchor"/>
          <w:rtl w:val="true"/>
        </w:rPr>
        <w:footnoteReference w:id="421"/>
      </w:r>
      <w:r>
        <w:rPr>
          <w:rFonts w:ascii="IRNazanin" w:hAnsi="IRNazanin" w:eastAsia="IRNazanin"/>
          <w:color w:val="111111"/>
          <w:sz w:val="28"/>
          <w:sz w:val="28"/>
          <w:szCs w:val="28"/>
          <w:rtl w:val="true"/>
          <w:lang w:bidi="fa-IR"/>
        </w:rPr>
        <w:t>و زمخشری</w:t>
      </w:r>
      <w:r>
        <w:rPr>
          <w:rStyle w:val="FootnoteAnchor"/>
          <w:rtl w:val="true"/>
        </w:rPr>
        <w:footnoteReference w:id="422"/>
      </w:r>
      <w:r>
        <w:rPr>
          <w:rFonts w:ascii="IRNazanin" w:hAnsi="IRNazanin" w:eastAsia="IRNazanin"/>
          <w:color w:val="111111"/>
          <w:sz w:val="28"/>
          <w:sz w:val="28"/>
          <w:szCs w:val="28"/>
          <w:rtl w:val="true"/>
          <w:lang w:bidi="fa-IR"/>
        </w:rPr>
        <w:t>نیز تصریح کرده اند که این آیه، ناظر به منکران رستاخیز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قادر بر انجام امور مهمتری مانند آفرینش آسمانهای با عظمت و زمین، با آن همه مخلوقات شگرف می باشد، چگونه قادر به اعاده حیات مردگان نیست؟</w:t>
      </w:r>
    </w:p>
    <w:p>
      <w:pPr>
        <w:pStyle w:val="BookText"/>
        <w:rPr/>
      </w:pPr>
      <w:r>
        <w:rPr>
          <w:rFonts w:ascii="IRNazanin" w:hAnsi="IRNazanin" w:eastAsia="IRNazanin"/>
          <w:color w:val="111111"/>
          <w:sz w:val="28"/>
          <w:sz w:val="28"/>
          <w:szCs w:val="28"/>
          <w:rtl w:val="true"/>
          <w:lang w:bidi="fa-IR"/>
        </w:rPr>
        <w:t>همین معنی در آیه دیگری با تعبیری دیگر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یروا أن الله الذی خلق السموات و الأرض و لم یعی بخلقه بقادر علی أن یحیی الموتی بلی إنه علی کل شی قدیر</w:t>
      </w:r>
      <w:r>
        <w:rPr>
          <w:rFonts w:eastAsia="IRNazanin" w:cs="IRNazanin"/>
          <w:color w:val="111111"/>
          <w:sz w:val="28"/>
          <w:szCs w:val="28"/>
          <w:rtl w:val="true"/>
          <w:lang w:bidi="fa-IR"/>
        </w:rPr>
        <w:t>».</w:t>
      </w:r>
      <w:r>
        <w:rPr>
          <w:rStyle w:val="FootnoteAnchor"/>
          <w:rtl w:val="true"/>
        </w:rPr>
        <w:footnoteReference w:id="423"/>
      </w:r>
    </w:p>
    <w:p>
      <w:pPr>
        <w:pStyle w:val="Heading4"/>
        <w:numPr>
          <w:ilvl w:val="3"/>
          <w:numId w:val="1"/>
        </w:numPr>
        <w:rPr/>
      </w:pPr>
      <w:bookmarkStart w:id="319" w:name="__RefHeading___Toc7812324_3381743652"/>
      <w:bookmarkStart w:id="320" w:name="_Toc121"/>
      <w:bookmarkEnd w:id="319"/>
      <w:r>
        <w:rPr/>
        <w:t>٣</w:t>
      </w:r>
      <w:r>
        <w:rPr>
          <w:rtl w:val="true"/>
        </w:rPr>
        <w:t xml:space="preserve">. </w:t>
      </w:r>
      <w:r>
        <w:rPr>
          <w:rtl w:val="true"/>
        </w:rPr>
        <w:t>احیای ارض یا حیات و مرگ گیاهان</w:t>
      </w:r>
      <w:bookmarkEnd w:id="320"/>
    </w:p>
    <w:p>
      <w:pPr>
        <w:pStyle w:val="BookText"/>
        <w:rPr/>
      </w:pPr>
      <w:r>
        <w:rPr>
          <w:rFonts w:ascii="IRNazanin" w:hAnsi="IRNazanin" w:eastAsia="IRNazanin"/>
          <w:color w:val="111111"/>
          <w:sz w:val="28"/>
          <w:sz w:val="28"/>
          <w:szCs w:val="28"/>
          <w:rtl w:val="true"/>
          <w:lang w:bidi="fa-IR"/>
        </w:rPr>
        <w:t>چهره دیگری از معاد که قرآن مجید، بارها آن را یاد آور شده است، مسئله زندگی پس از مرگ در جهان نباتات است؛ همان صحنه ای که هر سال، در برابر دیدگان ما تکرار می شود و به تعداد سالهای عمرمان آن را مشاهده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حیات و مرگ، همه جا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بازگشتن انسانها بعد از مردن، محال باشد، چرا این همه گیاهان که می میرند و خاک می شوند، بار دیگر با حیات نوینی، پا به عرصه وجود می گذارند؟ چرا زمینهای مرده، پس از نزول باران، لباس حیات بر تن می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توجه همه انسانها را به این مسئله جلب می کند و در ضمن آیات متعدد، چنین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الله الذی أرسل الریاح فتثیر سحابة فسقناه إلی بلد میت فأحیینا به الأرض بعد موتها کذلک النشور</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در این آیه، ضمن اشاره به چگونگی نزول باران،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زمین مرده را به واسطه رویاندن گیاهان و ظاهر کردن شکوفه ها، حیات دوباره می بخشیم، خلایق را در روز رستاخیز، برای بررسی کیفر و پاداش، محشور می کنیم</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شیخ الطایفه بعد از بیان این مطلب، به نکته دیگری نیز اشاره می کند و آن این که گفته شده است که قبل از حشر خلایق، چهل روز باران می بارد، بعد خداوند مخلوقات خودش را محشور می کند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هو الذی یرسل الریاح بشرة بین یدی رحمته حتی إذا أقلت سحابة ثقالا سقناه لبلیر می فأنزلنا به الماء فأخرجنا به من کل الثمرات کذلک نخرج الموتی لعلکم تذکرون</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در این آیه نیز سخن از ابرهایی است که بر دوش بادها به سوی سرزمینهای مرده به حرکت در می آیند، سپس باران حیات بخش از آن فرو می ریزد و با آن، میوه های گوناگون را از خاک بیرون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میوه ها را از خاک مرده بیرون می آوریم، مردگان را هم در قیامت از قبرهایشان خارج می سازیم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الطایفه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انسانها باید در این باره، توجه و تفکر نمایند که کسی که قادر به ایجاد درختان و میوه های گوناگون در زمین مرده و بدون آب و گیاه است، قادر به احیای مجدد مردگان در روز رستاخیز نیز هست</w:t>
      </w:r>
      <w:r>
        <w:rPr>
          <w:rFonts w:eastAsia="IRNazanin" w:cs="IRNazanin"/>
          <w:color w:val="111111"/>
          <w:sz w:val="28"/>
          <w:szCs w:val="28"/>
          <w:rtl w:val="true"/>
          <w:lang w:bidi="fa-IR"/>
        </w:rPr>
        <w:t>.</w:t>
      </w:r>
      <w:r>
        <w:rPr>
          <w:rStyle w:val="FootnoteAnchor"/>
          <w:rtl w:val="true"/>
        </w:rPr>
        <w:footnoteReference w:id="428"/>
      </w:r>
      <w:bookmarkStart w:id="321" w:name="pg14387_143717"/>
    </w:p>
    <w:p>
      <w:pPr>
        <w:pStyle w:val="Heading4"/>
        <w:numPr>
          <w:ilvl w:val="3"/>
          <w:numId w:val="1"/>
        </w:numPr>
        <w:rPr/>
      </w:pPr>
      <w:bookmarkStart w:id="322" w:name="__RefHeading___Toc7812326_3381743652"/>
      <w:bookmarkStart w:id="323" w:name="_Toc122"/>
      <w:bookmarkEnd w:id="321"/>
      <w:bookmarkEnd w:id="322"/>
      <w:r>
        <w:rPr/>
        <w:t>۴</w:t>
      </w:r>
      <w:r>
        <w:rPr>
          <w:rtl w:val="true"/>
        </w:rPr>
        <w:t xml:space="preserve">. </w:t>
      </w:r>
      <w:r>
        <w:rPr>
          <w:rtl w:val="true"/>
        </w:rPr>
        <w:t>سیر تکامل جنین</w:t>
      </w:r>
      <w:bookmarkEnd w:id="323"/>
    </w:p>
    <w:p>
      <w:pPr>
        <w:pStyle w:val="BookText"/>
        <w:rPr/>
      </w:pPr>
      <w:r>
        <w:rPr>
          <w:rFonts w:ascii="IRNazanin" w:hAnsi="IRNazanin" w:eastAsia="IRNazanin"/>
          <w:color w:val="111111"/>
          <w:sz w:val="28"/>
          <w:sz w:val="28"/>
          <w:szCs w:val="28"/>
          <w:rtl w:val="true"/>
          <w:lang w:bidi="fa-IR"/>
        </w:rPr>
        <w:t xml:space="preserve">یکی دیگر از طرقی که قرآن مجید در آیات متعددی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پیموده است، بررسی دگرگونیهای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زمان قرار گرفتن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تولد طی می کند و در حقیقت، هر یک از این مراحل، حیات تازه و نمونه ای از معاد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تحولات و دگرگونیهای صریح و بی وقفه و شگفت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شباهت زیادی به مسئله حیات بعد از مرگ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هم در بحث توحید و هم در بحث معاد، بر این مسئله تکیه نموده و ضمن آیات متعدد، از آن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 کنتم فی ریب من البعث فإنا خلقناکم من تراب ثم من نطفه ثم من علقه ثم من مضغة مخلقة و غیر مخلقة لنبین لکم و نقز فی الأرحام ما نشاء إلی أجل مستی ثم نخرجکم طفلا ثم لتبلغوا أشدکم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 الله هو الحق و أنه یحیی الموتی و أنه علی کل شیء قدیر</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بر هر چیز،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این جا برای استدلال بر امکان معاد و حیات مجدد، مراحل تحولات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دقیق بیان می کند و یادآور می شود که اگر درباره امکان رستاخیز، شک و تردید دارید، در مراحل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شما را از خاک آفریدیم و سپس از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بعد از پیمودن این راه پر فراز و نشیب، شما را به صورت کامل، از عالم رحم بیرون می فرستیم، سپس به مراحل زندگی انسان در دنیا اشاره می کند و بعد به جهان نباتات رو می آورد و مثال دیگری از قرار گرفتن دانه ها در رحم زمین و زنده شدن زمینهای مرده به وسیله باران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الطایفه نسبت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خلقناکم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دیدگاه اشاره می 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آفرینش شما از خاک، این است که اصل و نسل شما را که حضرت آدم باشد، از خاک آفریدیم</w:t>
      </w:r>
      <w:r>
        <w:rPr>
          <w:rFonts w:eastAsia="IRNazanin" w:cs="IRNazanin"/>
          <w:color w:val="111111"/>
          <w:sz w:val="28"/>
          <w:szCs w:val="28"/>
          <w:rtl w:val="true"/>
          <w:lang w:bidi="fa-IR"/>
        </w:rPr>
        <w:t xml:space="preserve">. </w:t>
      </w:r>
      <w:bookmarkStart w:id="324" w:name="pg14387_143718"/>
    </w:p>
    <w:p>
      <w:pPr>
        <w:pStyle w:val="BookText"/>
        <w:rPr/>
      </w:pPr>
      <w:bookmarkEnd w:id="324"/>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جمیع خلق را از خاک آفریدیم؛ زیرا همه خلق، از نطفه و نطفه از غذا و غذا از خاک است، پس در اصل، همه خلایق از خاک آفریده شده اند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سپس به دنبال همین آیه، در آیه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خاطر آن است که بدانید خداوند، حق است و پایه های توحید در درون جان شما محکم شود؛ چون خداوند، تنها موجودی است که مستحق عبادت می باشد و نیز بدانید که خداوند، مردگان را زنده می کند و بر هر چیز، تواناست؛ چون کسی که قادر است خلایق را ابتدائا ایجاد کند و آنها را از حالی به حالی منتقل کند، حتما قادر است که مردگان را مجددا در روز رستاخیز، حیات بخشد</w:t>
      </w:r>
      <w:r>
        <w:rPr>
          <w:rFonts w:eastAsia="IRNazanin" w:cs="IRNazanin"/>
          <w:color w:val="111111"/>
          <w:sz w:val="28"/>
          <w:szCs w:val="28"/>
          <w:rtl w:val="true"/>
          <w:lang w:bidi="fa-IR"/>
        </w:rPr>
        <w:t>.</w:t>
      </w:r>
      <w:r>
        <w:rPr>
          <w:rStyle w:val="FootnoteAnchor"/>
          <w:rtl w:val="true"/>
        </w:rPr>
        <w:footnoteReference w:id="431"/>
      </w:r>
    </w:p>
    <w:p>
      <w:pPr>
        <w:pStyle w:val="Heading4"/>
        <w:numPr>
          <w:ilvl w:val="3"/>
          <w:numId w:val="1"/>
        </w:numPr>
        <w:rPr/>
      </w:pPr>
      <w:bookmarkStart w:id="325" w:name="__RefHeading___Toc7812328_3381743652"/>
      <w:bookmarkStart w:id="326" w:name="_Toc123"/>
      <w:bookmarkEnd w:id="325"/>
      <w:r>
        <w:rPr/>
        <w:t>۵</w:t>
      </w:r>
      <w:r>
        <w:rPr>
          <w:rtl w:val="true"/>
        </w:rPr>
        <w:t xml:space="preserve">. </w:t>
      </w:r>
      <w:r>
        <w:rPr>
          <w:rtl w:val="true"/>
        </w:rPr>
        <w:t>نمونه های عینی و تاریخی معاد</w:t>
      </w:r>
      <w:bookmarkEnd w:id="326"/>
    </w:p>
    <w:p>
      <w:pPr>
        <w:pStyle w:val="BookText"/>
        <w:rPr/>
      </w:pPr>
      <w:r>
        <w:rPr>
          <w:rFonts w:ascii="IRNazanin" w:hAnsi="IRNazanin" w:eastAsia="IRNazanin"/>
          <w:color w:val="111111"/>
          <w:sz w:val="28"/>
          <w:sz w:val="28"/>
          <w:szCs w:val="28"/>
          <w:rtl w:val="true"/>
          <w:lang w:bidi="fa-IR"/>
        </w:rPr>
        <w:t xml:space="preserve">علاوه بر آنچه در بحثهای گذشته درباره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قرآن مجید به یک سلسله نمونه های عینی و تاریخی برای معاد در آیات مختلف اشاره کرده است که همه آنها دقیقا مصداق حیات بعد از مرگ است و مواردی که مخصوصا بر آنها تکیه می کند،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ابراهیم علی و احیای پرندگان</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اصحاب کهف</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کشته بنی اسرائیل</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عزیر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صد سال مردن، حیاتی دوباره یافت</w:t>
      </w:r>
      <w:r>
        <w:rPr>
          <w:rFonts w:eastAsia="IRNazanin" w:cs="IRNazanin"/>
          <w:color w:val="111111"/>
          <w:sz w:val="28"/>
          <w:szCs w:val="28"/>
          <w:rtl w:val="true"/>
          <w:lang w:bidi="fa-IR"/>
        </w:rPr>
        <w:t xml:space="preserve">). </w:t>
      </w:r>
      <w:r>
        <w:rPr>
          <w:rStyle w:val="FootnoteAnchor"/>
          <w:rtl w:val="true"/>
        </w:rPr>
        <w:footnoteReference w:id="435"/>
      </w:r>
    </w:p>
    <w:p>
      <w:pPr>
        <w:pStyle w:val="Heading3"/>
        <w:numPr>
          <w:ilvl w:val="2"/>
          <w:numId w:val="1"/>
        </w:numPr>
        <w:rPr/>
      </w:pPr>
      <w:bookmarkStart w:id="327" w:name="__RefHeading___Toc7812330_3381743652"/>
      <w:bookmarkStart w:id="328" w:name="_Toc124"/>
      <w:bookmarkEnd w:id="327"/>
      <w:r>
        <w:rPr>
          <w:rtl w:val="true"/>
        </w:rPr>
        <w:t>امکان و امتناع اعاده معدوم</w:t>
      </w:r>
      <w:bookmarkEnd w:id="32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اعاده معدوم، جایز است یا نه،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نوعا آن را محال می دانند و اکثر متکلمان، معتقد به جواز آن هستند</w:t>
      </w:r>
      <w:r>
        <w:rPr>
          <w:rFonts w:eastAsia="IRNazanin" w:cs="IRNazanin"/>
          <w:color w:val="111111"/>
          <w:sz w:val="28"/>
          <w:szCs w:val="28"/>
          <w:rtl w:val="true"/>
          <w:lang w:bidi="fa-IR"/>
        </w:rPr>
        <w:t xml:space="preserve">. </w:t>
      </w:r>
      <w:bookmarkStart w:id="329" w:name="pg14387_143719"/>
    </w:p>
    <w:p>
      <w:pPr>
        <w:pStyle w:val="Heading3"/>
        <w:numPr>
          <w:ilvl w:val="2"/>
          <w:numId w:val="1"/>
        </w:numPr>
        <w:rPr/>
      </w:pPr>
      <w:bookmarkStart w:id="330" w:name="__RefHeading___Toc7812332_3381743652"/>
      <w:bookmarkStart w:id="331" w:name="_Toc125"/>
      <w:bookmarkEnd w:id="329"/>
      <w:bookmarkEnd w:id="330"/>
      <w:r>
        <w:rPr>
          <w:rtl w:val="true"/>
        </w:rPr>
        <w:t>ادله قائلان به جواز</w:t>
      </w:r>
      <w:bookmarkEnd w:id="331"/>
    </w:p>
    <w:p>
      <w:pPr>
        <w:pStyle w:val="BookText"/>
        <w:rPr/>
      </w:pPr>
      <w:r>
        <w:rPr>
          <w:rFonts w:ascii="IRNazanin" w:hAnsi="IRNazanin" w:eastAsia="IRNazanin"/>
          <w:color w:val="111111"/>
          <w:sz w:val="28"/>
          <w:sz w:val="28"/>
          <w:szCs w:val="28"/>
          <w:rtl w:val="true"/>
          <w:lang w:bidi="fa-IR"/>
        </w:rPr>
        <w:t>مستند مجوزین،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دلیل بر 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که ادله قائلان به منع، ابطال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چیزی که دلیل بر امتناعش نباشد، جایز است؛ چنان که حکما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قرع سمعک من الغرائب فذره فی بقعة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مماثلت مبدأ و معاد؛ جواز مبدأ، مستلزم جواز معاد است؛ زیرا محال است که شیئی در یک وقت، ممکن باشد و در وقت دیگر، ممتنع</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شیخ الطایفه بحثی با این عنوان، مطرح نفرموده است، ولی از ضمن مباحث او در موضوعات دیگر، استفاده می شود که ایشان جزء مجوزین است و اعاده معدوم را جایز می داند؛ زیرا در بحث نیستی و فنای عالم، تصریح می کند که جوهر، فانی می شود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 xml:space="preserve">از طرف دیگر،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نیستی ذات و طریان عدم است، نه تفرق اجزاء</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در جای دیگری تصریح می کند که اعاده جوهر، بعد از فنا، صحیح است؛ زیرا اگر وجود جوهر بر سبیل ابتدا و استمرار، ممکن باشد، بر سبیل اعاده نیز ممکن خواهد بود؛ چون وجود ابتدایی و استمراری و اعادهای جوهر، هیچ تفاوتی با یکدیگر ندارند</w:t>
      </w:r>
      <w:r>
        <w:rPr>
          <w:rFonts w:eastAsia="IRNazanin" w:cs="IRNazanin"/>
          <w:color w:val="111111"/>
          <w:sz w:val="28"/>
          <w:szCs w:val="28"/>
          <w:rtl w:val="true"/>
          <w:lang w:bidi="fa-IR"/>
        </w:rPr>
        <w:t>.</w:t>
      </w:r>
      <w:r>
        <w:rPr>
          <w:rStyle w:val="FootnoteAnchor"/>
          <w:rtl w:val="true"/>
        </w:rPr>
        <w:footnoteReference w:id="439"/>
      </w:r>
    </w:p>
    <w:p>
      <w:pPr>
        <w:pStyle w:val="Heading3"/>
        <w:numPr>
          <w:ilvl w:val="2"/>
          <w:numId w:val="1"/>
        </w:numPr>
        <w:rPr/>
      </w:pPr>
      <w:bookmarkStart w:id="332" w:name="__RefHeading___Toc7812334_3381743652"/>
      <w:bookmarkStart w:id="333" w:name="_Toc126"/>
      <w:bookmarkEnd w:id="332"/>
      <w:r>
        <w:rPr>
          <w:rtl w:val="true"/>
        </w:rPr>
        <w:t>ادله قائلان به منع</w:t>
      </w:r>
      <w:bookmarkEnd w:id="333"/>
    </w:p>
    <w:p>
      <w:pPr>
        <w:pStyle w:val="BookText"/>
        <w:rPr/>
      </w:pPr>
      <w:r>
        <w:rPr>
          <w:rFonts w:ascii="IRNazanin" w:hAnsi="IRNazanin" w:eastAsia="IRNazanin"/>
          <w:color w:val="111111"/>
          <w:sz w:val="28"/>
          <w:sz w:val="28"/>
          <w:szCs w:val="28"/>
          <w:rtl w:val="true"/>
          <w:lang w:bidi="fa-IR"/>
        </w:rPr>
        <w:t>قائلان به منع، برای اثبات امتناع اعاده معدوم، به ادله مختلفی تمسک جسته اند که در این جا به تعدادی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اعاده معدوم، به عینه جایز باشد، تخلل عدم، میان شی ء و نفس آن لازم می آید و این محال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اعاده معدوم، به عینه جایز باشد، وجود ابتدایی مثل آن در جمیع مشخصات، جایز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الأمثال فیما یجوز و فیما لا یجوز،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مثلین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بطلان آن ناگفته پیداست</w:t>
      </w:r>
      <w:r>
        <w:rPr>
          <w:rFonts w:eastAsia="IRNazanin" w:cs="IRNazanin"/>
          <w:color w:val="111111"/>
          <w:sz w:val="28"/>
          <w:szCs w:val="28"/>
          <w:rtl w:val="true"/>
          <w:lang w:bidi="fa-IR"/>
        </w:rPr>
        <w:t xml:space="preserve">. </w:t>
      </w:r>
      <w:bookmarkStart w:id="334" w:name="pg14387_143720"/>
    </w:p>
    <w:p>
      <w:pPr>
        <w:pStyle w:val="BookText"/>
        <w:rPr/>
      </w:pPr>
      <w:bookmarkEnd w:id="334"/>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اعاده معدوم، به عینه جایز باشد، جمع بین متقابلین لازم می آید؛ زیرا زمان از جمله مشخصاتی است که اگر معدوم بعینه عود نماید،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آن، وجود ابتدایی داشته است، عود کند و لازمه آن، این است که معاد در عین این که معاد است،</w:t>
      </w:r>
    </w:p>
    <w:p>
      <w:pPr>
        <w:pStyle w:val="BookText"/>
        <w:rPr/>
      </w:pPr>
      <w:r>
        <w:rPr>
          <w:rFonts w:ascii="IRNazanin" w:hAnsi="IRNazanin" w:eastAsia="IRNazanin"/>
          <w:color w:val="111111"/>
          <w:sz w:val="28"/>
          <w:sz w:val="28"/>
          <w:szCs w:val="28"/>
          <w:rtl w:val="true"/>
          <w:lang w:bidi="fa-IR"/>
        </w:rPr>
        <w:t>مبدأ باشد و این، جمع بین متقابلین است</w:t>
      </w:r>
      <w:r>
        <w:rPr>
          <w:rFonts w:eastAsia="IRNazanin" w:cs="IRNazanin"/>
          <w:color w:val="111111"/>
          <w:sz w:val="28"/>
          <w:szCs w:val="28"/>
          <w:rtl w:val="true"/>
          <w:lang w:bidi="fa-IR"/>
        </w:rPr>
        <w:t>.</w:t>
      </w:r>
      <w:r>
        <w:rPr>
          <w:rStyle w:val="FootnoteAnchor"/>
          <w:rtl w:val="true"/>
        </w:rPr>
        <w:footnoteReference w:id="440"/>
      </w:r>
    </w:p>
    <w:p>
      <w:pPr>
        <w:pStyle w:val="Heading3"/>
        <w:numPr>
          <w:ilvl w:val="2"/>
          <w:numId w:val="1"/>
        </w:numPr>
        <w:rPr/>
      </w:pPr>
      <w:bookmarkStart w:id="335" w:name="__RefHeading___Toc7812336_3381743652"/>
      <w:bookmarkStart w:id="336" w:name="_Toc127"/>
      <w:bookmarkEnd w:id="335"/>
      <w:r>
        <w:rPr>
          <w:rtl w:val="true"/>
        </w:rPr>
        <w:t>فنای جواهر</w:t>
      </w:r>
      <w:bookmarkEnd w:id="336"/>
    </w:p>
    <w:p>
      <w:pPr>
        <w:pStyle w:val="Heading4"/>
        <w:numPr>
          <w:ilvl w:val="3"/>
          <w:numId w:val="1"/>
        </w:numPr>
        <w:rPr/>
      </w:pPr>
      <w:bookmarkStart w:id="337" w:name="__RefHeading___Toc7812338_3381743652"/>
      <w:bookmarkStart w:id="338" w:name="_Toc128"/>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متکلمان گذشته اسلامی، مسائل مربوط به معاد را در ادامه بحث تکلیف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الطایفه نیز همین روش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اولین مسئله ای را که در کتابهای کلامی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تمهیدالاصول و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نموده است،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سه مطلب،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فنا، کیفیت فنای جوهر و ادله مثبتان و نافیان</w:t>
      </w:r>
      <w:r>
        <w:rPr>
          <w:rFonts w:eastAsia="IRNazanin" w:cs="IRNazanin"/>
          <w:color w:val="111111"/>
          <w:sz w:val="28"/>
          <w:szCs w:val="28"/>
          <w:rtl w:val="true"/>
          <w:lang w:bidi="fa-IR"/>
        </w:rPr>
        <w:t>.</w:t>
      </w:r>
    </w:p>
    <w:p>
      <w:pPr>
        <w:pStyle w:val="Heading4"/>
        <w:numPr>
          <w:ilvl w:val="3"/>
          <w:numId w:val="1"/>
        </w:numPr>
        <w:rPr/>
      </w:pPr>
      <w:bookmarkStart w:id="339" w:name="__RefHeading___Toc7812340_3381743652"/>
      <w:bookmarkStart w:id="340" w:name="_Toc129"/>
      <w:bookmarkEnd w:id="339"/>
      <w:r>
        <w:rPr>
          <w:rtl w:val="true"/>
        </w:rPr>
        <w:t>معنای فنا</w:t>
      </w:r>
      <w:bookmarkEnd w:id="340"/>
    </w:p>
    <w:p>
      <w:pPr>
        <w:pStyle w:val="BookText"/>
        <w:rPr/>
      </w:pPr>
      <w:r>
        <w:rPr>
          <w:rFonts w:ascii="IRNazanin" w:hAnsi="IRNazanin" w:eastAsia="IRNazanin"/>
          <w:color w:val="111111"/>
          <w:sz w:val="28"/>
          <w:sz w:val="28"/>
          <w:szCs w:val="28"/>
          <w:rtl w:val="true"/>
          <w:lang w:bidi="fa-IR"/>
        </w:rPr>
        <w:t>نسبت به این مطلب، دو دیدگاه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الطایفه و عده ای از متکلمان دیگر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به معنای نیستی و عدم 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به معنای تفرق اجزاء است</w:t>
      </w:r>
      <w:r>
        <w:rPr>
          <w:rFonts w:eastAsia="IRNazanin" w:cs="IRNazanin"/>
          <w:color w:val="111111"/>
          <w:sz w:val="28"/>
          <w:szCs w:val="28"/>
          <w:rtl w:val="true"/>
          <w:lang w:bidi="fa-IR"/>
        </w:rPr>
        <w:t>.</w:t>
      </w:r>
      <w:r>
        <w:rPr>
          <w:rStyle w:val="FootnoteAnchor"/>
          <w:rtl w:val="true"/>
        </w:rPr>
        <w:footnoteReference w:id="442"/>
      </w:r>
    </w:p>
    <w:p>
      <w:pPr>
        <w:pStyle w:val="Heading4"/>
        <w:numPr>
          <w:ilvl w:val="3"/>
          <w:numId w:val="1"/>
        </w:numPr>
        <w:rPr/>
      </w:pPr>
      <w:bookmarkStart w:id="341" w:name="__RefHeading___Toc7812342_3381743652"/>
      <w:bookmarkStart w:id="342" w:name="_Toc130"/>
      <w:bookmarkEnd w:id="341"/>
      <w:r>
        <w:rPr>
          <w:rtl w:val="true"/>
        </w:rPr>
        <w:t>کیفیت فنا</w:t>
      </w:r>
      <w:bookmarkEnd w:id="342"/>
    </w:p>
    <w:p>
      <w:pPr>
        <w:pStyle w:val="BookText"/>
        <w:rPr/>
      </w:pPr>
      <w:r>
        <w:rPr>
          <w:rFonts w:ascii="IRNazanin" w:hAnsi="IRNazanin" w:eastAsia="IRNazanin"/>
          <w:color w:val="111111"/>
          <w:sz w:val="28"/>
          <w:sz w:val="28"/>
          <w:szCs w:val="28"/>
          <w:rtl w:val="true"/>
          <w:lang w:bidi="fa-IR"/>
        </w:rPr>
        <w:t>نسبت به این بحث نیز دیدگاهها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الطایفه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به واسطه طریان و عارض شدن ضد، معدوم و فانی می شود؛ زیرا جواهر، اموری ثابت و باقی است و امر باقی، در صورتی معدوم می شود که ضدی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آن عارض شود، والا بر همان حالت قبل باقی می ماند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توضیح این که فنا و نیستی هر چیزی به یکی از این سه طریق،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فاعل یا عدم افاضه آن؛ یعنی اگر فاعلی نباشد یا فاعلی باشد، ولی افاضه وجود را از موجودی قطع کند، آن موجود، قابل بقا در خارج نیست، بلکه در خارج، فانی و معدوم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قابل؛ یعنی اگر فاعلی وجود داشته باشد و فیض وجود را از چیزی قطع نکند، ولی قابل، قابلیت اخذ وجود را نداشته باشد، بقای آن موجود در خارج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مانع؛ یعنی اگر فاعل در فاعلیت و قابل در قبول، تام باشد، ولی مانعی برای بقای وجود، محقق باشد، هستی آن در خارج، غیرممکن است؛ مثلا اگر آتشی در خارج وجود داشته باشد و چوبی که قابلیت سوختن را دارد، در خارج محقق باشد، ولی مانعی</w:t>
      </w:r>
    </w:p>
    <w:p>
      <w:pPr>
        <w:pStyle w:val="BookText"/>
        <w:rPr/>
      </w:pPr>
      <w:r>
        <w:rPr>
          <w:rFonts w:ascii="IRNazanin" w:hAnsi="IRNazanin" w:eastAsia="IRNazanin"/>
          <w:color w:val="111111"/>
          <w:sz w:val="28"/>
          <w:sz w:val="28"/>
          <w:szCs w:val="28"/>
          <w:rtl w:val="true"/>
          <w:lang w:bidi="fa-IR"/>
        </w:rPr>
        <w:t>مثل آب در آن جا موجود باشد، سوختن در خارج ادامه نخواهد داشت، بلکه فانی و نیست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بقا یا فنای جوهر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فاعلیت فاعل، تام است؛ چون که فاعل، خداوند است و قدرت او نامحدود است و فیض وجود را از هیچ موجودی دریغ نمی کند و هم قابلیت قابل، تام است؛ چون جواهر، صلاحیت و قابلیت بقا و دریافت فیض را دارد و اگر از طرف خداوند، وجود افاضه شود، وجود او باقی خواهد بود؛ بنابراین، تنها راه نیستی و فنای جوهر، وجود مانع و 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ضد، جوهر فانی می شود؛ چون اجتماع ضدین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سه دلیل برای اثبات این که جواهر از امور باقی است،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وجدان؛ هر یک از ما به عنوان جواهر زنده، خود را همان موجودی می دانیم که در گذشته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وجدانی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اثبات حکم بقا نسبت به جواهر زنده، از طریق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الأمثال فیما یجوز و فیما لا یجوز،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 سایر جواهر نیز اثبات می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ضروری نسبت به بسیاری از جمادات؛ یعنی اکثر جماداتی که امروز مشاهده می کنیم، همان جماداتی است که در گذشته دیده ایم؛ این هم یک امر واضح و روشن است</w:t>
      </w:r>
      <w:r>
        <w:rPr>
          <w:rFonts w:eastAsia="IRNazanin" w:cs="IRNazanin"/>
          <w:color w:val="111111"/>
          <w:sz w:val="28"/>
          <w:szCs w:val="28"/>
          <w:rtl w:val="true"/>
          <w:lang w:bidi="fa-IR"/>
        </w:rPr>
        <w:t xml:space="preserve">. </w:t>
      </w:r>
      <w:bookmarkStart w:id="343" w:name="pg14387_143722"/>
    </w:p>
    <w:p>
      <w:pPr>
        <w:pStyle w:val="BookText"/>
        <w:rPr/>
      </w:pPr>
      <w:bookmarkEnd w:id="34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جواهر، باقی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در حال تغییر و تحول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ذم آنان قبیح خواهد بود؛ زیرا مدح و ذم، پس از انجام کار، مربوط به فاعل آن است و اگر این جوهر، جوهر قبلی نباشد، غیر فاعل، مورد مدح و ذم قرار گرفته است و این کار قبیح است؛</w:t>
      </w:r>
    </w:p>
    <w:p>
      <w:pPr>
        <w:pStyle w:val="BookText"/>
        <w:rPr/>
      </w:pPr>
      <w:r>
        <w:rPr>
          <w:rFonts w:ascii="IRNazanin" w:hAnsi="IRNazanin" w:eastAsia="IRNazanin"/>
          <w:color w:val="111111"/>
          <w:sz w:val="28"/>
          <w:sz w:val="28"/>
          <w:szCs w:val="28"/>
          <w:rtl w:val="true"/>
          <w:lang w:bidi="fa-IR"/>
        </w:rPr>
        <w:t>چون غیر مستحق، مورد مدح و ذم قرار گرفته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جوهر، احتیاج به عارض شدن ضد ندارد؛ زیرا جواهر، متناهی است و پس از رسیدن به حد خاصی، نابود و فانی می شود؛ مانند صوت که ایجاد می شود و پس از رسیدن به حد خاصی، از بین می رود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شیخ الطایفه به دیدگاه فوق پاسخ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هر شیء پس از گذشتن از زمان اول، محدود به حد خاصی نیست؛ زیرا خداوند، قدرت غیر متناهی دارد و این قدرت، هنگامی که از جنس واحد و وقت واحد و محل واحد گذشت، ادامه می یابد؛ چون وجود جواهر، از وقت واحد گذشته است و اگر ضد، عارض نشود، وجودش ادامه دارد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انتفای شیء به انتفای آنچه بدان نیازمند است، صورت می گیرد؛ مثلا عالم به انتفای علم، و حی به انتفای حیات، منتفی و معدوم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کلام در جواهر نیز صادق است؛ یعنی بعد از این که مورد نیاز جواهر از بین رفت، جواهر، بدون عارض شدن ضد،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الطایفه در پاسخ این دیدگاه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در وجود، نیاز به چیز دیگری ندارد تا با از بین رفتن آن، نابود شود؛ بنابراین، فنای جوهر، تنها با ضد صورت می گیرد</w:t>
      </w:r>
      <w:r>
        <w:rPr>
          <w:rFonts w:eastAsia="IRNazanin" w:cs="IRNazanin"/>
          <w:color w:val="111111"/>
          <w:sz w:val="28"/>
          <w:szCs w:val="28"/>
          <w:rtl w:val="true"/>
          <w:lang w:bidi="fa-IR"/>
        </w:rPr>
        <w:t>.</w:t>
      </w:r>
      <w:r>
        <w:rPr>
          <w:rStyle w:val="FootnoteAnchor"/>
          <w:rtl w:val="true"/>
        </w:rPr>
        <w:footnoteReference w:id="446"/>
      </w:r>
    </w:p>
    <w:p>
      <w:pPr>
        <w:pStyle w:val="Heading4"/>
        <w:numPr>
          <w:ilvl w:val="3"/>
          <w:numId w:val="1"/>
        </w:numPr>
        <w:rPr/>
      </w:pPr>
      <w:bookmarkStart w:id="344" w:name="__RefHeading___Toc7812344_3381743652"/>
      <w:bookmarkStart w:id="345" w:name="_Toc131"/>
      <w:bookmarkEnd w:id="344"/>
      <w:r>
        <w:rPr>
          <w:rtl w:val="true"/>
        </w:rPr>
        <w:t>ادله مثبتان و نافیان</w:t>
      </w:r>
      <w:bookmarkEnd w:id="345"/>
    </w:p>
    <w:p>
      <w:pPr>
        <w:pStyle w:val="BookText"/>
        <w:rPr/>
      </w:pPr>
      <w:r>
        <w:rPr>
          <w:rFonts w:ascii="IRNazanin" w:hAnsi="IRNazanin" w:eastAsia="IRNazanin"/>
          <w:color w:val="111111"/>
          <w:sz w:val="28"/>
          <w:sz w:val="28"/>
          <w:szCs w:val="28"/>
          <w:rtl w:val="true"/>
          <w:lang w:bidi="fa-IR"/>
        </w:rPr>
        <w:t>شیخ الطایفه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نسبت به این مطلب، حکمی ندارد؛ یعنی نه حکمی به جواز فنای جواهر می کند و نه به استحاله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عقل، نیستی و بقای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یگانه دلیل در این جا دلیل سمعی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سه دلیل ذکر می کند</w:t>
      </w:r>
      <w:r>
        <w:rPr>
          <w:rFonts w:eastAsia="IRNazanin" w:cs="IRNazanin"/>
          <w:color w:val="111111"/>
          <w:sz w:val="28"/>
          <w:szCs w:val="28"/>
          <w:rtl w:val="true"/>
          <w:lang w:bidi="fa-IR"/>
        </w:rPr>
        <w:t xml:space="preserve">: </w:t>
      </w:r>
      <w:bookmarkStart w:id="346" w:name="pg14387_143723"/>
    </w:p>
    <w:p>
      <w:pPr>
        <w:pStyle w:val="BookText"/>
        <w:rPr/>
      </w:pPr>
      <w:bookmarkEnd w:id="34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امت اسلامی بر فنای جوهر و اعاده آن، اتفاق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الآخر و الظاهر والباطن و هو بکل شیء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این آیه بیانگر این مطلب است که خداوند متعال، از آغاز، وجود داشته و هیچ چیز با او نبوده است و در پایان هم، تنها او می ماند، نه چیز دیگری</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 فان و یبقی وجه ربک ذو الجلال والإکرام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الطایفه در کیفیت استدلال به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عقلاست؛ پس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عقلا معدوم می شوند، وقتی که فنای عقلا با آیه اثبات شد، فنای بقیه جواهر نیز اثبات می شود؛ چون سایر جواهر، هیچ ویژگی ای ندارد و تفصیلی در این جا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47" w:name="__RefHeading___Toc7812346_3381743652"/>
      <w:bookmarkStart w:id="348" w:name="_Toc132"/>
      <w:bookmarkEnd w:id="347"/>
      <w:r>
        <w:rPr>
          <w:rtl w:val="true"/>
        </w:rPr>
        <w:t>قرآن و ضرورت معاد</w:t>
      </w:r>
      <w:bookmarkEnd w:id="348"/>
    </w:p>
    <w:p>
      <w:pPr>
        <w:pStyle w:val="Heading4"/>
        <w:numPr>
          <w:ilvl w:val="3"/>
          <w:numId w:val="1"/>
        </w:numPr>
        <w:rPr/>
      </w:pPr>
      <w:bookmarkStart w:id="349" w:name="__RefHeading___Toc7812348_3381743652"/>
      <w:bookmarkStart w:id="350" w:name="_Toc133"/>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پاره ای از آیات قرآن، مفید وقوع حتمی و ضروری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اسلامی با الهام از این آیات، دلایل گوناگونی را بر وقوع معاد ارائه نموده اند که در ذیل به دو دلیل اشاره می کنیم</w:t>
      </w:r>
    </w:p>
    <w:p>
      <w:pPr>
        <w:pStyle w:val="Heading4"/>
        <w:numPr>
          <w:ilvl w:val="3"/>
          <w:numId w:val="1"/>
        </w:numPr>
        <w:rPr/>
      </w:pPr>
      <w:bookmarkStart w:id="351" w:name="__RefHeading___Toc7812350_3381743652"/>
      <w:bookmarkStart w:id="352" w:name="_Toc134"/>
      <w:bookmarkEnd w:id="351"/>
      <w:r>
        <w:rPr/>
        <w:t>١</w:t>
      </w:r>
      <w:r>
        <w:rPr>
          <w:rtl w:val="true"/>
        </w:rPr>
        <w:t xml:space="preserve">. </w:t>
      </w:r>
      <w:r>
        <w:rPr>
          <w:rtl w:val="true"/>
        </w:rPr>
        <w:t>برهان حکمت</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أفحسبتم أنما خلقناکم عبثا و أتکم إلینا لاترجعون فتعالی الله الملک الحق لا إله إلا هو رب العرش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آیا گمان کرده اید که شما را عبث آفریده ایم و شما به سوی ما باز گردانده نمی شوید؟ خداوند، پادشاده به حق، برتر و منزه از آن است که از او فعل بیهوده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بجز همان پروردگار عرش مبارک نخواهد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استفهام انکاری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شود که شما به سوی ما بازگردانده نشوید، خلقت شما عبث است و آیا شما باور می کنید که ما عبث </w:t>
      </w:r>
    </w:p>
    <w:p>
      <w:pPr>
        <w:pStyle w:val="BookText"/>
        <w:rPr/>
      </w:pPr>
      <w:r>
        <w:rPr>
          <w:rFonts w:ascii="IRNazanin" w:hAnsi="IRNazanin" w:eastAsia="IRNazanin"/>
          <w:color w:val="111111"/>
          <w:sz w:val="28"/>
          <w:sz w:val="28"/>
          <w:szCs w:val="28"/>
          <w:rtl w:val="true"/>
          <w:lang w:bidi="fa-IR"/>
        </w:rPr>
        <w:t>خلق کنیم؟ خداوند، برتر و بالاتر و منزه از چنین نسبتهایی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آیه، خصوصیاتی را برای خداوند ذکر می کند که با توجه به آن خصوصیات، امکان ندارد که خلقت عبثی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خصوصیت، قدرت غیر متناهی اوست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صاحب قدرت و سلطنت است؛ عجز و ناتوانی در کار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منشأ عبث بودن کار، عجز باشد و نسبت به خداوند، عجزی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آنکه حق است، خلقش هم حق است و هیچ عبث و باطلی در کار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و خدای دیگری مانع کار او نمی شود تا کار عبث از او صادر شود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در نتیجه، قرآن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قیامتی نباشد، معنایش این است که این خلقت، لغو است؛ آیا شما خدا را عبث کار و لاعب و مبطل فرض میکنید؟ این طور نیست، پس قیامت، قطعا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رابطه میان این که قیامتی نباشد و خلقت عبث باشد و تنها توجیه کننده این که خلقت عبث نباشد، قیامت است، محققان و دانشمندان اسلامی بیانهای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نهایی خلقت انسان، آن است که به کمال ابدی و جاویدان دست یابد و</w:t>
      </w:r>
    </w:p>
    <w:p>
      <w:pPr>
        <w:pStyle w:val="BookText"/>
        <w:rPr/>
      </w:pPr>
      <w:r>
        <w:rPr>
          <w:rFonts w:ascii="IRNazanin" w:hAnsi="IRNazanin" w:eastAsia="IRNazanin"/>
          <w:color w:val="111111"/>
          <w:sz w:val="28"/>
          <w:sz w:val="28"/>
          <w:szCs w:val="28"/>
          <w:rtl w:val="true"/>
          <w:lang w:bidi="fa-IR"/>
        </w:rPr>
        <w:t>تحقق این غایت، در گرو وجود حیات اخروی جاویدان است؛ زیرا اگر حیات آدمی با توجه به پیچیدگی و عظمت او و استعدادهای بیکرانش، در زندگی چند روزه دنیا محدود شود و با مرگ، هستی او نابود گردد و به جهان جاویدانی انتقال نیابد، خلقت او، لغو و</w:t>
      </w:r>
    </w:p>
    <w:p>
      <w:pPr>
        <w:pStyle w:val="BookText"/>
        <w:rPr/>
      </w:pPr>
      <w:r>
        <w:rPr>
          <w:rFonts w:ascii="IRNazanin" w:hAnsi="IRNazanin" w:eastAsia="IRNazanin"/>
          <w:color w:val="111111"/>
          <w:sz w:val="28"/>
          <w:sz w:val="28"/>
          <w:szCs w:val="28"/>
          <w:rtl w:val="true"/>
          <w:lang w:bidi="fa-IR"/>
        </w:rPr>
        <w:t>بیهوده خواهد بود؛ بنابراین، حکمت الهی، وجود سرای جاویدانی را اقتضا می کند که آدمی سرانجام به آن جا منتقل شود و تا ابد در آن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مقدمات برهان حکمت به شرح زیر تقریر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است؛ یعنی صدور فعل بیهوده و لغو، از او ممکن</w:t>
      </w:r>
      <w:r>
        <w:rPr>
          <w:rStyle w:val="FootnoteAnchor"/>
          <w:rtl w:val="true"/>
        </w:rPr>
        <w:footnoteReference w:id="451"/>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انسان، فعلی از افعال الهی است و بر اساس حکمت الهی، دارای غایت </w:t>
      </w:r>
    </w:p>
    <w:p>
      <w:pPr>
        <w:pStyle w:val="BookText"/>
        <w:rPr/>
      </w:pPr>
      <w:r>
        <w:rPr>
          <w:rFonts w:ascii="IRNazanin" w:hAnsi="IRNazanin" w:eastAsia="IRNazanin"/>
          <w:color w:val="111111"/>
          <w:sz w:val="28"/>
          <w:sz w:val="28"/>
          <w:szCs w:val="28"/>
          <w:rtl w:val="true"/>
          <w:lang w:bidi="fa-IR"/>
        </w:rPr>
        <w:t>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نهایی انسان، آن است که به کمال ابدی و جاویدان دست یابد و تحقق این غایت، در گرو حیات اخروی جاویدان است؛ چون با توجه به پیچیدگی و عظمت وجود و استعدادهای بیکران انسان، اگر در زندگی چند روزه دنیا محدود شود و با مرگ، هستی</w:t>
      </w:r>
    </w:p>
    <w:p>
      <w:pPr>
        <w:pStyle w:val="BookText"/>
        <w:rPr/>
      </w:pPr>
      <w:r>
        <w:rPr>
          <w:rFonts w:ascii="IRNazanin" w:hAnsi="IRNazanin" w:eastAsia="IRNazanin"/>
          <w:color w:val="111111"/>
          <w:sz w:val="28"/>
          <w:sz w:val="28"/>
          <w:szCs w:val="28"/>
          <w:rtl w:val="true"/>
          <w:lang w:bidi="fa-IR"/>
        </w:rPr>
        <w:t>او نابود گردد، خلقت، لغو و بیهوده خواهد بود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دنیا دارای اختیار و آزادی است و در مسیر او، کار خوب و بد قرار گرفته است؛ می تواند کار خوب یا کار بد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در دنیا کار خوب می کنند و افرادی هم کار بد انجام می دهند؛ اگر قیامتی نباشد، خوبها هدر می رود و بدها به کیفر نمی رسد، پس خلقت انسان به این نحو، عبث است و باید قیامتی باشد تا نیکوکاران پاداش خودشان را دریافت کنند و بدکاران هم به کیفر خودشان برسند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معاد نباشد، وعد و وعید و ترغیب به طاعت و تهدید از معاصی، باطل و ارسال رسل و امر و نهی، عبث و بیهوده است؛ زیرا وفای به وعد و وعید، متوقف بر معاد است و هیچ ثواب و عقابی در دنیا واقع نمی شود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در صورتی عبث نیست که به بقا منتهی شود؛ خلقتی که نهایتش فنا باشد، عبث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موجودی خلق شود و همیشه از ناحیه پروردگار، فیض بگیرد، این خلقت، عبث نیست، ولی اگر صرف این باشد که یک موجودی خلق شود و بعد هم</w:t>
      </w:r>
    </w:p>
    <w:p>
      <w:pPr>
        <w:pStyle w:val="BookText"/>
        <w:rPr/>
      </w:pPr>
      <w:r>
        <w:rPr>
          <w:rFonts w:ascii="IRNazanin" w:hAnsi="IRNazanin" w:eastAsia="IRNazanin"/>
          <w:color w:val="111111"/>
          <w:sz w:val="28"/>
          <w:sz w:val="28"/>
          <w:szCs w:val="28"/>
          <w:rtl w:val="true"/>
          <w:lang w:bidi="fa-IR"/>
        </w:rPr>
        <w:t>نیست و فانی گردد، این عبث است؛ منتهی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عالم برای این خلق شده است که به سوی پروردگار باز گردد و به ابدیت بپیوندد و هیچ چیز فانی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تمام عالم، فانی نشود، بلکه مقصود از موجودی که نیست و فانی نمی شود، انسان است و ابدیت انسان، توجیه کننده خلقت انسان و خود انسان، توجیه کننده سایر موجودات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چیز، عبث خلق نشده است و</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قیامت و ابدیت نباشد، خلقت، لغو خواهد بود</w:t>
      </w:r>
      <w:r>
        <w:rPr>
          <w:rFonts w:eastAsia="IRNazanin" w:cs="IRNazanin"/>
          <w:color w:val="111111"/>
          <w:sz w:val="28"/>
          <w:szCs w:val="28"/>
          <w:rtl w:val="true"/>
          <w:lang w:bidi="fa-IR"/>
        </w:rPr>
        <w:t>.</w:t>
      </w:r>
      <w:r>
        <w:rPr>
          <w:rStyle w:val="FootnoteAnchor"/>
          <w:rtl w:val="true"/>
        </w:rPr>
        <w:footnoteReference w:id="455"/>
      </w:r>
      <w:bookmarkStart w:id="353" w:name="pg14387_143726"/>
    </w:p>
    <w:p>
      <w:pPr>
        <w:pStyle w:val="Heading4"/>
        <w:numPr>
          <w:ilvl w:val="3"/>
          <w:numId w:val="1"/>
        </w:numPr>
        <w:rPr/>
      </w:pPr>
      <w:bookmarkStart w:id="354" w:name="__RefHeading___Toc7812352_3381743652"/>
      <w:bookmarkStart w:id="355" w:name="_Toc135"/>
      <w:bookmarkEnd w:id="353"/>
      <w:bookmarkEnd w:id="354"/>
      <w:r>
        <w:rPr/>
        <w:t>۲</w:t>
      </w:r>
      <w:r>
        <w:rPr>
          <w:rtl w:val="true"/>
        </w:rPr>
        <w:t xml:space="preserve">. </w:t>
      </w:r>
      <w:r>
        <w:rPr>
          <w:rtl w:val="true"/>
        </w:rPr>
        <w:t>برهان عدالت</w:t>
      </w:r>
      <w:bookmarkEnd w:id="355"/>
    </w:p>
    <w:p>
      <w:pPr>
        <w:pStyle w:val="BookText"/>
        <w:rPr/>
      </w:pPr>
      <w:r>
        <w:rPr>
          <w:rFonts w:ascii="IRNazanin" w:hAnsi="IRNazanin" w:eastAsia="IRNazanin"/>
          <w:color w:val="111111"/>
          <w:sz w:val="28"/>
          <w:sz w:val="28"/>
          <w:szCs w:val="28"/>
          <w:rtl w:val="true"/>
          <w:lang w:bidi="fa-IR"/>
        </w:rPr>
        <w:t>مرحوم شیخ، مستقلا به این برهان نپرداخته است، ولی از توضیح آیات مربوطه، برهان مذکور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اوصاف خداوند، عدل است و تجویز ظلم از او،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لایظلم ربک أحد آ</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پروردگار تو هرگز به کسی ظلم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عدل الهی اقتضا می کند که هر یک از نیکوکاران و تبهکاران به پاداش و کیفر در خور خود برسند و از طرف دیگر، تردیدی نیست که در دنیا همه انسانها جزای کامل اعمال خویش را نمی بینند و بدکاران، متناسب با جنایات خود، کیفر نمی شوند و اساسا حیات دنیوی، ظرفیت بسیاری از پاداشها یا کیفرها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نمی توان شخصی را که هزاران بی گناه را کشته است، بیش از یک بار قصاص کرد؛ بنابراین، عدالت اقتضا می کند که جهان دیگری باشد تا در آن، نیکان و بدان، پاداش و کیفر کامل اعمال نیک و بد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همان جهان آخرت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برخی از آیاتی که به این مطلب اشاره می کند،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أفنجعل المسلمین کالمجرمین، ما لکم کیف تحکمون</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خداوند بعد از بیان پاداش عظیم متقین،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مؤمنان را همچون مجرمان قرار دهیم؟ آیا سزاوار است این دو با هم برابر باشند؟ آیا عدالت، چنین چیزی را ایجاب می کند؟ شما را چه می شود؟ چگونه داوری می کنید؟</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هیچ عاقلی باور نمی کند که سرنوشت مسلم</w:t>
      </w:r>
      <w:r>
        <w:rPr>
          <w:rStyle w:val="FootnoteAnchor"/>
          <w:rtl w:val="true"/>
        </w:rPr>
        <w:footnoteReference w:id="460"/>
      </w:r>
      <w:r>
        <w:rPr>
          <w:rFonts w:ascii="IRNazanin" w:hAnsi="IRNazanin" w:eastAsia="IRNazanin"/>
          <w:color w:val="111111"/>
          <w:sz w:val="28"/>
          <w:sz w:val="28"/>
          <w:szCs w:val="28"/>
          <w:rtl w:val="true"/>
          <w:lang w:bidi="fa-IR"/>
        </w:rPr>
        <w:t>و مجرم، مطیع و عاصی و عادل و ظالم، یکسان باشد؛ آن هم در پیشگاه خداوند که همه امورش موافق اصل عدل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مسلم و مجرم در این دنیا غالبا یکسانند، بلکه گاه، مجرم، مواهب نامشروع بیشتری به چنگ می آورد، بنابراین،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مقتضای </w:t>
      </w:r>
      <w:bookmarkStart w:id="356" w:name="pg14387_143727"/>
    </w:p>
    <w:p>
      <w:pPr>
        <w:pStyle w:val="BookText"/>
        <w:rPr/>
      </w:pPr>
      <w:bookmarkEnd w:id="356"/>
      <w:r>
        <w:rPr>
          <w:rFonts w:ascii="IRNazanin" w:hAnsi="IRNazanin" w:eastAsia="IRNazanin"/>
          <w:color w:val="111111"/>
          <w:sz w:val="28"/>
          <w:sz w:val="28"/>
          <w:szCs w:val="28"/>
          <w:rtl w:val="true"/>
          <w:lang w:bidi="fa-IR"/>
        </w:rPr>
        <w:t>عدالت است، باید در سرای دیگر تحقق یابد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نجعل الذین آمنوا و عملوا الصالحات کالمفسدین فی الأرض أم نجعل المتقین کالفجار</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این آیه با صراحت و گسترش بیشتر، مطلب را دنبال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کسانی را که ایمان آورده اند و عمل صالح انجام داده اند، همچون مفسدان در زمین قرار دهیم؟ آیا امکان دارد که متقین را همچون فاجران قرار دهیم؟ یکسان معامله کردن با هر</w:t>
      </w:r>
    </w:p>
    <w:p>
      <w:pPr>
        <w:pStyle w:val="BookText"/>
        <w:rPr/>
      </w:pPr>
      <w:r>
        <w:rPr>
          <w:rFonts w:ascii="IRNazanin" w:hAnsi="IRNazanin" w:eastAsia="IRNazanin"/>
          <w:color w:val="111111"/>
          <w:sz w:val="28"/>
          <w:sz w:val="28"/>
          <w:szCs w:val="28"/>
          <w:rtl w:val="true"/>
          <w:lang w:bidi="fa-IR"/>
        </w:rPr>
        <w:t>دو طایفه، خلاف عدالت خداوند 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از طرف دیگر، معلوم است که زندگی مادی دنیا که هم این طایفه و هم آن طایفه از آن استفاده می کنند، تحت تأثیر اسباب و عوامل مادی قرار دارد که انسان کامل و ناقص و مؤمن و کافر در آن یکسانند؛ بنابراین، اگر زندگی، منحصر به همین زندگی دنیا باشد، با عنایتی که خدای تعالی نسبت به رساندن هر حقی به صاحب حق دارد، منافات خواهد داشت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آیات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سبأ</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تغابن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نیز بر وقوع حتمی و ضروری معاد، تأکید می کند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به طور کلی، آیات مذکور و تمام آیات دیگری که درباره ویژگیهای گوناگون بهشت و دوزخ و خصوصیات بهشتیان و دوزخیان نازل شده است، دال بر وقوع حتمی و ضروری معاد است؛ بخصوص آیات متعددی که در آنها مسئله ایمان به معاد و رستاخیز، در کنار</w:t>
      </w:r>
    </w:p>
    <w:p>
      <w:pPr>
        <w:pStyle w:val="BookText"/>
        <w:rPr/>
      </w:pPr>
      <w:r>
        <w:rPr>
          <w:rFonts w:ascii="IRNazanin" w:hAnsi="IRNazanin" w:eastAsia="IRNazanin"/>
          <w:color w:val="111111"/>
          <w:sz w:val="28"/>
          <w:sz w:val="28"/>
          <w:szCs w:val="28"/>
          <w:rtl w:val="true"/>
          <w:lang w:bidi="fa-IR"/>
        </w:rPr>
        <w:t xml:space="preserve">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این، خود حاکی از اهمیت فوق العاده و ضرورت بیش از حد این اصل از دیدگاه قرآنی است</w:t>
      </w:r>
      <w:r>
        <w:rPr>
          <w:rFonts w:eastAsia="IRNazanin" w:cs="IRNazanin"/>
          <w:color w:val="111111"/>
          <w:sz w:val="28"/>
          <w:szCs w:val="28"/>
          <w:rtl w:val="true"/>
          <w:lang w:bidi="fa-IR"/>
        </w:rPr>
        <w:t>.</w:t>
      </w:r>
    </w:p>
    <w:p>
      <w:pPr>
        <w:pStyle w:val="Heading3"/>
        <w:numPr>
          <w:ilvl w:val="2"/>
          <w:numId w:val="1"/>
        </w:numPr>
        <w:rPr/>
      </w:pPr>
      <w:bookmarkStart w:id="357" w:name="__RefHeading___Toc7812354_3381743652"/>
      <w:bookmarkStart w:id="358" w:name="_Toc136"/>
      <w:bookmarkEnd w:id="357"/>
      <w:r>
        <w:rPr>
          <w:rtl w:val="true"/>
        </w:rPr>
        <w:t>معاد، از ضروریات دین</w:t>
      </w:r>
      <w:bookmarkEnd w:id="35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الطایفه درباره این مطلب، بحثی نکرده است، اما در این که معاد از ضروریات دین است، شکی نیست و همه مسلمانان به آن اذعان دارند، ولی بحث در این است که چه </w:t>
      </w:r>
    </w:p>
    <w:p>
      <w:pPr>
        <w:pStyle w:val="BookText"/>
        <w:rPr/>
      </w:pPr>
      <w:r>
        <w:rPr>
          <w:rFonts w:ascii="IRNazanin" w:hAnsi="IRNazanin" w:eastAsia="IRNazanin"/>
          <w:color w:val="111111"/>
          <w:sz w:val="28"/>
          <w:sz w:val="28"/>
          <w:szCs w:val="28"/>
          <w:rtl w:val="true"/>
          <w:lang w:bidi="fa-IR"/>
        </w:rPr>
        <w:t>معادی از ضروریات دین است؟ آیا فقط معاد جسمانی از ضروریات دین است یا فقط روحانی یا هر دو و یا فی الجمله؟</w:t>
      </w:r>
    </w:p>
    <w:p>
      <w:pPr>
        <w:pStyle w:val="BookText"/>
        <w:rPr/>
      </w:pPr>
      <w:r>
        <w:rPr>
          <w:rFonts w:ascii="IRNazanin" w:hAnsi="IRNazanin" w:eastAsia="IRNazanin"/>
          <w:color w:val="111111"/>
          <w:sz w:val="28"/>
          <w:sz w:val="28"/>
          <w:szCs w:val="28"/>
          <w:rtl w:val="true"/>
          <w:lang w:bidi="fa-IR"/>
        </w:rPr>
        <w:t>مسلمانان نوعأ بر این باورند که معاد جسمانی، جزء ضروریات دین و منکر آن، خارج از عداد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میان انکار معاد جسمانی و تصدیق نمودن قرآن مجید و نبوت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چون آیات کریمه نسبت به آن، نص است و تأویل آنها معقول نیست و اخبار نسبت به آن، متواتر و رد آن ممکن نیست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بعد از اثبات این که معاد جسمانی از ضروریات دین است، سؤال دیگری مطرح می شود و آن این که آیا معاد جسمانی، به جسم عنصری، از ضروریات دین است یا به جسم مثالی، یا فی الجمله؟</w:t>
      </w:r>
    </w:p>
    <w:p>
      <w:pPr>
        <w:pStyle w:val="BookText"/>
        <w:rPr/>
      </w:pPr>
      <w:r>
        <w:rPr>
          <w:rFonts w:ascii="IRNazanin" w:hAnsi="IRNazanin" w:eastAsia="IRNazanin"/>
          <w:color w:val="111111"/>
          <w:sz w:val="28"/>
          <w:sz w:val="28"/>
          <w:szCs w:val="28"/>
          <w:rtl w:val="true"/>
          <w:lang w:bidi="fa-IR"/>
        </w:rPr>
        <w:t>در این باره دو دیدگاه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متکلمان و فقها، معاد جسمانی به جسم عنصری را از ضروریات دین و منکر آن را کافر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 جسمانی از ضروریات دین و منکر آن،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معاد روحانی که جزء ضروریات دین نیست و انکار آن باعث کفر نمی شود؛ مراد از جسم، جسمی است که شرع و عرف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 عنصری</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احمد بن محمد خواجکی شیرازی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به معاد جسمانی، از ضروریات دین و منکر آن، مخلد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جسم، جسم عنصری است که از طریق گردآوری اجزاء بدن دنیوی صورت میگیرد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متفکران؛ مثل محقق لاهیجی می فرماید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ضروریات دین است، اصل معاد جسمانی است؛ چه عنصری باشد و چه جسم مثالی؛ یعنی آنچه ضروری است، این است که شخص معاد، همان شخص مکلف باشد، به نحوی که مورد لذت و الم جسمانی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تکفیر اکثر اهل اسلام؛ مثل غزالی و اشراقیین و صوفیه که معاد جسمانی را به بدن مثالی </w:t>
      </w:r>
      <w:bookmarkStart w:id="359" w:name="pg14387_143729"/>
    </w:p>
    <w:p>
      <w:pPr>
        <w:pStyle w:val="BookText"/>
        <w:rPr/>
      </w:pPr>
      <w:bookmarkEnd w:id="359"/>
      <w:r>
        <w:rPr>
          <w:rFonts w:ascii="IRNazanin" w:hAnsi="IRNazanin" w:eastAsia="IRNazanin"/>
          <w:color w:val="111111"/>
          <w:sz w:val="28"/>
          <w:sz w:val="28"/>
          <w:szCs w:val="28"/>
          <w:rtl w:val="true"/>
          <w:lang w:bidi="fa-IR"/>
        </w:rPr>
        <w:t>تصحیح میکنند، لازم نمی آید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لازم به یادآوری است که معاد، نه تنها از ضروریات دین است، بلکه از اصول دین نیز هست و در ردیف توحید و نبوت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منکر اصل معاد، بدون شک، کافر و از عداد مسلمانان، خارج است</w:t>
      </w:r>
      <w:r>
        <w:rPr>
          <w:rFonts w:eastAsia="IRNazanin" w:cs="IRNazanin"/>
          <w:color w:val="111111"/>
          <w:sz w:val="28"/>
          <w:szCs w:val="28"/>
          <w:rtl w:val="true"/>
          <w:lang w:bidi="fa-IR"/>
        </w:rPr>
        <w:t>.</w:t>
      </w:r>
    </w:p>
    <w:p>
      <w:pPr>
        <w:pStyle w:val="Heading3"/>
        <w:numPr>
          <w:ilvl w:val="2"/>
          <w:numId w:val="1"/>
        </w:numPr>
        <w:rPr/>
      </w:pPr>
      <w:bookmarkStart w:id="360" w:name="__RefHeading___Toc7812356_3381743652"/>
      <w:bookmarkStart w:id="361" w:name="_Toc137"/>
      <w:bookmarkEnd w:id="360"/>
      <w:r>
        <w:rPr>
          <w:rtl w:val="true"/>
        </w:rPr>
        <w:t>کیفیت معاد، جسمانی یا روحانی؟</w:t>
      </w:r>
      <w:bookmarkEnd w:id="361"/>
    </w:p>
    <w:p>
      <w:pPr>
        <w:pStyle w:val="Heading4"/>
        <w:numPr>
          <w:ilvl w:val="3"/>
          <w:numId w:val="1"/>
        </w:numPr>
        <w:rPr/>
      </w:pPr>
      <w:bookmarkStart w:id="362" w:name="__RefHeading___Toc7812358_3381743652"/>
      <w:bookmarkStart w:id="363" w:name="_Toc138"/>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همه متکلمان اسلامی در پذیرفتن اصل معاد، متفقند، اما در تفسیر نحوه آن، اختلافاتی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عمده ترین اختلافها به جسمانی یا روحانی بودن معاد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معاد جسمانی، آن است که در جهان اخروی، انسان با وجود جسمانی حضور</w:t>
      </w:r>
    </w:p>
    <w:p>
      <w:pPr>
        <w:pStyle w:val="BookText"/>
        <w:rPr/>
      </w:pPr>
      <w:r>
        <w:rPr>
          <w:rFonts w:ascii="IRNazanin" w:hAnsi="IRNazanin" w:eastAsia="IRNazanin"/>
          <w:color w:val="111111"/>
          <w:sz w:val="28"/>
          <w:sz w:val="28"/>
          <w:szCs w:val="28"/>
          <w:rtl w:val="true"/>
          <w:lang w:bidi="fa-IR"/>
        </w:rPr>
        <w:t xml:space="preserve">یابد و نعمت یا عذاب اخروی نیز جسمانی باشد، ولی معاد روحانی، آن است که با وجود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 اخروی خویش را ادامه دهد و در جهان بازپسین، از لذتهای معنوی و روحانی بهره مند گردد یا به عذابهای معنوی و روحانی دچار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اساسی این است که آیا معاد، جسمانی است یا روحانی و یا به هر دو صورت؟</w:t>
      </w:r>
    </w:p>
    <w:p>
      <w:pPr>
        <w:pStyle w:val="BookText"/>
        <w:rPr/>
      </w:pPr>
      <w:r>
        <w:rPr>
          <w:rFonts w:ascii="IRNazanin" w:hAnsi="IRNazanin" w:eastAsia="IRNazanin"/>
          <w:color w:val="111111"/>
          <w:sz w:val="28"/>
          <w:sz w:val="28"/>
          <w:szCs w:val="28"/>
          <w:rtl w:val="true"/>
          <w:lang w:bidi="fa-IR"/>
        </w:rPr>
        <w:t>در پاسخ این پرسش، سه دیدگاه اساسی وجود دارد</w:t>
      </w:r>
      <w:r>
        <w:rPr>
          <w:rFonts w:eastAsia="IRNazanin" w:cs="IRNazanin"/>
          <w:color w:val="111111"/>
          <w:sz w:val="28"/>
          <w:szCs w:val="28"/>
          <w:rtl w:val="true"/>
          <w:lang w:bidi="fa-IR"/>
        </w:rPr>
        <w:t>:</w:t>
      </w:r>
    </w:p>
    <w:p>
      <w:pPr>
        <w:pStyle w:val="Heading4"/>
        <w:numPr>
          <w:ilvl w:val="3"/>
          <w:numId w:val="1"/>
        </w:numPr>
        <w:rPr/>
      </w:pPr>
      <w:bookmarkStart w:id="364" w:name="__RefHeading___Toc7812360_3381743652"/>
      <w:bookmarkStart w:id="365" w:name="_Toc139"/>
      <w:bookmarkEnd w:id="364"/>
      <w:r>
        <w:rPr/>
        <w:t>۱</w:t>
      </w:r>
      <w:r>
        <w:rPr>
          <w:rtl w:val="true"/>
        </w:rPr>
        <w:t xml:space="preserve">. </w:t>
      </w:r>
      <w:r>
        <w:rPr>
          <w:rtl w:val="true"/>
        </w:rPr>
        <w:t>هم جسمانی و هم روحانی</w:t>
      </w:r>
      <w:bookmarkEnd w:id="365"/>
    </w:p>
    <w:p>
      <w:pPr>
        <w:pStyle w:val="Heading5"/>
        <w:numPr>
          <w:ilvl w:val="4"/>
          <w:numId w:val="1"/>
        </w:numPr>
        <w:rPr/>
      </w:pPr>
      <w:bookmarkStart w:id="366" w:name="__RefHeading___Toc7812362_3381743652"/>
      <w:bookmarkStart w:id="367" w:name="_Toc140"/>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مرحوم شیخ الطایفه، سید مرتضی، خواجه نصیر، علامه حلی و جمعی از متکلمان محقق و فیلسوفان متأله، بر این باورند که معاد انسان، هم جسمانی است و هم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الطایفه می فرماید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انسان بمیرد، بدن او متلاشی می شود، ولی روح او باقی می ماند، تا وقتی که مشیت حق تعالی تعلق بگیرد که مردم را برای یوم الجزا برانگیزد و ذرات اصلی بدن هر نفری را فراهم آورده، صورت اتصالی نخستین را به او باز گرداند، آنگاه روح وی به بدنش تعلق گرفته، به سوی محشر روانه می گردد؛ به طوری که هر کس او را ببیند، می شناسد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 کس است</w:t>
      </w:r>
      <w:r>
        <w:rPr>
          <w:rFonts w:eastAsia="IRNazanin" w:cs="IRNazanin"/>
          <w:color w:val="111111"/>
          <w:sz w:val="28"/>
          <w:szCs w:val="28"/>
          <w:rtl w:val="true"/>
          <w:lang w:bidi="fa-IR"/>
        </w:rPr>
        <w:t>.</w:t>
      </w:r>
      <w:r>
        <w:rPr>
          <w:rStyle w:val="FootnoteAnchor"/>
          <w:rtl w:val="true"/>
        </w:rPr>
        <w:footnoteReference w:id="470"/>
      </w:r>
      <w:bookmarkStart w:id="368" w:name="pg14387_143730"/>
    </w:p>
    <w:p>
      <w:pPr>
        <w:pStyle w:val="Heading5"/>
        <w:numPr>
          <w:ilvl w:val="4"/>
          <w:numId w:val="1"/>
        </w:numPr>
        <w:rPr/>
      </w:pPr>
      <w:bookmarkStart w:id="369" w:name="__RefHeading___Toc7812364_3381743652"/>
      <w:bookmarkStart w:id="370" w:name="_Toc141"/>
      <w:bookmarkEnd w:id="368"/>
      <w:bookmarkEnd w:id="369"/>
      <w:r>
        <w:rPr>
          <w:rtl w:val="true"/>
        </w:rPr>
        <w:t>دلیل بر معاد روحانی و جسمانی</w:t>
      </w:r>
      <w:bookmarkEnd w:id="370"/>
    </w:p>
    <w:p>
      <w:pPr>
        <w:pStyle w:val="BookText"/>
        <w:rPr/>
      </w:pPr>
      <w:r>
        <w:rPr>
          <w:rFonts w:ascii="IRNazanin" w:hAnsi="IRNazanin" w:eastAsia="IRNazanin"/>
          <w:color w:val="111111"/>
          <w:sz w:val="28"/>
          <w:sz w:val="28"/>
          <w:szCs w:val="28"/>
          <w:rtl w:val="true"/>
          <w:lang w:bidi="fa-IR"/>
        </w:rPr>
        <w:t>مرحوم شیخ الطایفه دلیل خاصی بر این نظریه اقامه نکرده است، ولی یکی از ویژگیهای این دیدگاه، این است که به نحو معقول و موجهی، مبانی عقلی را با مضامین نقلی و وحیانی، سازگار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سازگاری نظریه معاد جسمانی و روحانی با مضامین وحیانی، دلیل بر صحت این نظریه است، اما گاه دلیل مستقلی بر صحت این دیدگاه اقامه می گردد که برای نمونه، به یک دلیل کلامی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حکم عقل، سعادت روح در معرفت خداوند و محبت اوست و سعادت جسم نیز در ادراک جسمانی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جمع بین این دو سعادت در دنیا ممکن نیست؛ زیرا شخصی که در لذت معنوی، مستغرق شود، از لذت جسمانی باز می ماند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تردیدی نیست که سعادت نهایی انسان در گرو سعادت روح و جسم است و این امر، گر چه به دلیل محدودیتهای عالم دنیا و روح بشری، در این عالم محقق نمی شود، ولی تحقق آن در آخرت،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اجتماع لذتهای روحانی و جسمانی در آخرت، امری ممکن است و از آن جا که غایت آفرینش انسان، دستیابی به همین سعادت است، قطعا واقع خواهد شد</w:t>
      </w:r>
      <w:r>
        <w:rPr>
          <w:rFonts w:eastAsia="IRNazanin" w:cs="IRNazanin"/>
          <w:color w:val="111111"/>
          <w:sz w:val="28"/>
          <w:szCs w:val="28"/>
          <w:rtl w:val="true"/>
          <w:lang w:bidi="fa-IR"/>
        </w:rPr>
        <w:t>.</w:t>
      </w:r>
      <w:r>
        <w:rPr>
          <w:rStyle w:val="FootnoteAnchor"/>
          <w:rtl w:val="true"/>
        </w:rPr>
        <w:footnoteReference w:id="471"/>
      </w:r>
    </w:p>
    <w:p>
      <w:pPr>
        <w:pStyle w:val="Heading4"/>
        <w:numPr>
          <w:ilvl w:val="3"/>
          <w:numId w:val="1"/>
        </w:numPr>
        <w:rPr/>
      </w:pPr>
      <w:bookmarkStart w:id="371" w:name="__RefHeading___Toc7812366_3381743652"/>
      <w:bookmarkStart w:id="372" w:name="_Toc142"/>
      <w:bookmarkEnd w:id="371"/>
      <w:r>
        <w:rPr/>
        <w:t>۲</w:t>
      </w:r>
      <w:r>
        <w:rPr>
          <w:rtl w:val="true"/>
        </w:rPr>
        <w:t xml:space="preserve">. </w:t>
      </w:r>
      <w:r>
        <w:rPr>
          <w:rtl w:val="true"/>
        </w:rPr>
        <w:t>فقط معاد جسمانی</w:t>
      </w:r>
      <w:bookmarkEnd w:id="372"/>
    </w:p>
    <w:p>
      <w:pPr>
        <w:pStyle w:val="BookText"/>
        <w:rPr/>
      </w:pPr>
      <w:r>
        <w:rPr>
          <w:rFonts w:ascii="IRNazanin" w:hAnsi="IRNazanin" w:eastAsia="IRNazanin"/>
          <w:color w:val="111111"/>
          <w:sz w:val="28"/>
          <w:sz w:val="28"/>
          <w:szCs w:val="28"/>
          <w:rtl w:val="true"/>
          <w:lang w:bidi="fa-IR"/>
        </w:rPr>
        <w:t>طرفداران این دیدگاه، خود به چند دسته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انسان را مساوی با همان بدن دنیوی می دانند و معتقدند که انسانها با مرگ، نابود می شوند و در سرای آخرت، خداوند آنها را دوباره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مبانی این دیدگاه، امکان اعاده معدوم است</w:t>
      </w:r>
      <w:r>
        <w:rPr>
          <w:rFonts w:eastAsia="IRNazanin" w:cs="IRNazanin"/>
          <w:color w:val="111111"/>
          <w:sz w:val="28"/>
          <w:szCs w:val="28"/>
          <w:rtl w:val="true"/>
          <w:lang w:bidi="fa-IR"/>
        </w:rPr>
        <w:t>.</w:t>
      </w:r>
      <w:r>
        <w:rPr>
          <w:rStyle w:val="FootnoteAnchor"/>
          <w:rtl w:val="true"/>
        </w:rPr>
        <w:footnoteReference w:id="47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چهره دیگری از معاد جسمانی ترسیم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این گروه، اجزای بدن انسان، با مرگ، از هم جدا می گردد و اتصال و ارتباط میان آنها گسسته می شود و با این گسستگی، حیات آدمی رخت بر می بندد و خداوند در روز رستاخیز، </w:t>
      </w:r>
      <w:bookmarkStart w:id="373" w:name="pg14387_143731"/>
    </w:p>
    <w:p>
      <w:pPr>
        <w:pStyle w:val="BookText"/>
        <w:rPr/>
      </w:pPr>
      <w:bookmarkEnd w:id="373"/>
      <w:r>
        <w:rPr>
          <w:rFonts w:ascii="IRNazanin" w:hAnsi="IRNazanin" w:eastAsia="IRNazanin"/>
          <w:color w:val="111111"/>
          <w:sz w:val="28"/>
          <w:sz w:val="28"/>
          <w:szCs w:val="28"/>
          <w:rtl w:val="true"/>
          <w:lang w:bidi="fa-IR"/>
        </w:rPr>
        <w:t>اجزای از هم گسسته را در کنار هم جمع می کند و بر اثر این اجتماع، انسان حیات دوباره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دیدگاه، معاد، چیزی جز بازگشت اجزای متفرق بدن به حالت اجتماع نیست</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طبق این دیدگاه، معاد بر امکان اعاده معدوم، استوار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از طرفداران معاد جسمانی، کسانی اند که نفس آدمی را نوعی جسم الطیف و نورانی به شمار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انسان با نفس جسمانی در سرای اخروی حضور می یابد و در نتیجه، لذت یا عذاب او نیز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این رأی را به اکثر مسلمانان و عموم فقها و اصحاب حدیث نسبت داده است</w:t>
      </w:r>
      <w:r>
        <w:rPr>
          <w:rFonts w:eastAsia="IRNazanin" w:cs="IRNazanin"/>
          <w:color w:val="111111"/>
          <w:sz w:val="28"/>
          <w:szCs w:val="28"/>
          <w:rtl w:val="true"/>
          <w:lang w:bidi="fa-IR"/>
        </w:rPr>
        <w:t>.</w:t>
      </w:r>
      <w:r>
        <w:rPr>
          <w:rStyle w:val="FootnoteAnchor"/>
          <w:rtl w:val="true"/>
        </w:rPr>
        <w:footnoteReference w:id="474"/>
      </w:r>
    </w:p>
    <w:p>
      <w:pPr>
        <w:pStyle w:val="Heading4"/>
        <w:numPr>
          <w:ilvl w:val="3"/>
          <w:numId w:val="1"/>
        </w:numPr>
        <w:rPr/>
      </w:pPr>
      <w:bookmarkStart w:id="374" w:name="__RefHeading___Toc7812368_3381743652"/>
      <w:bookmarkStart w:id="375" w:name="_Toc143"/>
      <w:bookmarkEnd w:id="374"/>
      <w:r>
        <w:rPr/>
        <w:t>٣</w:t>
      </w:r>
      <w:r>
        <w:rPr>
          <w:rtl w:val="true"/>
        </w:rPr>
        <w:t xml:space="preserve">. </w:t>
      </w:r>
      <w:r>
        <w:rPr>
          <w:rtl w:val="true"/>
        </w:rPr>
        <w:t>فقط معاد روحانی</w:t>
      </w:r>
      <w:bookmarkEnd w:id="375"/>
    </w:p>
    <w:p>
      <w:pPr>
        <w:pStyle w:val="BookText"/>
        <w:rPr/>
      </w:pPr>
      <w:r>
        <w:rPr>
          <w:rFonts w:ascii="IRNazanin" w:hAnsi="IRNazanin" w:eastAsia="IRNazanin"/>
          <w:color w:val="111111"/>
          <w:sz w:val="28"/>
          <w:sz w:val="28"/>
          <w:szCs w:val="28"/>
          <w:rtl w:val="true"/>
          <w:lang w:bidi="fa-IR"/>
        </w:rPr>
        <w:t>طبق این نظریه، معاد، صرف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فیلسوفان که به تجرد روح اعتقاد دارند، از این دیدگاه دفاع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این گروه، روح انسان از آن رو که در دنیا با بدن مادی همراه می گردد تا با تدبیر آن، به پاره ای از اهداف خود دست یابد و به برخی</w:t>
      </w:r>
    </w:p>
    <w:p>
      <w:pPr>
        <w:pStyle w:val="BookText"/>
        <w:rPr/>
      </w:pPr>
      <w:r>
        <w:rPr>
          <w:rFonts w:ascii="IRNazanin" w:hAnsi="IRNazanin" w:eastAsia="IRNazanin"/>
          <w:color w:val="111111"/>
          <w:sz w:val="28"/>
          <w:sz w:val="28"/>
          <w:szCs w:val="28"/>
          <w:rtl w:val="true"/>
          <w:lang w:bidi="fa-IR"/>
        </w:rPr>
        <w:t>کمالات مطلوب خود که جز از این راه دست یافتنی نیست، نایل شود، پس از وصول به کمالات مطلوب خود، دیگر نیازی به بدن ندارد و در این حالت، مرگ رخ می دهد و نفس مجرد، برای همیشه کالبد مادی خود را ترک می کند و به عالم مجردات می پیوندد و تا ابد در آن جا باقی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این گروه، سعادت نفس انسانی در گرو آن است که قوه نظری و عملی آن به مرتبه ای از کمال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قوه عملی، با حصول ملکات اخلاقی فضیلت آمیز و پرهیز از هرگونه افراط و تفریط، حاصل می شود و کمال قوه نظری، با یافتن معرفت کامل به نظام عالم، از باری تعالی تا مراتب پایینتر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این قول را به فلاسفه نسبت می دهند</w:t>
      </w:r>
      <w:r>
        <w:rPr>
          <w:rFonts w:eastAsia="IRNazanin" w:cs="IRNazanin"/>
          <w:color w:val="111111"/>
          <w:sz w:val="28"/>
          <w:szCs w:val="28"/>
          <w:rtl w:val="true"/>
          <w:lang w:bidi="fa-IR"/>
        </w:rPr>
        <w:t>.</w:t>
      </w:r>
      <w:r>
        <w:rPr>
          <w:rStyle w:val="FootnoteAnchor"/>
          <w:rtl w:val="true"/>
        </w:rPr>
        <w:footnoteReference w:id="475"/>
      </w:r>
      <w:bookmarkStart w:id="376" w:name="pg14387_143732"/>
    </w:p>
    <w:p>
      <w:pPr>
        <w:pStyle w:val="Heading3"/>
        <w:numPr>
          <w:ilvl w:val="2"/>
          <w:numId w:val="1"/>
        </w:numPr>
        <w:rPr/>
      </w:pPr>
      <w:bookmarkStart w:id="377" w:name="__RefHeading___Toc7812370_3381743652"/>
      <w:bookmarkStart w:id="378" w:name="_Toc144"/>
      <w:bookmarkEnd w:id="376"/>
      <w:bookmarkEnd w:id="377"/>
      <w:r>
        <w:rPr>
          <w:rtl w:val="true"/>
        </w:rPr>
        <w:t>شبهات معاد جسمانی</w:t>
      </w:r>
      <w:bookmarkEnd w:id="378"/>
    </w:p>
    <w:p>
      <w:pPr>
        <w:pStyle w:val="BookText"/>
        <w:rPr/>
      </w:pPr>
      <w:r>
        <w:rPr>
          <w:rFonts w:ascii="IRNazanin" w:hAnsi="IRNazanin" w:eastAsia="IRNazanin"/>
          <w:color w:val="111111"/>
          <w:sz w:val="28"/>
          <w:sz w:val="28"/>
          <w:szCs w:val="28"/>
          <w:rtl w:val="true"/>
          <w:lang w:bidi="fa-IR"/>
        </w:rPr>
        <w:t>اشکالات متعددی بر معاد جسمانی شده است و مهمترین آنها، دو شبهه است که در ذیل به آن 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اول بر امتناع اعاده معدوم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اشکال این است که معادجسمانی، مستلزم اعاده معدوم است و اعاده معدوم، محال است؛ در نتیجه، معاد جسمانی،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پس از مرگ، جسم انسان نابود می گردد و جسمانی بودن معاد، مستلزم آن است که جسم نابود شده، بار دیگر ایجاد شود و این چیزی جز اعاده معدوم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اسلامی در پاسخ این شبهه، نظرات گوناگونی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مثل شیخ الطایفه، اعاده معدوم را ممکن می شمارند، در معرض چنین اشکالی قرار نمی گیرند؛ زیرا در نظر آنان، ایجاد دوباره همان وجود جسمانی نابود شده، امر ممکنی است و خداوند نیز بر انجام همه ممکنات، توانا است؛ بنابراین، معاد</w:t>
      </w:r>
    </w:p>
    <w:p>
      <w:pPr>
        <w:pStyle w:val="BookText"/>
        <w:rPr/>
      </w:pPr>
      <w:r>
        <w:rPr>
          <w:rFonts w:ascii="IRNazanin" w:hAnsi="IRNazanin" w:eastAsia="IRNazanin"/>
          <w:color w:val="111111"/>
          <w:sz w:val="28"/>
          <w:sz w:val="28"/>
          <w:szCs w:val="28"/>
          <w:rtl w:val="true"/>
          <w:lang w:bidi="fa-IR"/>
        </w:rPr>
        <w:t>جسمانی، مستلزم هیچ امر محالی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متکلمان که اعاده معدوم را ممتنع می دانند، معتقدند که اجزای اصلی بدن، پس از مرگ، باقی است و در آخرت، خداوند اجزای اصلی هر بدنی را گردآوری می کند و به ازای اجزای غیراصلی نابود شده، اجزای جدیدی را خلق می کند و شکلی</w:t>
      </w:r>
    </w:p>
    <w:p>
      <w:pPr>
        <w:pStyle w:val="BookText"/>
        <w:rPr/>
      </w:pPr>
      <w:r>
        <w:rPr>
          <w:rFonts w:ascii="IRNazanin" w:hAnsi="IRNazanin" w:eastAsia="IRNazanin"/>
          <w:color w:val="111111"/>
          <w:sz w:val="28"/>
          <w:sz w:val="28"/>
          <w:szCs w:val="28"/>
          <w:rtl w:val="true"/>
          <w:lang w:bidi="fa-IR"/>
        </w:rPr>
        <w:t>مشابه شکل دنیوی به آن می بخشد و نفس، مجددا با آن ارتباط پیدا می کند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طرفداران تجرد نفس، چنین پاسخ داده اند که تشخص و هویت انسان، به نفس اوست و نفس، بعد از مرگ، باقی است؛ بنابراین، می توان گفت که در روز رستاخیز، خداوند بدن دیگری را می آفریند و نفس انسان به آن تعلق می گیرد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دیگری که معروف به شبهه آکل و مأکول است، از میان دیگر شبهات، قدیمی ترین شبهه بر سر راه معاد جسمانی می باشد و چنین است که اگر انسانی غذای انسان دیگر بشود، اجزای مأکول، در بدن آکل، عود می کند یا در بدن مأکول؟ هر کدام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یکی از این دو گروه، ناقص محشور می شود و نیز اگر انسان مؤمن، غذای کافر </w:t>
      </w:r>
    </w:p>
    <w:p>
      <w:pPr>
        <w:pStyle w:val="BookText"/>
        <w:rPr/>
      </w:pPr>
      <w:r>
        <w:rPr>
          <w:rFonts w:ascii="IRNazanin" w:hAnsi="IRNazanin" w:eastAsia="IRNazanin"/>
          <w:color w:val="111111"/>
          <w:sz w:val="28"/>
          <w:sz w:val="28"/>
          <w:szCs w:val="28"/>
          <w:rtl w:val="true"/>
          <w:lang w:bidi="fa-IR"/>
        </w:rPr>
        <w:t>بشود، یا تعذیب مؤمن مطیع یا تنعیم کافر،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باید گفت که ممکن است به یکی از این دو طریق، انسانی غذای انسان دیگر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تغذیه مستقیم گوشت انسان؛ چنان که در میان جنگلهای انبوه آفریقا، قبایلی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اند که از گوشت انسان تغذیه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پس از مرگ، تبدیل به خاک می شود و چیزی نمی گذرد که باد یا عوامل دیگر، خاک بدن او را در اطراف جهان منتشر و پراکنده می کند و در نتیجه، ریشه درخت و گیاه، آن را به خود جذب می کند و به صورت سبزی و میوه در می آورد و انسانی، از آن تغذیه می کند و جذب بدن او می گردد و یا حیوانی آن را می خورد و جذب بدن او می گردد و بعد گوشت آن، جزء بدن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همه انسانها؛ چه آنهایی که قسمتی از بدنشان از طریق تغذیه، جزء بدن انسانهای دیگر شده است و چه آنهایی که از آن تغذیه کرده اند، محشور گردند، یکی از این دو اشکال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گروه، ناقص محشور می گردد و به طور کامل عود نمی کند؛ زیرا اجزای مأکول، اگر در بدن آکل عود کند، بدن مؤکول، ناقص محشور می شود و اگر در بدن مؤکول عود کند، بدن آکل، ناقص عود می کند و اگر در بدن هر دو عود کند، لازمه اش</w:t>
      </w:r>
    </w:p>
    <w:p>
      <w:pPr>
        <w:pStyle w:val="BookText"/>
        <w:rPr/>
      </w:pPr>
      <w:r>
        <w:rPr>
          <w:rFonts w:ascii="IRNazanin" w:hAnsi="IRNazanin" w:eastAsia="IRNazanin"/>
          <w:color w:val="111111"/>
          <w:sz w:val="28"/>
          <w:sz w:val="28"/>
          <w:szCs w:val="28"/>
          <w:rtl w:val="true"/>
          <w:lang w:bidi="fa-IR"/>
        </w:rPr>
        <w:t>این است که شیء واحد، جزء دو بدن بشود و در عین حال که جزء این بدن است، جزء بدن دیگر نیز باشد و این،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نخست، مؤمن باشد و انسانی که از بدن او تغذیه کرده، کافر باشد و یا بالعکس، مسئله ثواب و عقاب، با مشکل مواجه می شود؛ زیرا لازمه آن، یا تعذیب مؤمن و تنعیم کافر است و یا این که بخشی از بدن مؤمن، در دوزخ بسوزد و بخشی از بدن کافر،</w:t>
      </w:r>
    </w:p>
    <w:p>
      <w:pPr>
        <w:pStyle w:val="BookText"/>
        <w:rPr/>
      </w:pPr>
      <w:r>
        <w:rPr>
          <w:rFonts w:ascii="IRNazanin" w:hAnsi="IRNazanin" w:eastAsia="IRNazanin"/>
          <w:color w:val="111111"/>
          <w:sz w:val="28"/>
          <w:sz w:val="28"/>
          <w:szCs w:val="28"/>
          <w:rtl w:val="true"/>
          <w:lang w:bidi="fa-IR"/>
        </w:rPr>
        <w:t>در بهشت، متنعم باشد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شبهه در کتابهای کلامی از گذشته مطرح بوده است و پاسخهای متعددی به آن </w:t>
      </w:r>
      <w:bookmarkStart w:id="379" w:name="pg14387_143734"/>
    </w:p>
    <w:p>
      <w:pPr>
        <w:pStyle w:val="BookText"/>
        <w:rPr/>
      </w:pPr>
      <w:bookmarkEnd w:id="379"/>
      <w:r>
        <w:rPr>
          <w:rFonts w:ascii="IRNazanin" w:hAnsi="IRNazanin" w:eastAsia="IRNazanin"/>
          <w:color w:val="111111"/>
          <w:sz w:val="28"/>
          <w:sz w:val="28"/>
          <w:szCs w:val="28"/>
          <w:rtl w:val="true"/>
          <w:lang w:bidi="fa-IR"/>
        </w:rPr>
        <w:t>داده اند که برخی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اسلامی که به این شبهه پاسخ داده است، مرحوم شیخ الطایفه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فرمایش ایشان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اجزای بدن انسان که اعاده اش لازم است، جزء بدن کسی نمی شود و آن قسمت از اجزایی که جزء بدن کس</w:t>
      </w:r>
    </w:p>
    <w:p>
      <w:pPr>
        <w:pStyle w:val="BookText"/>
        <w:rPr/>
      </w:pPr>
      <w:r>
        <w:rPr>
          <w:rFonts w:ascii="IRNazanin" w:hAnsi="IRNazanin" w:eastAsia="IRNazanin"/>
          <w:color w:val="111111"/>
          <w:sz w:val="28"/>
          <w:sz w:val="28"/>
          <w:szCs w:val="28"/>
          <w:rtl w:val="true"/>
          <w:lang w:bidi="fa-IR"/>
        </w:rPr>
        <w:t>دیگر می شود، اعاده اش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متکلمان اسلامی، انسان را مرکب از دو نوع اجزا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اصلی که حقیقت و واقعیت انسان به آن بستگی دارد و مقوم حیات انسان است که این قسم اجزا، به هیچ عنوان جزء بدن دیگری نمی شود و اگر هم تغذیه شود، بدون این که جزء بدن کسی گردد، از او دفع می شود و در روز رستاخیز، همین اجزای اصلی عود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غیراصلی که جزء بدن دیگری می شود و در قیامت، عودش لازم نیست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بودن شیئی، به صورت آن است و صورت شیء، اصلا جزء بدن و غذای بدنی نمی شود؛ مثلا صورت آب و نان، هرگز جزء بدن انسان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 در عالم دهر موجود است و نفس نیز که وحدت بخش صورت دنیایی و برزخی و اخروی است،</w:t>
      </w:r>
    </w:p>
    <w:p>
      <w:pPr>
        <w:pStyle w:val="BookText"/>
        <w:rPr/>
      </w:pPr>
      <w:r>
        <w:rPr>
          <w:rFonts w:ascii="IRNazanin" w:hAnsi="IRNazanin" w:eastAsia="IRNazanin"/>
          <w:color w:val="111111"/>
          <w:sz w:val="28"/>
          <w:sz w:val="28"/>
          <w:szCs w:val="28"/>
          <w:rtl w:val="true"/>
          <w:lang w:bidi="fa-IR"/>
        </w:rPr>
        <w:t>موجود می باشد</w:t>
      </w:r>
      <w:r>
        <w:rPr>
          <w:rFonts w:eastAsia="IRNazanin" w:cs="IRNazanin"/>
          <w:color w:val="111111"/>
          <w:sz w:val="28"/>
          <w:szCs w:val="28"/>
          <w:rtl w:val="true"/>
          <w:lang w:bidi="fa-IR"/>
        </w:rPr>
        <w:t>.</w:t>
      </w:r>
      <w:r>
        <w:rPr>
          <w:rStyle w:val="FootnoteAnchor"/>
          <w:rtl w:val="true"/>
        </w:rPr>
        <w:footnoteReference w:id="480"/>
      </w:r>
    </w:p>
    <w:p>
      <w:pPr>
        <w:pStyle w:val="Heading3"/>
        <w:numPr>
          <w:ilvl w:val="2"/>
          <w:numId w:val="1"/>
        </w:numPr>
        <w:rPr/>
      </w:pPr>
      <w:bookmarkStart w:id="380" w:name="__RefHeading___Toc7812372_3381743652"/>
      <w:bookmarkStart w:id="381" w:name="_Toc145"/>
      <w:bookmarkEnd w:id="380"/>
      <w:r>
        <w:rPr>
          <w:rtl w:val="true"/>
        </w:rPr>
        <w:t>بدن اخروی یا کیفیت معاد جسمانی</w:t>
      </w:r>
      <w:bookmarkEnd w:id="381"/>
    </w:p>
    <w:p>
      <w:pPr>
        <w:pStyle w:val="BookText"/>
        <w:rPr/>
      </w:pPr>
      <w:r>
        <w:rPr>
          <w:rFonts w:ascii="IRNazanin" w:hAnsi="IRNazanin" w:eastAsia="IRNazanin"/>
          <w:color w:val="111111"/>
          <w:sz w:val="28"/>
          <w:sz w:val="28"/>
          <w:szCs w:val="28"/>
          <w:rtl w:val="true"/>
          <w:lang w:bidi="fa-IR"/>
        </w:rPr>
        <w:t>یکی از مسائل مهم معاد جسمانی، ماهیت بدن اخروی و ارتباط آن با بدن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نیز می توان دیدگاههای مهم را به شرح زیر دسته بندی کرد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متکلمان، از جمله شیخ الطایفه که بدن انسان را دارای اجزای اصلی و غیراصلی می دانند، معتقدند که پس از مرگ، اجزای اصلی بدن، نابود نمی شود و در آخرت، خداوند اجزای اصلی هر بدنی را گردآوری می کند و به ازای اجزای غیراصلی نابود شده، اجزای جدید را خلق می کند و هیأتهایی مشابه هیأت دنیوی به آن می بخشد و چون حقیقت بدن را اجزای اصلی تشکیل می دهد، اتحاد بدن دنیوی و اخروی در </w:t>
      </w:r>
      <w:bookmarkStart w:id="382" w:name="pg14387_143735"/>
    </w:p>
    <w:p>
      <w:pPr>
        <w:pStyle w:val="BookText"/>
        <w:rPr/>
      </w:pPr>
      <w:bookmarkEnd w:id="382"/>
      <w:r>
        <w:rPr>
          <w:rFonts w:ascii="IRNazanin" w:hAnsi="IRNazanin" w:eastAsia="IRNazanin"/>
          <w:color w:val="111111"/>
          <w:sz w:val="28"/>
          <w:sz w:val="28"/>
          <w:szCs w:val="28"/>
          <w:rtl w:val="true"/>
          <w:lang w:bidi="fa-IR"/>
        </w:rPr>
        <w:t>اجزای اصلی، برای یکی بودن این دو، کافی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از متکلمان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پس از مرگ، نابود می شود، ولی خداوند در سرای آخرت، بدن نابود شده را بار دیگر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بر جواز اعاده معدوم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بدن اخروی، عین بدن دنیوی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بر این باورند که اعاده همان بدن دنیوی در آخرت، ضرورتی ندارد، بلکه خداوند، بدنهای جدیدی را به شکل بدن دنیوی افراد، می آفریند و روح هر شخصی را به بدن مشابه با بدن دنیوی اش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تشخص هر انسانی به نفس اوست، تغایر بدن دنیوی و اخروی، خدشه ای به تشخص افراد وارد نمی کند</w:t>
      </w:r>
      <w:r>
        <w:rPr>
          <w:rFonts w:eastAsia="IRNazanin" w:cs="IRNazanin"/>
          <w:color w:val="111111"/>
          <w:sz w:val="28"/>
          <w:szCs w:val="28"/>
          <w:rtl w:val="true"/>
          <w:lang w:bidi="fa-IR"/>
        </w:rPr>
        <w:t>.</w:t>
      </w:r>
      <w:r>
        <w:rPr>
          <w:rStyle w:val="FootnoteAnchor"/>
          <w:rtl w:val="true"/>
        </w:rPr>
        <w:footnoteReference w:id="483"/>
      </w:r>
    </w:p>
    <w:p>
      <w:pPr>
        <w:pStyle w:val="Heading3"/>
        <w:numPr>
          <w:ilvl w:val="2"/>
          <w:numId w:val="1"/>
        </w:numPr>
        <w:rPr/>
      </w:pPr>
      <w:bookmarkStart w:id="383" w:name="__RefHeading___Toc7812374_3381743652"/>
      <w:bookmarkStart w:id="384" w:name="_Toc146"/>
      <w:bookmarkEnd w:id="383"/>
      <w:r>
        <w:rPr>
          <w:rtl w:val="true"/>
        </w:rPr>
        <w:t>حقیقت روح در نظر متکلمان</w:t>
      </w:r>
      <w:bookmarkEnd w:id="384"/>
    </w:p>
    <w:p>
      <w:pPr>
        <w:pStyle w:val="BookText"/>
        <w:rPr/>
      </w:pPr>
      <w:r>
        <w:rPr>
          <w:rFonts w:ascii="IRNazanin" w:hAnsi="IRNazanin" w:eastAsia="IRNazanin"/>
          <w:color w:val="111111"/>
          <w:sz w:val="28"/>
          <w:sz w:val="28"/>
          <w:szCs w:val="28"/>
          <w:rtl w:val="true"/>
          <w:lang w:bidi="fa-IR"/>
        </w:rPr>
        <w:t xml:space="preserve">با نگاهی به تاریخ اندیشه های فلسفی و کلامی، روشن می شود که از دیرباز، آرای بسیار گوناگونی درباره حقیقت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وجود داشته است که بررسی همه آنها از حوصله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آنچه در بین متکلمان اسلامی به صورت</w:t>
      </w:r>
    </w:p>
    <w:p>
      <w:pPr>
        <w:pStyle w:val="BookText"/>
        <w:rPr/>
      </w:pPr>
      <w:r>
        <w:rPr>
          <w:rFonts w:ascii="IRNazanin" w:hAnsi="IRNazanin" w:eastAsia="IRNazanin"/>
          <w:color w:val="111111"/>
          <w:sz w:val="28"/>
          <w:sz w:val="28"/>
          <w:szCs w:val="28"/>
          <w:rtl w:val="true"/>
          <w:lang w:bidi="fa-IR"/>
        </w:rPr>
        <w:t>جدی مطرح بوده و دارای طرفداران زیادی است، سه رأی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الطایفه و عده کثیری از متکلمان، روح انسان را جوهری جسمانی می دانند، اما ماهیت آن با جسم که بدن از آن ساخته شده است،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جسمی لطیف و نورانی است که درون بدن جریان دارد؛ آن چنان که آتش در درون ذغال جاری است و جدا شدن آن از بدن، سبب مرگ می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الطایفه میان روح و نفس، فرق گذاشته است و آنها را دو چیز می داند و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 نفش یا حسرتی علی ما فرطت فی جنب الله</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روح و نفس، آن است که نفس از نفاسة</w:t>
      </w:r>
      <w:r>
        <w:rPr>
          <w:rStyle w:val="FootnoteAnchor"/>
          <w:rtl w:val="true"/>
        </w:rPr>
        <w:footnoteReference w:id="485"/>
      </w:r>
      <w:r>
        <w:rPr>
          <w:rFonts w:ascii="IRNazanin" w:hAnsi="IRNazanin" w:eastAsia="IRNazanin"/>
          <w:color w:val="111111"/>
          <w:sz w:val="28"/>
          <w:sz w:val="28"/>
          <w:szCs w:val="28"/>
          <w:rtl w:val="true"/>
          <w:lang w:bidi="fa-IR"/>
        </w:rPr>
        <w:t xml:space="preserve">و روح از ریح، نفوس حیوانی خود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آن</w:t>
      </w:r>
      <w:r>
        <w:rPr>
          <w:rFonts w:eastAsia="IRNazanin" w:cs="IRNazanin"/>
          <w:color w:val="111111"/>
          <w:sz w:val="28"/>
          <w:szCs w:val="28"/>
          <w:rtl w:val="true"/>
          <w:lang w:bidi="fa-IR"/>
        </w:rPr>
        <w:t xml:space="preserve">) </w:t>
      </w:r>
      <w:bookmarkStart w:id="385" w:name="pg14387_143736"/>
    </w:p>
    <w:p>
      <w:pPr>
        <w:pStyle w:val="BookText"/>
        <w:rPr/>
      </w:pPr>
      <w:bookmarkEnd w:id="385"/>
      <w:r>
        <w:rPr>
          <w:rFonts w:ascii="IRNazanin" w:hAnsi="IRNazanin" w:eastAsia="IRNazanin"/>
          <w:color w:val="111111"/>
          <w:sz w:val="28"/>
          <w:sz w:val="28"/>
          <w:szCs w:val="28"/>
          <w:rtl w:val="true"/>
          <w:lang w:bidi="fa-IR"/>
        </w:rPr>
        <w:t>است و غیر از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عبارت است از جسم رقیق؛ مانند ریح و باد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در جای دیگری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 جسم رقیق علی بنیة الحیوان فی کل جزء منه حیات</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 xml:space="preserve">و در جای دیگری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لاتحسبن الذین قتلوا فی سبیل الله أمواتا</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مأخوذ از ریح، جسم رقیق هوایی است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اجزای اصلی ای دارد که از آغاز تا پایان، بدون هیچ گونه تغییری باقی می ماند و نفس انسان، چیزی جز همین اجزای اصلی نیست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جوهری مجرد و غیرجسمانی است و از خواص ماده؛ مانند مکان، زمان، جرم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متکلمان شیعه؛ مثل خواجه نصیر</w:t>
      </w:r>
      <w:r>
        <w:rPr>
          <w:rStyle w:val="FootnoteAnchor"/>
          <w:rtl w:val="true"/>
        </w:rPr>
        <w:footnoteReference w:id="49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متکلمان اشعری؛ مانند فخررازی</w:t>
      </w:r>
      <w:r>
        <w:rPr>
          <w:rStyle w:val="FootnoteAnchor"/>
          <w:rtl w:val="true"/>
        </w:rPr>
        <w:footnoteReference w:id="493"/>
      </w:r>
      <w:r>
        <w:rPr>
          <w:rFonts w:ascii="IRNazanin" w:hAnsi="IRNazanin" w:eastAsia="IRNazanin"/>
          <w:color w:val="111111"/>
          <w:sz w:val="28"/>
          <w:sz w:val="28"/>
          <w:szCs w:val="28"/>
          <w:rtl w:val="true"/>
          <w:lang w:bidi="fa-IR"/>
        </w:rPr>
        <w:t>و غزالی و عموم فیلسوفان اسلامی، همین رأی را پذیرفته اند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ممکن است گفته شود که روح و نفس، گر چه از نظر لغت، دو معنی و مفهوم دارد، چنان که مرحوم شیخ الطایفه به آن اشاره فرموده، ولی حقیقتأ یکی است و فرق آنها به ملاحظه حالات است؛ مادامی که مشغول به تدبیر بدن و مربی اوست، نفس نامیده</w:t>
      </w:r>
    </w:p>
    <w:p>
      <w:pPr>
        <w:pStyle w:val="BookText"/>
        <w:rPr/>
      </w:pPr>
      <w:r>
        <w:rPr>
          <w:rFonts w:ascii="IRNazanin" w:hAnsi="IRNazanin" w:eastAsia="IRNazanin"/>
          <w:color w:val="111111"/>
          <w:sz w:val="28"/>
          <w:sz w:val="28"/>
          <w:szCs w:val="28"/>
          <w:rtl w:val="true"/>
          <w:lang w:bidi="fa-IR"/>
        </w:rPr>
        <w:t>می شود و چون تعلق او از بدن بریده شود، روح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تعبیر به نفس، از این جهت است که خود واقعی انسان، همان روح اوست</w:t>
      </w:r>
      <w:r>
        <w:rPr>
          <w:rFonts w:eastAsia="IRNazanin" w:cs="IRNazanin"/>
          <w:color w:val="111111"/>
          <w:sz w:val="28"/>
          <w:szCs w:val="28"/>
          <w:rtl w:val="true"/>
          <w:lang w:bidi="fa-IR"/>
        </w:rPr>
        <w:t>.</w:t>
      </w:r>
    </w:p>
    <w:p>
      <w:pPr>
        <w:pStyle w:val="Heading3"/>
        <w:numPr>
          <w:ilvl w:val="2"/>
          <w:numId w:val="1"/>
        </w:numPr>
        <w:rPr/>
      </w:pPr>
      <w:bookmarkStart w:id="386" w:name="__RefHeading___Toc7812376_3381743652"/>
      <w:bookmarkStart w:id="387" w:name="_Toc147"/>
      <w:bookmarkEnd w:id="386"/>
      <w:r>
        <w:rPr>
          <w:rtl w:val="true"/>
        </w:rPr>
        <w:t>آیا نفس، بعد از موت، باقی است</w:t>
      </w:r>
      <w:bookmarkEnd w:id="38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اسلامی؛ از جمله شیخ الطایفه بر این باورند که نفس انسان، بعد از موت،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الطایفه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لاتحسبن الذین قتلوا فی سبیل الله أمواتا بل أحیاء </w:t>
      </w:r>
      <w:bookmarkStart w:id="388" w:name="pg14387_143737"/>
    </w:p>
    <w:p>
      <w:pPr>
        <w:pStyle w:val="BookText"/>
        <w:rPr/>
      </w:pPr>
      <w:bookmarkEnd w:id="388"/>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این تصریح دارد که شهدا بعد از قتل و شهادت، زنده اند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احمد خواجکی شیرازی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همه محققان امامیه، اشاعره، حکما و صوفیه، موت بر نفس آدمی واقع نمی شود و نفس، باقی است؛ چه مجرد باشد و چه مادی</w:t>
      </w:r>
      <w:r>
        <w:rPr>
          <w:rFonts w:eastAsia="IRNazanin" w:cs="IRNazanin"/>
          <w:color w:val="111111"/>
          <w:sz w:val="28"/>
          <w:szCs w:val="28"/>
          <w:rtl w:val="true"/>
          <w:lang w:bidi="fa-IR"/>
        </w:rPr>
        <w:t>.</w:t>
      </w:r>
      <w:r>
        <w:rPr>
          <w:rStyle w:val="FootnoteAnchor"/>
          <w:rtl w:val="true"/>
        </w:rPr>
        <w:footnoteReference w:id="497"/>
      </w:r>
    </w:p>
    <w:p>
      <w:pPr>
        <w:pStyle w:val="Heading3"/>
        <w:numPr>
          <w:ilvl w:val="2"/>
          <w:numId w:val="1"/>
        </w:numPr>
        <w:rPr/>
      </w:pPr>
      <w:bookmarkStart w:id="389" w:name="__RefHeading___Toc7812378_3381743652"/>
      <w:bookmarkStart w:id="390" w:name="_Toc148"/>
      <w:bookmarkEnd w:id="389"/>
      <w:r>
        <w:rPr>
          <w:rtl w:val="true"/>
        </w:rPr>
        <w:t>عذاب قبر</w:t>
      </w:r>
      <w:bookmarkEnd w:id="390"/>
    </w:p>
    <w:p>
      <w:pPr>
        <w:pStyle w:val="BookText"/>
        <w:rPr/>
      </w:pPr>
      <w:r>
        <w:rPr>
          <w:rFonts w:ascii="IRNazanin" w:hAnsi="IRNazanin" w:eastAsia="IRNazanin"/>
          <w:color w:val="111111"/>
          <w:sz w:val="28"/>
          <w:sz w:val="28"/>
          <w:szCs w:val="28"/>
          <w:rtl w:val="true"/>
          <w:lang w:bidi="fa-IR"/>
        </w:rPr>
        <w:t>یکی از مسائل معاد که مربوط به برزخ می باشد عذاب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علمای اسلامی بر وقوع آن اتفاق نظر دارند و شیخ الطایفه نیز دلیل این مسئله را تنها اجماع معرفی می کند و ظواهر آیات را برای اثبات این مطلب، کافی نمی داند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برخی از متکلمان به دلیل دیگری استدلال نموده اند و استدلال آنها از دو مقدمه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 امر ممکن الوقوعی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آیات و روایات، بر وقوع آن دلالت دارد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گرچه علمای اسلامی، نوع بر این مسئله اتفاق نظر دارند، ولی در این میان، چند رأی مخالف نیز اظهار شده است که برخی از این دیدگاهها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 محال است و امر محال، از خداوند صادر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معتقدند که عذاب قبر، قبیح است و کار قبیح، از خداوند صادر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تنگ و تاریک، عذابی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تحقق نیست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الطایفه در پاسخ دسته اول و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این مسئله و وقوع آن، کاشف از امکان و حسن آن است و در پاسخ دسته سوم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ملائکه عذاب، </w:t>
      </w:r>
      <w:bookmarkStart w:id="391" w:name="pg14387_143738"/>
    </w:p>
    <w:p>
      <w:pPr>
        <w:pStyle w:val="BookText"/>
        <w:rPr/>
      </w:pPr>
      <w:bookmarkEnd w:id="391"/>
      <w:r>
        <w:rPr>
          <w:rFonts w:ascii="IRNazanin" w:hAnsi="IRNazanin" w:eastAsia="IRNazanin"/>
          <w:color w:val="111111"/>
          <w:sz w:val="28"/>
          <w:sz w:val="28"/>
          <w:szCs w:val="28"/>
          <w:rtl w:val="true"/>
          <w:lang w:bidi="fa-IR"/>
        </w:rPr>
        <w:t>نیاز به مکان وسیع ندارند، ثانیة، خداوند، قادر است در وقت عذاب، قبر را وسیع کند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 از معتزله و طایفه ای از کر امه، عذاب قبر را قبول دارند، اما معتقدند که انسان در آن جا فاقد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صاحب مواقف، این رأی، نامعقول است؛ زیرا عذاب موجود فاقد حیات و احساس، قابل تصور نیست</w:t>
      </w:r>
      <w:r>
        <w:rPr>
          <w:rFonts w:eastAsia="IRNazanin" w:cs="IRNazanin"/>
          <w:color w:val="111111"/>
          <w:sz w:val="28"/>
          <w:szCs w:val="28"/>
          <w:rtl w:val="true"/>
          <w:lang w:bidi="fa-IR"/>
        </w:rPr>
        <w:t>.</w:t>
      </w:r>
      <w:r>
        <w:rPr>
          <w:rStyle w:val="FootnoteAnchor"/>
          <w:rtl w:val="true"/>
        </w:rPr>
        <w:footnoteReference w:id="501"/>
      </w:r>
    </w:p>
    <w:p>
      <w:pPr>
        <w:pStyle w:val="Heading3"/>
        <w:numPr>
          <w:ilvl w:val="2"/>
          <w:numId w:val="1"/>
        </w:numPr>
        <w:rPr/>
      </w:pPr>
      <w:bookmarkStart w:id="392" w:name="__RefHeading___Toc7812380_3381743652"/>
      <w:bookmarkStart w:id="393" w:name="_Toc149"/>
      <w:bookmarkEnd w:id="392"/>
      <w:r>
        <w:rPr>
          <w:rtl w:val="true"/>
        </w:rPr>
        <w:t>بازگشت چه کسانی لازم است؟</w:t>
      </w:r>
      <w:bookmarkEnd w:id="393"/>
    </w:p>
    <w:p>
      <w:pPr>
        <w:pStyle w:val="BookText"/>
        <w:rPr/>
      </w:pPr>
      <w:r>
        <w:rPr>
          <w:rFonts w:ascii="IRNazanin" w:hAnsi="IRNazanin" w:eastAsia="IRNazanin"/>
          <w:color w:val="111111"/>
          <w:sz w:val="28"/>
          <w:sz w:val="28"/>
          <w:szCs w:val="28"/>
          <w:rtl w:val="true"/>
          <w:lang w:bidi="fa-IR"/>
        </w:rPr>
        <w:t>شیخ الطایفه بعد از اثبات این که جواهر، فانی می شود و فنا به معنای نیستی و عدم است، تصریح می کند که اعاده اجسام و جواهر، صحیح است و بعد از این بحث، این پرسش مطرح می شود که اعاده چه کسانی واجب و ضروری است؟</w:t>
      </w:r>
    </w:p>
    <w:p>
      <w:pPr>
        <w:pStyle w:val="BookText"/>
        <w:rPr/>
      </w:pPr>
      <w:r>
        <w:rPr>
          <w:rFonts w:ascii="IRNazanin" w:hAnsi="IRNazanin" w:eastAsia="IRNazanin"/>
          <w:color w:val="111111"/>
          <w:sz w:val="28"/>
          <w:sz w:val="28"/>
          <w:szCs w:val="28"/>
          <w:rtl w:val="true"/>
          <w:lang w:bidi="fa-IR"/>
        </w:rPr>
        <w:t>مرحوم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هر کسی که دارای حقی باشد و در دنیا به حق خود نرسد، واجب است؛ تا به حق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مستحقان، سه دسته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این گروه، در هر صورت، لازم است؛ زیرا ثواب باید پیراسته از ناخالصی باشد و این در دنیا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عالم دیگر برگردد تا به ثواب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عوض</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اگر در دنیا به حق خود رسیده باشند، اعاده آنان واجب نیست، والا لازم است اعاده شوند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دو دیدگاه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عقل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شرع </w:t>
      </w:r>
      <w:bookmarkStart w:id="394" w:name="pg14387_143739"/>
    </w:p>
    <w:p>
      <w:pPr>
        <w:pStyle w:val="BookText"/>
        <w:rPr/>
      </w:pPr>
      <w:bookmarkEnd w:id="394"/>
      <w:r>
        <w:rPr>
          <w:rFonts w:ascii="IRNazanin" w:hAnsi="IRNazanin" w:eastAsia="IRNazanin"/>
          <w:color w:val="111111"/>
          <w:sz w:val="28"/>
          <w:sz w:val="28"/>
          <w:szCs w:val="28"/>
          <w:rtl w:val="true"/>
          <w:lang w:bidi="fa-IR"/>
        </w:rPr>
        <w:t>اما از نظر عقل، شیخ الطایفه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مستحق عقاب، از نظر عقلی، لازم نیست؛ زیرا برداشتن عقاب از کسی که استحقاق آن را دارد، کاری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بازگشت او لازم نیست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اما از نظر سمع و شرع، مستحقان عقاب،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عقاب آنها دائمی است؛ این گروه، بر می گردند و به عقوبت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عقاب آنها منقطع است؛ بازگشت این گروه نیز لازم است؛ زیرا یا آنها بر می گردند و پس از عقوبت، به ثواب دائمی می رسند و یا مورد عفو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بازگشت لازم است؛ منتهی لزوم بازگشت، برای عقاب نیست، بلکه برای رسیدن به ثواب 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بازگشت اطفال و دیوانگان، از نظر عقل، لازم نیست، اما دلیل سمعی، بیانگر لزوم بازگشت آنهاست</w:t>
      </w:r>
      <w:r>
        <w:rPr>
          <w:rFonts w:eastAsia="IRNazanin" w:cs="IRNazanin"/>
          <w:color w:val="111111"/>
          <w:sz w:val="28"/>
          <w:szCs w:val="28"/>
          <w:rtl w:val="true"/>
          <w:lang w:bidi="fa-IR"/>
        </w:rPr>
        <w:t>.</w:t>
      </w:r>
      <w:r>
        <w:rPr>
          <w:rStyle w:val="FootnoteAnchor"/>
          <w:rtl w:val="true"/>
        </w:rPr>
        <w:footnoteReference w:id="506"/>
      </w:r>
    </w:p>
    <w:p>
      <w:pPr>
        <w:pStyle w:val="Heading3"/>
        <w:numPr>
          <w:ilvl w:val="2"/>
          <w:numId w:val="1"/>
        </w:numPr>
        <w:rPr/>
      </w:pPr>
      <w:bookmarkStart w:id="395" w:name="__RefHeading___Toc7812382_3381743652"/>
      <w:bookmarkStart w:id="396" w:name="_Toc150"/>
      <w:bookmarkEnd w:id="395"/>
      <w:r>
        <w:rPr>
          <w:rtl w:val="true"/>
        </w:rPr>
        <w:t>محاسبه اعمال یا محکمه عدل الهی</w:t>
      </w:r>
      <w:bookmarkEnd w:id="396"/>
    </w:p>
    <w:p>
      <w:pPr>
        <w:pStyle w:val="BookText"/>
        <w:rPr/>
      </w:pPr>
      <w:r>
        <w:rPr>
          <w:rFonts w:ascii="IRNazanin" w:hAnsi="IRNazanin" w:eastAsia="IRNazanin"/>
          <w:color w:val="111111"/>
          <w:sz w:val="28"/>
          <w:sz w:val="28"/>
          <w:szCs w:val="28"/>
          <w:rtl w:val="true"/>
          <w:lang w:bidi="fa-IR"/>
        </w:rPr>
        <w:t>رسیدگی به اعمال انسانها در دادگاه عدل الهی، یکی از مهمترین مسائل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الطایفه دلیل این مسئله را آیات قرآن و اجماع امت معرفی می کند</w:t>
      </w:r>
      <w:r>
        <w:rPr>
          <w:rStyle w:val="FootnoteAnchor"/>
          <w:rtl w:val="true"/>
        </w:rPr>
        <w:footnoteReference w:id="507"/>
      </w:r>
      <w:r>
        <w:rPr>
          <w:rFonts w:ascii="IRNazanin" w:hAnsi="IRNazanin" w:eastAsia="IRNazanin"/>
          <w:color w:val="111111"/>
          <w:sz w:val="28"/>
          <w:sz w:val="28"/>
          <w:szCs w:val="28"/>
          <w:rtl w:val="true"/>
          <w:lang w:bidi="fa-IR"/>
        </w:rPr>
        <w:t>و از آیات قرآنی تنها به این آیه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الموازین القسط لیوم القیامة فلاتظلم نفس شیئا و إن کان مثقال حبة من خردل أتینا بها و کفی بنا حاسبین</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آیه مذکور، به حساب و جزای دقیق قیامت اشاره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ترازوی عدل را در روز قیامت نصب می کنیم، به هیچ کس در آن جا کمترین ستم نمی شود، بلکه اگر به مقدار سنگینی دانه خردل، کار نیک و بدی باشد، ما آن را حاضر می سازیم، همین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بس که ما حسابگر اعمال بندگان هستیم</w:t>
      </w:r>
      <w:r>
        <w:rPr>
          <w:rFonts w:eastAsia="IRNazanin" w:cs="IRNazanin"/>
          <w:color w:val="111111"/>
          <w:sz w:val="28"/>
          <w:szCs w:val="28"/>
          <w:rtl w:val="true"/>
          <w:lang w:bidi="fa-IR"/>
        </w:rPr>
        <w:t>.</w:t>
      </w:r>
      <w:r>
        <w:rPr>
          <w:rStyle w:val="FootnoteAnchor"/>
          <w:rtl w:val="true"/>
        </w:rPr>
        <w:footnoteReference w:id="509"/>
      </w:r>
      <w:bookmarkStart w:id="397" w:name="pg14387_143740"/>
    </w:p>
    <w:p>
      <w:pPr>
        <w:pStyle w:val="BookText"/>
        <w:rPr/>
      </w:pPr>
      <w:bookmarkEnd w:id="397"/>
      <w:r>
        <w:rPr>
          <w:rFonts w:ascii="IRNazanin" w:hAnsi="IRNazanin" w:eastAsia="IRNazanin"/>
          <w:color w:val="111111"/>
          <w:sz w:val="28"/>
          <w:sz w:val="28"/>
          <w:szCs w:val="28"/>
          <w:rtl w:val="true"/>
          <w:lang w:bidi="fa-IR"/>
        </w:rPr>
        <w:t>ممکن است این پرسش مطرح شود که با این که خداوند بر تمام اعمال انسانها آگاه است، سؤال و محاسبه، چه مفهومی دارد؟</w:t>
      </w:r>
    </w:p>
    <w:p>
      <w:pPr>
        <w:pStyle w:val="BookText"/>
        <w:rPr/>
      </w:pPr>
      <w:r>
        <w:rPr>
          <w:rFonts w:ascii="IRNazanin" w:hAnsi="IRNazanin" w:eastAsia="IRNazanin"/>
          <w:color w:val="111111"/>
          <w:sz w:val="28"/>
          <w:sz w:val="28"/>
          <w:szCs w:val="28"/>
          <w:rtl w:val="true"/>
          <w:lang w:bidi="fa-IR"/>
        </w:rPr>
        <w:t>شیخ الطایفه در پاسخ این پرسش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محاسبه، اسرار و اغراضی نهفته است که از آن می توان به موارد ذیل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تفاوت بهشتیان و دوزخیان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افراد گوناگون از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سرور بیشتر برای اهل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مطلب، باعث می شود که انسان در دنیا نسبت به اعمال و رفتار خود دقت نماید</w:t>
      </w:r>
      <w:r>
        <w:rPr>
          <w:rFonts w:eastAsia="IRNazanin" w:cs="IRNazanin"/>
          <w:color w:val="111111"/>
          <w:sz w:val="28"/>
          <w:szCs w:val="28"/>
          <w:rtl w:val="true"/>
          <w:lang w:bidi="fa-IR"/>
        </w:rPr>
        <w:t>.</w:t>
      </w:r>
      <w:r>
        <w:rPr>
          <w:rStyle w:val="FootnoteAnchor"/>
          <w:rtl w:val="true"/>
        </w:rPr>
        <w:footnoteReference w:id="510"/>
      </w:r>
    </w:p>
    <w:p>
      <w:pPr>
        <w:pStyle w:val="Heading3"/>
        <w:numPr>
          <w:ilvl w:val="2"/>
          <w:numId w:val="1"/>
        </w:numPr>
        <w:rPr/>
      </w:pPr>
      <w:bookmarkStart w:id="398" w:name="__RefHeading___Toc7812384_3381743652"/>
      <w:bookmarkStart w:id="399" w:name="_Toc151"/>
      <w:bookmarkEnd w:id="398"/>
      <w:r>
        <w:rPr>
          <w:rtl w:val="true"/>
        </w:rPr>
        <w:t>تراوزی سنجش اعمال در قیامت</w:t>
      </w:r>
      <w:bookmarkEnd w:id="399"/>
    </w:p>
    <w:p>
      <w:pPr>
        <w:pStyle w:val="BookText"/>
        <w:rPr/>
      </w:pP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از سوره انبیاء، ناظر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ترازوی سنجش اعمال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ترازوی عدل را در روز قیامت نصب می کنیم، لذا به هیچ کس، کمترین ظلمی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بحث مطرح می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شیخ الطایفه به سه تفسیر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عبارت است از عدل و برابری و تقسیم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ترازویی است دارای دو کفه؛ گر چه اعمال دارای وزن نیست؛ ولی نامه هایی که اعمال در آنها نوشته می شود، موزون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ترازویی است دارای دو کفه که نور در یک کفه و ظلمت در کفهای دیگر قرار می گیرد و هر کدام از این دو کفه سنگینی نماید، مقدار استحقاق عمل، نمایان می شود</w:t>
      </w:r>
      <w:r>
        <w:rPr>
          <w:rFonts w:eastAsia="IRNazanin" w:cs="IRNazanin"/>
          <w:color w:val="111111"/>
          <w:sz w:val="28"/>
          <w:szCs w:val="28"/>
          <w:rtl w:val="true"/>
          <w:lang w:bidi="fa-IR"/>
        </w:rPr>
        <w:t>.</w:t>
      </w:r>
      <w:r>
        <w:rPr>
          <w:rStyle w:val="FootnoteAnchor"/>
          <w:rtl w:val="true"/>
        </w:rPr>
        <w:footnoteReference w:id="51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الطایفه در تفسیر تبیان، هیچ یک از این سه تفسیر را بر دیگری ترجیح نمی دهد، اما در تمهید الاصول، تفسیر اول را بر می گزیند و آن را مناسب با فصاحت کلام می داند</w:t>
      </w:r>
      <w:r>
        <w:rPr>
          <w:rFonts w:eastAsia="IRNazanin" w:cs="IRNazanin"/>
          <w:color w:val="111111"/>
          <w:sz w:val="28"/>
          <w:szCs w:val="28"/>
          <w:rtl w:val="true"/>
          <w:lang w:bidi="fa-IR"/>
        </w:rPr>
        <w:t>.</w:t>
      </w:r>
      <w:r>
        <w:rPr>
          <w:rStyle w:val="FootnoteAnchor"/>
          <w:rtl w:val="true"/>
        </w:rPr>
        <w:footnoteReference w:id="512"/>
      </w:r>
      <w:bookmarkStart w:id="400" w:name="pg14387_143741"/>
    </w:p>
    <w:p>
      <w:pPr>
        <w:pStyle w:val="Heading3"/>
        <w:numPr>
          <w:ilvl w:val="2"/>
          <w:numId w:val="1"/>
        </w:numPr>
        <w:rPr/>
      </w:pPr>
      <w:bookmarkStart w:id="401" w:name="__RefHeading___Toc7812386_3381743652"/>
      <w:bookmarkStart w:id="402" w:name="_Toc152"/>
      <w:bookmarkEnd w:id="400"/>
      <w:bookmarkEnd w:id="401"/>
      <w:r>
        <w:rPr>
          <w:rtl w:val="true"/>
        </w:rPr>
        <w:t>صراط</w:t>
      </w:r>
      <w:bookmarkEnd w:id="402"/>
    </w:p>
    <w:p>
      <w:pPr>
        <w:pStyle w:val="BookText"/>
        <w:rPr/>
      </w:pP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مربوط به قیامت است و متکلمان و مفسران اسلامی، نسبت به این که حقیقت آن چیست، تفسیرهای گوناگونی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الطایفه دو تفسیر را در این زمینه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راهی است که بهشتیان و دوزخیان از آن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برای اهل بهشت، عریض و وسیع است و عبور از آن آسان، اما برای اهل جهنم، باریک و عبور از آن،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براهین و ادله هایی است که بین اهل بهشت و دوزخ، جدایی می افکند و آنان را از یکدیگر ممتاز می سازد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شیخ طوسی دلیل بر این مسئله را آیات و روایات و اجماع معرفی می کند</w:t>
      </w:r>
      <w:r>
        <w:rPr>
          <w:rFonts w:eastAsia="IRNazanin" w:cs="IRNazanin"/>
          <w:color w:val="111111"/>
          <w:sz w:val="28"/>
          <w:szCs w:val="28"/>
          <w:rtl w:val="true"/>
          <w:lang w:bidi="fa-IR"/>
        </w:rPr>
        <w:t>.</w:t>
      </w:r>
      <w:r>
        <w:rPr>
          <w:rStyle w:val="FootnoteAnchor"/>
          <w:rtl w:val="true"/>
        </w:rPr>
        <w:footnoteReference w:id="514"/>
      </w:r>
    </w:p>
    <w:p>
      <w:pPr>
        <w:pStyle w:val="Heading3"/>
        <w:numPr>
          <w:ilvl w:val="2"/>
          <w:numId w:val="1"/>
        </w:numPr>
        <w:rPr/>
      </w:pPr>
      <w:bookmarkStart w:id="403" w:name="__RefHeading___Toc7812388_3381743652"/>
      <w:bookmarkStart w:id="404" w:name="_Toc153"/>
      <w:bookmarkEnd w:id="403"/>
      <w:r>
        <w:rPr>
          <w:rtl w:val="true"/>
        </w:rPr>
        <w:t>دوام ثواب و عقاب</w:t>
      </w:r>
      <w:bookmarkEnd w:id="404"/>
    </w:p>
    <w:p>
      <w:pPr>
        <w:pStyle w:val="BookText"/>
        <w:rPr/>
      </w:pPr>
      <w:r>
        <w:rPr>
          <w:rFonts w:ascii="IRNazanin" w:hAnsi="IRNazanin" w:eastAsia="IRNazanin"/>
          <w:color w:val="111111"/>
          <w:sz w:val="28"/>
          <w:sz w:val="28"/>
          <w:szCs w:val="28"/>
          <w:rtl w:val="true"/>
          <w:lang w:bidi="fa-IR"/>
        </w:rPr>
        <w:t>دوام ثواب</w:t>
      </w:r>
      <w:r>
        <w:rPr>
          <w:rStyle w:val="FootnoteAnchor"/>
          <w:rtl w:val="true"/>
        </w:rPr>
        <w:footnoteReference w:id="515"/>
      </w:r>
      <w:r>
        <w:rPr>
          <w:rFonts w:ascii="IRNazanin" w:hAnsi="IRNazanin" w:eastAsia="IRNazanin"/>
          <w:color w:val="111111"/>
          <w:sz w:val="28"/>
          <w:sz w:val="28"/>
          <w:szCs w:val="28"/>
          <w:rtl w:val="true"/>
          <w:lang w:bidi="fa-IR"/>
        </w:rPr>
        <w:t>و عقاب</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این که آیا ثواب و عقاب، دائمی است یا نه، یکی از مسائلی است که در باب معاد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الطایفه این مسئله را از دو دیدگاه مورد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ایشان، عقل در این زمینه، حکم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دوام و هم انقطاع پاداش و کیفر را جایز می داند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اما ادله نقلی، بیانگر جاودانگی پاداش و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دو نوع دلیل برای اثبات این مطلب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اسلامی نسبت به دوام ثواب و عقاب، اتفاق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آیات متعددی به چشم می خورد که بیانگر همیشگی بودن </w:t>
      </w:r>
      <w:bookmarkStart w:id="405" w:name="pg14387_143742"/>
    </w:p>
    <w:p>
      <w:pPr>
        <w:pStyle w:val="BookText"/>
        <w:rPr/>
      </w:pPr>
      <w:bookmarkEnd w:id="405"/>
      <w:r>
        <w:rPr>
          <w:rFonts w:ascii="IRNazanin" w:hAnsi="IRNazanin" w:eastAsia="IRNazanin"/>
          <w:color w:val="111111"/>
          <w:sz w:val="28"/>
          <w:sz w:val="28"/>
          <w:szCs w:val="28"/>
          <w:rtl w:val="true"/>
          <w:lang w:bidi="fa-IR"/>
        </w:rPr>
        <w:t>ثواب و عقاب است که تنها به دو آیه اشاره می کنیم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من أهل الکتاب و المشرکین فی نار جهنم خالدین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کسانی از اهل کتاب که به آیین جدید کافر شدند، در آتش دوزخند، جاودانه در آن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جاودانگی و همیشگی است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أولئک هم خیر البریة جزاؤهم عند ربهم جنات عدن تجری من تحتها الأنهار خالدین فیها أبدا</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کسانی که ایمان آورده اند و اعمال صالح انجام داده اند، آنها بهترین مخلوقات خدا هستند، پاداش آنها نزد پروردگارشان، باغهای بهشت جاویدان است که نهرها از زیر درختانش پیوسته جاری است، در حالی که همیشه در آن می مانند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بعضی از متکلمان، برای اثبات جاودانگی ثواب و عقاب، به دلیل عقلی تمشک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ثواب و عقاب، مانند مدح و ذم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استحقاق ثواب با مدح، یکی است؛ چنان که علت استحقاق عقاب و ذم، با هم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طور که مدح و ذم، عقلا دائمی است، ثواب و عقاب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موجب زوال مدح و ذم بشود، زوال ثواب و عقاب را نیز ایجاب می کند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شیخ الطایفه در پاسخ این استدلال،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ثواب و عقاب، به مدح و ذم، درست نیست؛ زیرا علت وجود ثواب و عقاب، با مدح و ذم، یکی نیست؛ چون خداوند با انجام کاری که در خور شأنش است، سزاوار مدح هست، ولی شایسته پاداش و ثواب نمی باشد</w:t>
      </w:r>
      <w:r>
        <w:rPr>
          <w:rFonts w:eastAsia="IRNazanin" w:cs="IRNazanin"/>
          <w:color w:val="111111"/>
          <w:sz w:val="28"/>
          <w:szCs w:val="28"/>
          <w:rtl w:val="true"/>
          <w:lang w:bidi="fa-IR"/>
        </w:rPr>
        <w:t>.</w:t>
      </w:r>
      <w:r>
        <w:rPr>
          <w:rStyle w:val="FootnoteAnchor"/>
          <w:rtl w:val="true"/>
        </w:rPr>
        <w:footnoteReference w:id="523"/>
      </w:r>
    </w:p>
    <w:p>
      <w:pPr>
        <w:pStyle w:val="Heading3"/>
        <w:numPr>
          <w:ilvl w:val="2"/>
          <w:numId w:val="1"/>
        </w:numPr>
        <w:rPr/>
      </w:pPr>
      <w:bookmarkStart w:id="406" w:name="__RefHeading___Toc7812390_3381743652"/>
      <w:bookmarkStart w:id="407" w:name="_Toc154"/>
      <w:bookmarkEnd w:id="406"/>
      <w:r>
        <w:rPr>
          <w:rtl w:val="true"/>
        </w:rPr>
        <w:t>چه معصیتی موجب عقاب همیشگی میشود؟</w:t>
      </w:r>
      <w:bookmarkEnd w:id="407"/>
    </w:p>
    <w:p>
      <w:pPr>
        <w:pStyle w:val="BookText"/>
        <w:rPr/>
      </w:pPr>
      <w:r>
        <w:rPr>
          <w:rFonts w:ascii="IRNazanin" w:hAnsi="IRNazanin" w:eastAsia="IRNazanin"/>
          <w:color w:val="111111"/>
          <w:sz w:val="28"/>
          <w:sz w:val="28"/>
          <w:szCs w:val="28"/>
          <w:rtl w:val="true"/>
          <w:lang w:bidi="fa-IR"/>
        </w:rPr>
        <w:t>بعد از اثبات دوام ثواب و عقاب، این پرسش مطرح می شود که چه گناهی باعث عذاب دائم می شود و عقاب چه کسانی همیشگی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الطایفه در پاسخ این پرسش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bookmarkStart w:id="408" w:name="pg14387_143743"/>
    </w:p>
    <w:p>
      <w:pPr>
        <w:pStyle w:val="BookText"/>
        <w:rPr/>
      </w:pPr>
      <w:bookmarkEnd w:id="408"/>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کفر، اجماع و اتفاق است که باعث عذاب همیشگی می شود و کافر در عذاب جاودان به سر می برد، اما نسبت به معاصی غیر کفر، دلیلی نداریم که موجب عقاب دائمی باشد، بلکه دلیل بر خلاف آن داریم</w:t>
      </w:r>
      <w:r>
        <w:rPr>
          <w:rFonts w:eastAsia="IRNazanin" w:cs="IRNazanin"/>
          <w:color w:val="111111"/>
          <w:sz w:val="28"/>
          <w:szCs w:val="28"/>
          <w:rtl w:val="true"/>
          <w:lang w:bidi="fa-IR"/>
        </w:rPr>
        <w:t>.</w:t>
      </w:r>
    </w:p>
    <w:p>
      <w:pPr>
        <w:pStyle w:val="Heading3"/>
        <w:numPr>
          <w:ilvl w:val="2"/>
          <w:numId w:val="1"/>
        </w:numPr>
        <w:rPr/>
      </w:pPr>
      <w:bookmarkStart w:id="409" w:name="__RefHeading___Toc7812392_3381743652"/>
      <w:bookmarkStart w:id="410" w:name="_Toc155"/>
      <w:bookmarkEnd w:id="409"/>
      <w:r>
        <w:rPr>
          <w:rtl w:val="true"/>
        </w:rPr>
        <w:t>انقطاع تکلیف در آخرت</w:t>
      </w:r>
      <w:bookmarkEnd w:id="410"/>
    </w:p>
    <w:p>
      <w:pPr>
        <w:pStyle w:val="BookText"/>
        <w:rPr/>
      </w:pPr>
      <w:r>
        <w:rPr>
          <w:rFonts w:ascii="IRNazanin" w:hAnsi="IRNazanin" w:eastAsia="IRNazanin"/>
          <w:color w:val="111111"/>
          <w:sz w:val="28"/>
          <w:sz w:val="28"/>
          <w:szCs w:val="28"/>
          <w:rtl w:val="true"/>
          <w:lang w:bidi="fa-IR"/>
        </w:rPr>
        <w:t>این که آیا در آخرت، تکلیف هست یا نه، یکی از مباحثی است که در باب معاد، قابل طرح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اسلامی، نوع بر این باورند که در قیامت، تکلیف منقطع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الطایفه برای اثبات این مطلب، به دو دلیل استدلال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 انسان در آخرت، صحیح باشد، وقوع توبه نیز از او جایز است و حال آن که اجماع بر خلاف آن است</w:t>
      </w:r>
      <w:r>
        <w:rPr>
          <w:rFonts w:eastAsia="IRNazanin" w:cs="IRNazanin"/>
          <w:color w:val="111111"/>
          <w:sz w:val="28"/>
          <w:szCs w:val="28"/>
          <w:rtl w:val="true"/>
          <w:lang w:bidi="fa-IR"/>
        </w:rPr>
        <w:t>.</w:t>
      </w:r>
      <w:r>
        <w:rPr>
          <w:rStyle w:val="FootnoteAnchor"/>
          <w:rtl w:val="true"/>
        </w:rPr>
        <w:footnoteReference w:id="52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تکلیف، رسیدن به ثواب در جهان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تکلیف، این غرض، قابل حصول نیست؛ زیرا تکلیف، با ثواب، قابل جمع نیست؛ چون از شأن ثواب، این است که خالص و خالی از مشقت باشد و حال آن که تکلیف، خالی از مشقت نیست</w:t>
      </w:r>
      <w:r>
        <w:rPr>
          <w:rFonts w:eastAsia="IRNazanin" w:cs="IRNazanin"/>
          <w:color w:val="111111"/>
          <w:sz w:val="28"/>
          <w:szCs w:val="28"/>
          <w:rtl w:val="true"/>
          <w:lang w:bidi="fa-IR"/>
        </w:rPr>
        <w:t>.</w:t>
      </w:r>
      <w:r>
        <w:rPr>
          <w:rStyle w:val="FootnoteAnchor"/>
          <w:rtl w:val="true"/>
        </w:rPr>
        <w:footnoteReference w:id="525"/>
      </w:r>
      <w:bookmarkStart w:id="411" w:name="pg14387_143744"/>
    </w:p>
    <w:p>
      <w:pPr>
        <w:pStyle w:val="Heading2"/>
        <w:numPr>
          <w:ilvl w:val="1"/>
          <w:numId w:val="1"/>
        </w:numPr>
        <w:rPr/>
      </w:pPr>
      <w:bookmarkStart w:id="412" w:name="__RefHeading___Toc7812394_3381743652"/>
      <w:bookmarkStart w:id="413" w:name="_Toc156"/>
      <w:bookmarkEnd w:id="411"/>
      <w:bookmarkEnd w:id="412"/>
      <w:r>
        <w:rPr>
          <w:rtl w:val="true"/>
        </w:rPr>
        <w:t>شفاعت</w:t>
      </w:r>
      <w:bookmarkEnd w:id="413"/>
    </w:p>
    <w:p>
      <w:pPr>
        <w:pStyle w:val="Heading3"/>
        <w:numPr>
          <w:ilvl w:val="2"/>
          <w:numId w:val="1"/>
        </w:numPr>
        <w:rPr/>
      </w:pPr>
      <w:bookmarkStart w:id="414" w:name="__RefHeading___Toc7812396_3381743652"/>
      <w:bookmarkStart w:id="415" w:name="_Toc157"/>
      <w:bookmarkEnd w:id="414"/>
      <w:r>
        <w:rPr>
          <w:rtl w:val="true"/>
        </w:rPr>
        <w:t>مقدمه</w:t>
      </w:r>
      <w:bookmarkEnd w:id="415"/>
    </w:p>
    <w:p>
      <w:pPr>
        <w:pStyle w:val="Heading4"/>
        <w:numPr>
          <w:ilvl w:val="3"/>
          <w:numId w:val="1"/>
        </w:numPr>
        <w:rPr/>
      </w:pPr>
      <w:bookmarkStart w:id="416" w:name="__RefHeading___Toc7812398_3381743652"/>
      <w:bookmarkStart w:id="417" w:name="_Toc158"/>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شفاعت، موضوع مهمی در اندیشه اسلامی است که زوایای گوناگون آن در تاریخ تفکر اسلام مطرح شده است؛ به ویژه مفسران و متکلمان، این مسئله را به تفصیل مورد بحث و تحقیق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آیاتی که به امر شفاعت اشاره دارد، به بحث از آن</w:t>
      </w:r>
    </w:p>
    <w:p>
      <w:pPr>
        <w:pStyle w:val="BookText"/>
        <w:rPr/>
      </w:pPr>
      <w:r>
        <w:rPr>
          <w:rFonts w:ascii="IRNazanin" w:hAnsi="IRNazanin" w:eastAsia="IRNazanin"/>
          <w:color w:val="111111"/>
          <w:sz w:val="28"/>
          <w:sz w:val="28"/>
          <w:szCs w:val="28"/>
          <w:rtl w:val="true"/>
          <w:lang w:bidi="fa-IR"/>
        </w:rPr>
        <w:t>پرداخته اند و متکلمان، از آن رو که مسئله را مربوط به بحث معاد و مسئله ای کلامی دانسته اند، از آن به تفصیل سخن به میان آورده 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xml:space="preserve">، خواجه نصیرالدین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متکلمان شیعی و قاضی عبدالجبار معتزلی</w:t>
      </w:r>
      <w:r>
        <w:rPr>
          <w:rStyle w:val="FootnoteAnchor"/>
          <w:rtl w:val="true"/>
        </w:rPr>
        <w:footnoteReference w:id="530"/>
      </w:r>
      <w:r>
        <w:rPr>
          <w:rFonts w:ascii="IRNazanin" w:hAnsi="IRNazanin" w:eastAsia="IRNazanin"/>
          <w:color w:val="111111"/>
          <w:sz w:val="28"/>
          <w:sz w:val="28"/>
          <w:szCs w:val="28"/>
          <w:rtl w:val="true"/>
          <w:lang w:bidi="fa-IR"/>
        </w:rPr>
        <w:t xml:space="preserve">عبدالرحمن ایجی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سعدالدین تفتازانی</w:t>
      </w:r>
      <w:r>
        <w:rPr>
          <w:rStyle w:val="FootnoteAnchor"/>
          <w:rtl w:val="true"/>
        </w:rPr>
        <w:footnoteReference w:id="53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متکلمان اهل سنت، </w:t>
      </w:r>
      <w:bookmarkStart w:id="418" w:name="pg14387_143745"/>
    </w:p>
    <w:p>
      <w:pPr>
        <w:pStyle w:val="BookText"/>
        <w:rPr/>
      </w:pPr>
      <w:bookmarkEnd w:id="418"/>
      <w:r>
        <w:rPr>
          <w:rFonts w:ascii="IRNazanin" w:hAnsi="IRNazanin" w:eastAsia="IRNazanin"/>
          <w:color w:val="111111"/>
          <w:sz w:val="28"/>
          <w:sz w:val="28"/>
          <w:szCs w:val="28"/>
          <w:rtl w:val="true"/>
          <w:lang w:bidi="fa-IR"/>
        </w:rPr>
        <w:t>بحث شفاعت را در آثار کلامی خود مطرح نموده و به ابعاد گوناگون آن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دانشوران بزرگ اسلامی در اصل شفاعت،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پرسشهای عمده ذیل در این مسئله قابل طرح و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شفاعت چیست؟</w:t>
      </w:r>
    </w:p>
    <w:p>
      <w:pPr>
        <w:pStyle w:val="BookText"/>
        <w:rPr/>
      </w:pPr>
      <w:r>
        <w:rPr>
          <w:rFonts w:ascii="IRNazanin" w:hAnsi="IRNazanin" w:eastAsia="IRNazanin"/>
          <w:color w:val="111111"/>
          <w:sz w:val="28"/>
          <w:sz w:val="28"/>
          <w:szCs w:val="28"/>
          <w:rtl w:val="true"/>
          <w:lang w:bidi="fa-IR"/>
        </w:rPr>
        <w:t>آیا شفاعت دفع ضرر است یا جلب منفعت؟</w:t>
      </w:r>
    </w:p>
    <w:p>
      <w:pPr>
        <w:pStyle w:val="BookText"/>
        <w:rPr/>
      </w:pPr>
      <w:r>
        <w:rPr>
          <w:rFonts w:ascii="IRNazanin" w:hAnsi="IRNazanin" w:eastAsia="IRNazanin"/>
          <w:color w:val="111111"/>
          <w:sz w:val="28"/>
          <w:sz w:val="28"/>
          <w:szCs w:val="28"/>
          <w:rtl w:val="true"/>
          <w:lang w:bidi="fa-IR"/>
        </w:rPr>
        <w:t>شفاعت، تنها از آن خداوند است یا دیگران نیز می توانند شفاعت کنند؟</w:t>
      </w:r>
    </w:p>
    <w:p>
      <w:pPr>
        <w:pStyle w:val="BookText"/>
        <w:rPr/>
      </w:pPr>
      <w:r>
        <w:rPr>
          <w:rFonts w:ascii="IRNazanin" w:hAnsi="IRNazanin" w:eastAsia="IRNazanin"/>
          <w:color w:val="111111"/>
          <w:sz w:val="28"/>
          <w:sz w:val="28"/>
          <w:szCs w:val="28"/>
          <w:rtl w:val="true"/>
          <w:lang w:bidi="fa-IR"/>
        </w:rPr>
        <w:t>چه کسانی مورد شفاعت قرار می گیرند و شرایط آن چیست؟</w:t>
      </w:r>
    </w:p>
    <w:p>
      <w:pPr>
        <w:pStyle w:val="BookText"/>
        <w:rPr/>
      </w:pPr>
      <w:r>
        <w:rPr>
          <w:rFonts w:ascii="IRNazanin" w:hAnsi="IRNazanin" w:eastAsia="IRNazanin"/>
          <w:color w:val="111111"/>
          <w:sz w:val="28"/>
          <w:sz w:val="28"/>
          <w:szCs w:val="28"/>
          <w:rtl w:val="true"/>
          <w:lang w:bidi="fa-IR"/>
        </w:rPr>
        <w:t>نوشتار حاضر، تحقیقی است درباره مسائل یادشده و تبیین دیدگاه شیخ طوسی در عمده ترین مسائل بحث شفاعت</w:t>
      </w:r>
      <w:r>
        <w:rPr>
          <w:rFonts w:eastAsia="IRNazanin" w:cs="IRNazanin"/>
          <w:color w:val="111111"/>
          <w:sz w:val="28"/>
          <w:szCs w:val="28"/>
          <w:rtl w:val="true"/>
          <w:lang w:bidi="fa-IR"/>
        </w:rPr>
        <w:t>.</w:t>
      </w:r>
    </w:p>
    <w:p>
      <w:pPr>
        <w:pStyle w:val="Heading4"/>
        <w:numPr>
          <w:ilvl w:val="3"/>
          <w:numId w:val="1"/>
        </w:numPr>
        <w:rPr/>
      </w:pPr>
      <w:bookmarkStart w:id="419" w:name="__RefHeading___Toc7812400_3381743652"/>
      <w:bookmarkStart w:id="420" w:name="_Toc159"/>
      <w:bookmarkEnd w:id="419"/>
      <w:r>
        <w:rPr>
          <w:rtl w:val="true"/>
        </w:rPr>
        <w:t>شفاعت در لغت و اصطلاح</w:t>
      </w:r>
      <w:bookmarkEnd w:id="420"/>
    </w:p>
    <w:p>
      <w:pPr>
        <w:pStyle w:val="BookText"/>
        <w:rPr/>
      </w:pPr>
      <w:r>
        <w:rPr>
          <w:rFonts w:ascii="IRNazanin" w:hAnsi="IRNazanin" w:eastAsia="IRNazanin"/>
          <w:color w:val="111111"/>
          <w:sz w:val="28"/>
          <w:sz w:val="28"/>
          <w:szCs w:val="28"/>
          <w:rtl w:val="true"/>
          <w:lang w:bidi="fa-IR"/>
        </w:rPr>
        <w:t>شفاعت در اصل به معنای ضمیمه کردن یا نزدیک نمودن دو چیز به یکدیگر آمده است؛ چنان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یشفع شفاعة حته یکن له نصیب منها</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و کمک به کار نیکی کند، نصیبی از آن برای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الشیء إلی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سپس به ضمیمه شدن فرد قویتر و برتر برای کمک به فرد ضعیفتر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 و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یعنی کمک و یاری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 أی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معنای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شفوع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بین محلبین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شتری که موقع شیر دادن در یک دوشیدن، به اندازه دوبار دوشیدن شیر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شاة شافع أی معها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حامله ای که بره ای به دنبال دارد</w:t>
      </w:r>
      <w:r>
        <w:rPr>
          <w:rFonts w:eastAsia="IRNazanin" w:cs="IRNazanin"/>
          <w:color w:val="111111"/>
          <w:sz w:val="28"/>
          <w:szCs w:val="28"/>
          <w:rtl w:val="true"/>
          <w:lang w:bidi="fa-IR"/>
        </w:rPr>
        <w:t>.</w:t>
      </w:r>
      <w:r>
        <w:rPr>
          <w:rStyle w:val="FootnoteAnchor"/>
          <w:rtl w:val="true"/>
        </w:rPr>
        <w:footnoteReference w:id="53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معنای انضمام فردی به فرد دیگر برای نفع رساندن به او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شفعت الرکعة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جعلتها 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جفتش کردم</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به معنای خواهش کردن، شفاعت خواستن، زیاده کردن چیزی به چیزی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شافعة أی تنظر نظرین لضعف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چشمی که به خاطر ضعف دیدش یکی را دو می بیند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به معنای درخواست عفو از گناهان و جرمهای دنیوی و اخروی نیز آمده است</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السؤال فی التجاوز عن الذنوب و الجرائم فیما یتعلق بأمور الدنیا و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معنای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فتشفعه، أی تزیده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بود، زیادش کرد، چیزی به او ضمیمه کرد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به معنای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نزد او، جز به فرمان او شفاعت کند؟ شفاعت در این آیه شریفه به معنای دعا آمده است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به معنای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لیشفع علی بالعداوة أی یعین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یشفع شفاعة حسنة</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 أی من یزد عملا إلی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افزودن عمل به عمل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لاتنفعها الشفاعة</w:t>
      </w:r>
      <w:r>
        <w:rPr>
          <w:rFonts w:eastAsia="IRNazanin" w:cs="IRNazanin"/>
          <w:color w:val="111111"/>
          <w:sz w:val="28"/>
          <w:szCs w:val="28"/>
          <w:rtl w:val="true"/>
          <w:lang w:bidi="fa-IR"/>
        </w:rPr>
        <w:t xml:space="preserve">» </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للشافع، أی ما لها شافع فتنفعها شفاعته</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کننده ای نیست تا شفاعتش اثر داشته باشد، نه این که شفاعتش هست، ولی اثر ندارد؛ زیرا معنی ندارد که شفاعت باشد، ولی اثر نداشته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شفاعت به معنای پیوستن به غیر، برای یاری خواستن و درخواست یاری نمودن نیز آمده است و غالب این پیوستنها و درخواستها، از کسی است که از نظر رتبه و مقام، از شخص درخواست کننده،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که در روز قیامت مطرح است، به همین</w:t>
      </w:r>
    </w:p>
    <w:p>
      <w:pPr>
        <w:pStyle w:val="BookText"/>
        <w:rPr/>
      </w:pPr>
      <w:r>
        <w:rPr>
          <w:rFonts w:ascii="IRNazanin" w:hAnsi="IRNazanin" w:eastAsia="IRNazanin"/>
          <w:color w:val="111111"/>
          <w:sz w:val="28"/>
          <w:sz w:val="28"/>
          <w:szCs w:val="28"/>
          <w:rtl w:val="true"/>
          <w:lang w:bidi="fa-IR"/>
        </w:rPr>
        <w:t xml:space="preserve">معنی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پایین تر از بالاتر</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یومئیذ لاتنفع الشفاعة إلا من أذن له الرحمن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شفاعت هیچ کس سودی نمی بخشند، جز کسی که خداوند رحمان به او اجازه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شفاعت شخصی مطرح است که از طرف خداوند، مأذون و </w:t>
      </w:r>
      <w:bookmarkStart w:id="421" w:name="pg14387_143747"/>
    </w:p>
    <w:p>
      <w:pPr>
        <w:pStyle w:val="BookText"/>
        <w:rPr/>
      </w:pPr>
      <w:bookmarkEnd w:id="421"/>
      <w:r>
        <w:rPr>
          <w:rFonts w:ascii="IRNazanin" w:hAnsi="IRNazanin" w:eastAsia="IRNazanin"/>
          <w:color w:val="111111"/>
          <w:sz w:val="28"/>
          <w:sz w:val="28"/>
          <w:szCs w:val="28"/>
          <w:rtl w:val="true"/>
          <w:lang w:bidi="fa-IR"/>
        </w:rPr>
        <w:t>دارای برتری ویژه ای باشد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الشفاعة إلا من اتخذ عند الرحمن عهدا</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مالک شفاعت نیستند، مگر کسی که نزد خداوند رحمان، عهد و پیمانی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این آیه نیز دلالت بر برتری ویژه ای در شخص شفاعت کننده دارد و آن، عهد و پیمان داشتن او با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 الوتر من العدد شفعأ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صیره زوجا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تک و فرد را زوج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هو الله و الشفع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الشفیع صاحب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یشفع شفاعة حسنة یکن له نصیب منها</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قیل معناه من یصلح بین اثنین یکن له جزء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بین دو نفر اصلاح کند، در صواب آن شریک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من یشفع شفاعة سیئة یکن له کفل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یمشی بالنمیمة مثلا یکن له إثم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سخن چینی کند و موجب به هم زدن دوستی دو نفر گردد، در گناهش نیز شریک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 برای مؤمنان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 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نفرین بر مؤمنان می باشد</w:t>
      </w:r>
      <w:r>
        <w:rPr>
          <w:rFonts w:eastAsia="IRNazanin" w:cs="IRNazanin"/>
          <w:color w:val="111111"/>
          <w:sz w:val="28"/>
          <w:szCs w:val="28"/>
          <w:rtl w:val="true"/>
          <w:lang w:bidi="fa-IR"/>
        </w:rPr>
        <w:t>.</w:t>
      </w:r>
      <w:r>
        <w:rPr>
          <w:rStyle w:val="FootnoteAnchor"/>
          <w:rtl w:val="true"/>
        </w:rPr>
        <w:footnoteReference w:id="548"/>
      </w:r>
    </w:p>
    <w:p>
      <w:pPr>
        <w:pStyle w:val="Heading4"/>
        <w:numPr>
          <w:ilvl w:val="3"/>
          <w:numId w:val="1"/>
        </w:numPr>
        <w:rPr/>
      </w:pPr>
      <w:bookmarkStart w:id="422" w:name="__RefHeading___Toc7812402_3381743652"/>
      <w:bookmarkStart w:id="423" w:name="_Toc160"/>
      <w:bookmarkEnd w:id="422"/>
      <w:r>
        <w:rPr>
          <w:rtl w:val="true"/>
        </w:rPr>
        <w:t>معنای شفاعت در عرف و شرع</w:t>
      </w:r>
      <w:bookmarkEnd w:id="423"/>
    </w:p>
    <w:p>
      <w:pPr>
        <w:pStyle w:val="BookText"/>
        <w:rPr/>
      </w:pPr>
      <w:r>
        <w:rPr>
          <w:rFonts w:ascii="IRNazanin" w:hAnsi="IRNazanin" w:eastAsia="IRNazanin"/>
          <w:color w:val="111111"/>
          <w:sz w:val="28"/>
          <w:sz w:val="28"/>
          <w:szCs w:val="28"/>
          <w:rtl w:val="true"/>
          <w:lang w:bidi="fa-IR"/>
        </w:rPr>
        <w:t>شفاعت در عرف و شرع، به دو معنای متفاوت اطلاق می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عامه مردم، شفاعت به این معنی است که شخص شفیع از موقعیت و شخصیت و نفوذ خود استفاده می کند و نظر شخص صاحب قدرتی را درباره مجازات زیردستان خود عوض می کند؛ گاهی با استفاده از نفوذ خود یا وحشتی که از نفوذ او دارند و گاهی نیز با پیش کشیدن مسائل عاطفی و تحت تأثیر قرار دادن عواطف شخصی و زمانی نیز با تغییر دادن مبنای فکری او درباره گناه مجرم و استحقاق او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خلاصه، از این منظر، شفاعت، هیچ نوع دگرگونی در روحیات و فکر مجرم یا متهم ایجاد نمی کند، بلکه تمام تأثیرها و دگرگونیها، مربوط به شخصی است که شفاعت نزد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دیگر شفاعت، بر محور دگرگونی و تغییر موضع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زند؛ یعنی شفاعت شونده، موجباتی را فراهم می سازد که در وضعیت مطلوبی، شایسته و مستحق بخشودگی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خواهیم دید، ایمان به این نوع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یک مکتب عالی تربیت و وسیله اصلاح افراد گناهکار و آلوده و موجب بیداری و آگاهی است و شفاعت در منطق اسلام، از نوع اخیر است و ایرادهایی هم که گرفته می شود، مربوط به شفاعت به معنای اول است</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برخی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لاتنفع الشفاعة</w:t>
      </w:r>
      <w:r>
        <w:rPr>
          <w:rFonts w:eastAsia="IRNazanin" w:cs="IRNazanin"/>
          <w:color w:val="111111"/>
          <w:sz w:val="28"/>
          <w:szCs w:val="28"/>
          <w:rtl w:val="true"/>
          <w:lang w:bidi="fa-IR"/>
        </w:rPr>
        <w:t>»</w:t>
      </w:r>
      <w:r>
        <w:rPr>
          <w:rStyle w:val="FootnoteAnchor"/>
          <w:rtl w:val="true"/>
        </w:rPr>
        <w:footnoteReference w:id="5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لاتنفعها الشفاعة</w:t>
      </w:r>
      <w:r>
        <w:rPr>
          <w:rFonts w:eastAsia="Amiri" w:cs="Amiri" w:ascii="Amiri" w:hAnsi="Amiri"/>
          <w:color w:val="111111"/>
          <w:sz w:val="28"/>
          <w:szCs w:val="28"/>
          <w:rtl w:val="true"/>
          <w:lang w:bidi="ar-SA"/>
        </w:rPr>
        <w:t xml:space="preserve">» </w:t>
      </w:r>
      <w:r>
        <w:rPr>
          <w:rStyle w:val="FootnoteAnchor"/>
          <w:rtl w:val="true"/>
        </w:rPr>
        <w:footnoteReference w:id="551"/>
      </w:r>
      <w:r>
        <w:rPr>
          <w:rFonts w:ascii="IRNazanin" w:hAnsi="IRNazanin" w:eastAsia="IRNazanin"/>
          <w:color w:val="111111"/>
          <w:sz w:val="28"/>
          <w:sz w:val="28"/>
          <w:szCs w:val="28"/>
          <w:rtl w:val="true"/>
          <w:lang w:bidi="fa-IR"/>
        </w:rPr>
        <w:t>بر این باورند که چگونه می شود شفاعت بشوند، ولی شفاعت درباره آنان تأثیر و نفعی نداشته باشد؟</w:t>
      </w:r>
    </w:p>
    <w:p>
      <w:pPr>
        <w:pStyle w:val="BookText"/>
        <w:rPr/>
      </w:pPr>
      <w:r>
        <w:rPr>
          <w:rFonts w:ascii="IRNazanin" w:hAnsi="IRNazanin" w:eastAsia="IRNazanin"/>
          <w:color w:val="111111"/>
          <w:sz w:val="28"/>
          <w:sz w:val="28"/>
          <w:szCs w:val="28"/>
          <w:rtl w:val="true"/>
          <w:lang w:bidi="fa-IR"/>
        </w:rPr>
        <w:t>آنچه از مسئله شفاعت انتظار می رود، آن است که شفاعت شونده، مورد عنایت واقع شود و معنی ندارد که بگوییم شفاعت شده، ولی اثر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به این پرسش پاسخ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چنین آیاتی، مربوط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لاتنفع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اصلا شفاعتی در کار نبوده تا نفعی داشته باشد یا نداشته باشد؛ مانند شاعر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الحب لایهتدی بمناره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مناری نیست تا هدایت کننده باشد، نه این که منار هست، ولی هدایت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جا منار باشد، لامحاله، هدایت هم هست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مرحوم شیخ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شفاعت باشد؛ چه از نبی مکرم اسلام و و چه از غیر نبی ا از اولیای خدا، قطعا اثر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مخالفان هم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معنی ندارد که شفاعت تحقق پیدا کند، ولی اثر نداشته باشد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با توجه به آنچه گذشت، معلوم می شود که معنای اجمالی شفاعت را همه می دانند؛ زیرا همه در اجتماعی زندگی می کنند که اساس آن بر تعاون و همکاری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اشاره شد، معنای شفاعت، آن است که شخصی با متوسل شدن به شفیع، نیروی خودش را تقویت و توان خود را با توان شفیع، جمع کند؛ در نتیجه، آن را دو چندان نموده، به آن چه می خواهد، نائل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شفاعت، یکی از اموری است که ما آن را برای رسیدن به مقصود به کار می بریم و از آن کمک می گیریم که اگر موارد استعمال آن را برشماریم، خواهیم دید که به طور کلی در یکی از دو مورد ذیل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جلب منفعت و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دفع ضرر و شر؛ البته نه هر نفع و ضرری</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مرحوم علامه طباطبایی درباره معنای اصطلاحی شفاعت از نگاه شرع،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شرعی شفاعت، واسطه شدن در رساندن نفع یا دفع ضرر از کسی به عنوان حکومت است، نه به عنوان مبارزه و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غرض از حکومت، این است که موضوعی را از مورد حکمی خارج ساخته، داخل در حکم دیگری کند، به طوری که حکم اول، شامل آن نشود، نه این که حکم شامل آن بشود، ولی به وسیله ایجاد ضد، آن را از کار اندازد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به نظر می رسد که مراد مرحوم علامه آن است که با شفاعت، حکم قبلی لغو می شود و حکم دیگری صادر خواهد شد، نه آن که حکم قبلی باقی است و به وسیله ضد آن، عمل نمی گردد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عرف، شفاعت به معنای واسطه شدن برای دفع ضرر از کسی یا رساندن منفعتی به اوست و به عبارت واضحتر این که شخص شفیع، نظر شخص صاحب قدرتی را </w:t>
      </w:r>
      <w:bookmarkStart w:id="424" w:name="pg14387_143750"/>
    </w:p>
    <w:p>
      <w:pPr>
        <w:pStyle w:val="BookText"/>
        <w:rPr/>
      </w:pPr>
      <w:bookmarkEnd w:id="424"/>
      <w:r>
        <w:rPr>
          <w:rFonts w:ascii="IRNazanin" w:hAnsi="IRNazanin" w:eastAsia="IRNazanin"/>
          <w:color w:val="111111"/>
          <w:sz w:val="28"/>
          <w:sz w:val="28"/>
          <w:szCs w:val="28"/>
          <w:rtl w:val="true"/>
          <w:lang w:bidi="fa-IR"/>
        </w:rPr>
        <w:t>درباره زیردستانش عوض کند؛ چه با استفاده از نفوذ و یا با ایجاد وحشت در او</w:t>
      </w:r>
      <w:r>
        <w:rPr>
          <w:rFonts w:eastAsia="IRNazanin" w:cs="IRNazanin"/>
          <w:color w:val="111111"/>
          <w:sz w:val="28"/>
          <w:szCs w:val="28"/>
          <w:rtl w:val="true"/>
          <w:lang w:bidi="fa-IR"/>
        </w:rPr>
        <w:t>.</w:t>
      </w:r>
      <w:r>
        <w:rPr>
          <w:rStyle w:val="FootnoteAnchor"/>
          <w:rtl w:val="true"/>
        </w:rPr>
        <w:footnoteReference w:id="555"/>
      </w:r>
    </w:p>
    <w:p>
      <w:pPr>
        <w:pStyle w:val="Heading3"/>
        <w:numPr>
          <w:ilvl w:val="2"/>
          <w:numId w:val="1"/>
        </w:numPr>
        <w:rPr/>
      </w:pPr>
      <w:bookmarkStart w:id="425" w:name="__RefHeading___Toc7812404_3381743652"/>
      <w:bookmarkStart w:id="426" w:name="_Toc161"/>
      <w:bookmarkEnd w:id="425"/>
      <w:r>
        <w:rPr>
          <w:rtl w:val="true"/>
        </w:rPr>
        <w:t>فرق شفاعت در اصطلاح عرف و شرع</w:t>
      </w:r>
      <w:bookmarkEnd w:id="426"/>
    </w:p>
    <w:p>
      <w:pPr>
        <w:pStyle w:val="BookText"/>
        <w:rPr/>
      </w:pPr>
      <w:r>
        <w:rPr>
          <w:rFonts w:ascii="IRNazanin" w:hAnsi="IRNazanin" w:eastAsia="IRNazanin"/>
          <w:color w:val="111111"/>
          <w:sz w:val="28"/>
          <w:sz w:val="28"/>
          <w:szCs w:val="28"/>
          <w:rtl w:val="true"/>
          <w:lang w:bidi="fa-IR"/>
        </w:rPr>
        <w:t xml:space="preserve">شفاعت در اصطلاح عرف که همان شفاعت در دنیا باشد، لازم نیست از طرف فرمانروا و شخصی که نزد او شفاعت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مشفوع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باشد، ولی در قیامت، اذن خداوند، شرط قطعی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گناهکاران در دنیا به هر وضعی که باشند، ممکن است از شفاعت شفعا بهره مند گردند و از کیفر نجات یابند، ولی شفاعت در قیامت، شرایطی دارد که با کسب آن شرایط، تحقق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شفاعت شرعی، شفیع تحت تأثیر مقام ربوبی قرار می گیرد، ولی در شفاعتهای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قدرت تحت تأثیر سخنان شفیع قرار گرفته و خود شفیع، تحت تأثیر مجرم قرار می گیرد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آنچه که از کلام مرحوم علامه و دیگران استفاده شد، این است که شفاعت، گاهی برای دفع ضرر و گاهی برای جلب منفعت می باشد، ولی مرحوم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شفاعت، از بین بردن ضرری است که شخص، مستحق آن است، نه جلب منفعت</w:t>
      </w:r>
      <w:r>
        <w:rPr>
          <w:rFonts w:eastAsia="IRNazanin" w:cs="IRNazanin"/>
          <w:color w:val="111111"/>
          <w:sz w:val="28"/>
          <w:szCs w:val="28"/>
          <w:rtl w:val="true"/>
          <w:lang w:bidi="fa-IR"/>
        </w:rPr>
        <w:t>.</w:t>
      </w:r>
      <w:r>
        <w:rPr>
          <w:rStyle w:val="FootnoteAnchor"/>
          <w:rtl w:val="true"/>
        </w:rPr>
        <w:footnoteReference w:id="557"/>
      </w:r>
    </w:p>
    <w:p>
      <w:pPr>
        <w:pStyle w:val="Heading3"/>
        <w:numPr>
          <w:ilvl w:val="2"/>
          <w:numId w:val="1"/>
        </w:numPr>
        <w:rPr/>
      </w:pPr>
      <w:bookmarkStart w:id="427" w:name="__RefHeading___Toc7812406_3381743652"/>
      <w:bookmarkStart w:id="428" w:name="_Toc162"/>
      <w:bookmarkEnd w:id="427"/>
      <w:r>
        <w:rPr>
          <w:rtl w:val="true"/>
        </w:rPr>
        <w:t>شفاعت در آیات و روایات</w:t>
      </w:r>
      <w:bookmarkEnd w:id="428"/>
    </w:p>
    <w:p>
      <w:pPr>
        <w:pStyle w:val="BookText"/>
        <w:rPr/>
      </w:pPr>
      <w:r>
        <w:rPr>
          <w:rFonts w:ascii="IRNazanin" w:hAnsi="IRNazanin" w:eastAsia="IRNazanin"/>
          <w:color w:val="111111"/>
          <w:sz w:val="28"/>
          <w:sz w:val="28"/>
          <w:szCs w:val="28"/>
          <w:rtl w:val="true"/>
          <w:lang w:bidi="fa-IR"/>
        </w:rPr>
        <w:t>شفاعت از چند منظر در آیات و روایات، قابل بحث و بررسی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که بر اصل وجود شفاعت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ظاهرا دلالت بر نفی شفاعت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شفاعت را مختص خداوند می داند و از غیر او نفی می 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آنها شرایط خاصی برای شفاعت ذکر شده است</w:t>
      </w:r>
      <w:r>
        <w:rPr>
          <w:rFonts w:eastAsia="IRNazanin" w:cs="IRNazanin"/>
          <w:color w:val="111111"/>
          <w:sz w:val="28"/>
          <w:szCs w:val="28"/>
          <w:rtl w:val="true"/>
          <w:lang w:bidi="fa-IR"/>
        </w:rPr>
        <w:t xml:space="preserve">. </w:t>
      </w:r>
      <w:bookmarkStart w:id="429" w:name="pg14387_143751"/>
    </w:p>
    <w:p>
      <w:pPr>
        <w:pStyle w:val="Heading3"/>
        <w:numPr>
          <w:ilvl w:val="2"/>
          <w:numId w:val="1"/>
        </w:numPr>
        <w:rPr/>
      </w:pPr>
      <w:bookmarkStart w:id="430" w:name="__RefHeading___Toc7812408_3381743652"/>
      <w:bookmarkStart w:id="431" w:name="_Toc163"/>
      <w:bookmarkEnd w:id="429"/>
      <w:bookmarkEnd w:id="430"/>
      <w:r>
        <w:rPr>
          <w:rtl w:val="true"/>
        </w:rPr>
        <w:t>آیات و روایاتی که بر اصل وجود شفاعت دلالت دارد</w:t>
      </w:r>
      <w:bookmarkEnd w:id="431"/>
    </w:p>
    <w:p>
      <w:pPr>
        <w:pStyle w:val="Heading4"/>
        <w:numPr>
          <w:ilvl w:val="3"/>
          <w:numId w:val="1"/>
        </w:numPr>
        <w:rPr/>
      </w:pPr>
      <w:bookmarkStart w:id="432" w:name="__RefHeading___Toc7812410_3381743652"/>
      <w:bookmarkStart w:id="433" w:name="_Toc164"/>
      <w:bookmarkEnd w:id="432"/>
      <w:r>
        <w:rPr>
          <w:rtl w:val="true"/>
        </w:rPr>
        <w:t>الف</w:t>
      </w:r>
      <w:r>
        <w:rPr>
          <w:rtl w:val="true"/>
        </w:rPr>
        <w:t xml:space="preserve">) </w:t>
      </w:r>
      <w:r>
        <w:rPr>
          <w:rtl w:val="true"/>
        </w:rPr>
        <w:t>آیات</w:t>
      </w:r>
      <w:bookmarkEnd w:id="4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علامه طباطبایی در المیزان درباره این آیه شریفه، در قسمت بحث روایی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أشفع لأمتی حتی ینادینی ربی أرضیت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آنقدر از امتم شفاعت خواهم کرد، تا خداوند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شدی؟ پس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 من، راضی شدم</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در ادامه روایت، راوی می گوید، مردم عراق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امیدوارکننده ترین آیه در قرآن،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ما هم همین را می گوییم، و لکن امام 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ما اهل البیت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امیدوارکننده ترین آیه در قرآن کریم،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درباره شفاعت رسول خدا برای امتش نازل شده 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در تفسیر نمونه در ذیل آیه شریفه، همین روایت و روایات دیگری نقل شده است که مراد از این آیه، شفاعت است؛ یعنی پیامبر مکرم اسلام و آنقدر شفاعت می کند، تا خودش به این امر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یبعثک ربک مقام محمودا</w:t>
      </w:r>
      <w:r>
        <w:rPr>
          <w:rFonts w:eastAsia="IRNazanin" w:cs="IRNazanin"/>
          <w:color w:val="111111"/>
          <w:sz w:val="28"/>
          <w:szCs w:val="28"/>
          <w:rtl w:val="true"/>
          <w:lang w:bidi="fa-IR"/>
        </w:rPr>
        <w:t>»</w:t>
      </w:r>
      <w:r>
        <w:rPr>
          <w:rStyle w:val="FootnoteAnchor"/>
          <w:rtl w:val="true"/>
        </w:rPr>
        <w:footnoteReference w:id="56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 محمودا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محمود بودن مقام پیامبر را مطلق آورده و هیچ قیدی به آن نزده است و این خود می فهماند که مقام محمود، مقامی است که هر کسی آن را می پسندد و معلوم است که همه، وقتی مقامی را حمد می کنند که آن را بپسندند و همه کس از آن سود برد و به همین علت، آن را به مقامی که همه خلایق، </w:t>
      </w:r>
    </w:p>
    <w:p>
      <w:pPr>
        <w:pStyle w:val="BookText"/>
        <w:rPr/>
      </w:pPr>
      <w:r>
        <w:rPr>
          <w:rFonts w:ascii="IRNazanin" w:hAnsi="IRNazanin" w:eastAsia="IRNazanin"/>
          <w:color w:val="111111"/>
          <w:sz w:val="28"/>
          <w:sz w:val="28"/>
          <w:szCs w:val="28"/>
          <w:rtl w:val="true"/>
          <w:lang w:bidi="fa-IR"/>
        </w:rPr>
        <w:t>آن را حمل می کنند، تفسیر کرده اند و آن، مقام شفاعت کبرای رسول خدا این است که روز قیامت در آن مقام قرار می گیرد و روایات نقل شده در تفسیر این آیه، از طریق شیعه و سنی، همه بر این معنی دلالت دارد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در ذیل این آیه، در تفسیر نمونه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اسلامی؛ اعم از روایات اهل بیت و روایاتی که از طرق برادران اهل ستت نقل شده است، مقام محمود را به عنوان مقام شفاعت کبری تفسیر کرده است؛ چرا که پیامبر بزرگترین شفیعان در عالم دیگر است و آنها که شایسته شفاعت باشند، مشمول این شفاعت بزرگ خواهند شد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مرحوم شیخ و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عسی أن یبعثک ربک مقام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مقامة محمود شفاعت است</w:t>
      </w:r>
      <w:r>
        <w:rPr>
          <w:rStyle w:val="FootnoteAnchor"/>
          <w:rtl w:val="true"/>
        </w:rPr>
        <w:footnoteReference w:id="564"/>
      </w:r>
      <w:r>
        <w:rPr>
          <w:rFonts w:ascii="IRNazanin" w:hAnsi="IRNazanin" w:eastAsia="IRNazanin"/>
          <w:color w:val="111111"/>
          <w:sz w:val="28"/>
          <w:sz w:val="28"/>
          <w:szCs w:val="28"/>
          <w:rtl w:val="true"/>
          <w:lang w:bidi="fa-IR"/>
        </w:rPr>
        <w:t xml:space="preserve">و لکن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مسئله شفاعت اشاره ای نمی کند و مراد از اعطا را نعمتهای فراوان الهی تا حد رضایت پیامبر</w:t>
      </w:r>
    </w:p>
    <w:p>
      <w:pPr>
        <w:pStyle w:val="BookText"/>
        <w:rPr/>
      </w:pPr>
      <w:r>
        <w:rPr>
          <w:rFonts w:ascii="IRNazanin" w:hAnsi="IRNazanin" w:eastAsia="IRNazanin"/>
          <w:color w:val="111111"/>
          <w:sz w:val="28"/>
          <w:sz w:val="28"/>
          <w:szCs w:val="28"/>
          <w:rtl w:val="true"/>
          <w:lang w:bidi="fa-IR"/>
        </w:rPr>
        <w:t>اکرم ا ذکر می نماید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أضلنا إلا المجرمون، فما لنا من شافعین، و لا صدیق حمیم</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در این آیه شریفه، به مسئله شفاعت تصریح شده است و آیه، دلالت بر این دارد که عده ای به وسیله تبهکاران، گمراه شده اند و برای خداوند، شریک قرار داده اند، لذا کسی را ندارند که برای آنها شفاعت کند و اگر شفیعی می داشتند، گمراه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زمانی صحیح است که اصل شفاعت در قیامت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آیه را این گونه معنی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عده ای از تباهکاران، ما را گمراه کردند و ما هم از آنها پیروی کردیم و اگر برای ما شفیعی یا دوست با محبتی می بود، ما را از این مخمصه نجات می داد و این بلا را از ما دفع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نه دوستی هست و نه شفیعی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در روز قیامت از شفاعت مأیوس می شوند و آن زمانی است که می بینند عده ای از فساق اهل دین و ملت، شفاعت می شوند و گناهان آنها </w:t>
      </w:r>
      <w:bookmarkStart w:id="434" w:name="pg14387_143753"/>
    </w:p>
    <w:p>
      <w:pPr>
        <w:pStyle w:val="BookText"/>
        <w:rPr/>
      </w:pPr>
      <w:bookmarkEnd w:id="434"/>
      <w:r>
        <w:rPr>
          <w:rFonts w:ascii="IRNazanin" w:hAnsi="IRNazanin" w:eastAsia="IRNazanin"/>
          <w:color w:val="111111"/>
          <w:sz w:val="28"/>
          <w:sz w:val="28"/>
          <w:szCs w:val="28"/>
          <w:rtl w:val="true"/>
          <w:lang w:bidi="fa-IR"/>
        </w:rPr>
        <w:t>توسط شفیعان بخشیده می شود و عقاب از آنها برداشته می گردد، لذا آنها حسرت می خورند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در تفسیر نمونه</w:t>
      </w:r>
      <w:r>
        <w:rPr>
          <w:rStyle w:val="FootnoteAnchor"/>
          <w:rtl w:val="true"/>
        </w:rPr>
        <w:footnoteReference w:id="568"/>
      </w:r>
      <w:r>
        <w:rPr>
          <w:rFonts w:ascii="IRNazanin" w:hAnsi="IRNazanin" w:eastAsia="IRNazanin"/>
          <w:color w:val="111111"/>
          <w:sz w:val="28"/>
          <w:sz w:val="28"/>
          <w:szCs w:val="28"/>
          <w:rtl w:val="true"/>
          <w:lang w:bidi="fa-IR"/>
        </w:rPr>
        <w:t xml:space="preserve">و المیزان </w:t>
      </w:r>
      <w:r>
        <w:rPr>
          <w:rStyle w:val="FootnoteAnchor"/>
          <w:rtl w:val="true"/>
        </w:rPr>
        <w:footnoteReference w:id="569"/>
      </w:r>
      <w:r>
        <w:rPr>
          <w:rFonts w:ascii="IRNazanin" w:hAnsi="IRNazanin" w:eastAsia="IRNazanin"/>
          <w:color w:val="111111"/>
          <w:sz w:val="28"/>
          <w:sz w:val="28"/>
          <w:szCs w:val="28"/>
          <w:rtl w:val="true"/>
          <w:lang w:bidi="fa-IR"/>
        </w:rPr>
        <w:t>نیز قریب به همین مطالب، با اندک اختلافی ذکر شده است که نیازی به آوردن آنها نیست</w:t>
      </w:r>
      <w:r>
        <w:rPr>
          <w:rFonts w:eastAsia="IRNazanin" w:cs="IRNazanin"/>
          <w:color w:val="111111"/>
          <w:sz w:val="28"/>
          <w:szCs w:val="28"/>
          <w:rtl w:val="true"/>
          <w:lang w:bidi="fa-IR"/>
        </w:rPr>
        <w:t>.</w:t>
      </w:r>
    </w:p>
    <w:p>
      <w:pPr>
        <w:pStyle w:val="Heading4"/>
        <w:numPr>
          <w:ilvl w:val="3"/>
          <w:numId w:val="1"/>
        </w:numPr>
        <w:rPr/>
      </w:pPr>
      <w:bookmarkStart w:id="435" w:name="__RefHeading___Toc7812412_3381743652"/>
      <w:bookmarkStart w:id="436" w:name="_Toc165"/>
      <w:bookmarkEnd w:id="435"/>
      <w:r>
        <w:rPr>
          <w:rtl w:val="true"/>
        </w:rPr>
        <w:t>ب</w:t>
      </w:r>
      <w:r>
        <w:rPr>
          <w:rtl w:val="true"/>
        </w:rPr>
        <w:t xml:space="preserve">) </w:t>
      </w:r>
      <w:r>
        <w:rPr>
          <w:rtl w:val="true"/>
        </w:rPr>
        <w:t>روایات</w:t>
      </w:r>
      <w:bookmarkEnd w:id="436"/>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شفاعت ما ایمان نیاورد، از شفاعت و وساطت من بی نصیب است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معراج و سؤال در قبر و شفاعت را انکار کند، از ولایت دور خواهد ماند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من از دوستان خود شفاعت می کنم</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تمامی این آیات و روایات، دلالت بر اصل وجود شفاعت دارد و هیچ شبهه ای نیست که شفاعت، ثابت است، و لکن بحث در خصوصیت شفاعت شفاعت کننده و شفاعت شونده است</w:t>
      </w:r>
      <w:r>
        <w:rPr>
          <w:rFonts w:eastAsia="IRNazanin" w:cs="IRNazanin"/>
          <w:color w:val="111111"/>
          <w:sz w:val="28"/>
          <w:szCs w:val="28"/>
          <w:rtl w:val="true"/>
          <w:lang w:bidi="fa-IR"/>
        </w:rPr>
        <w:t>!</w:t>
      </w:r>
    </w:p>
    <w:p>
      <w:pPr>
        <w:pStyle w:val="Heading3"/>
        <w:numPr>
          <w:ilvl w:val="2"/>
          <w:numId w:val="1"/>
        </w:numPr>
        <w:rPr/>
      </w:pPr>
      <w:bookmarkStart w:id="437" w:name="__RefHeading___Toc7812414_3381743652"/>
      <w:bookmarkStart w:id="438" w:name="_Toc166"/>
      <w:bookmarkEnd w:id="437"/>
      <w:r>
        <w:rPr>
          <w:rtl w:val="true"/>
        </w:rPr>
        <w:t>آیاتی که ظاهرا دلالت بر نفی شفاعت دارد</w:t>
      </w:r>
      <w:bookmarkEnd w:id="4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یقبل منها شفاعة و لایؤخذ منها 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نه شفاعت پذیرفته می شود و نه غرامت و بدل قبول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از این رو شفاعت شفاعت کنندگان به حال آنها سودی نمی بخشد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أنفقوا مما رزقناکم من قبل أن یأتی یوم لا بیع فیه و لا خلة ولا </w:t>
      </w:r>
      <w:bookmarkStart w:id="439" w:name="pg14387_143754"/>
    </w:p>
    <w:p>
      <w:pPr>
        <w:pStyle w:val="BookText"/>
        <w:rPr/>
      </w:pPr>
      <w:bookmarkEnd w:id="439"/>
      <w:r>
        <w:rPr>
          <w:rFonts w:ascii="Amiri" w:hAnsi="Amiri" w:eastAsia="Amiri" w:cs="Amiri"/>
          <w:color w:val="111111"/>
          <w:sz w:val="28"/>
          <w:sz w:val="28"/>
          <w:szCs w:val="28"/>
          <w:rtl w:val="true"/>
          <w:lang w:bidi="ar-SA"/>
        </w:rPr>
        <w:t>شفاعة</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به شما روزی داده ایم، انفاق کنید، پیش از آن که روزی فرا رسد که در آن، نه داد و ستدی است و نه دوستی و نه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درباره آیات 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منها شفاعة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مختص کفار است؛ زیرا از نظر ما حقیقت شفاعت، اسقاط و از بین بردن ضرر است، نه زیادی منفعت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بنابراین، شفاعت ثابت است و نفی شفاعت در این آیات، مختص کفار است، نه مؤمنان و اهل قبله</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آیات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سوره شعراء نیز تأییدی است بر فرمایش شیخ طوسی که صریحا شفاعت را از کفار و بت پرستان نفی کرده است، نه به طور کلی که هم شامل کفار بشود و هم شامل مؤمنان و اهل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للظالمین من حمیم ولا شفیع یطاع</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نیز بر این دلالت دارد که شفاعت از ستمگران و کفار نفی شده است</w:t>
      </w:r>
      <w:r>
        <w:rPr>
          <w:rFonts w:eastAsia="IRNazanin" w:cs="IRNazanin"/>
          <w:color w:val="111111"/>
          <w:sz w:val="28"/>
          <w:szCs w:val="28"/>
          <w:rtl w:val="true"/>
          <w:lang w:bidi="fa-IR"/>
        </w:rPr>
        <w:t>.</w:t>
      </w:r>
    </w:p>
    <w:p>
      <w:pPr>
        <w:pStyle w:val="Heading3"/>
        <w:numPr>
          <w:ilvl w:val="2"/>
          <w:numId w:val="1"/>
        </w:numPr>
        <w:rPr/>
      </w:pPr>
      <w:bookmarkStart w:id="440" w:name="__RefHeading___Toc7812416_3381743652"/>
      <w:bookmarkStart w:id="441" w:name="_Toc167"/>
      <w:bookmarkEnd w:id="440"/>
      <w:r>
        <w:rPr>
          <w:rtl w:val="true"/>
        </w:rPr>
        <w:t>آیاتی که شفاعت را مختص خداوند می داند و از غیر او نفی می کند</w:t>
      </w:r>
      <w:bookmarkEnd w:id="4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من دونه من ولی و لا شفیع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که برای شما غیر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شفاعت 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یکسره از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لهم من دونه ولی و لا 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غیر از او برای آنها یاور و شفیعی نیست</w:t>
      </w:r>
      <w:r>
        <w:rPr>
          <w:rFonts w:eastAsia="IRNazanin" w:cs="IRNazanin"/>
          <w:color w:val="111111"/>
          <w:sz w:val="28"/>
          <w:szCs w:val="28"/>
          <w:rtl w:val="true"/>
          <w:lang w:bidi="fa-IR"/>
        </w:rPr>
        <w:t>.</w:t>
      </w:r>
    </w:p>
    <w:p>
      <w:pPr>
        <w:pStyle w:val="Heading3"/>
        <w:numPr>
          <w:ilvl w:val="2"/>
          <w:numId w:val="1"/>
        </w:numPr>
        <w:rPr/>
      </w:pPr>
      <w:bookmarkStart w:id="442" w:name="__RefHeading___Toc7812418_3381743652"/>
      <w:bookmarkStart w:id="443" w:name="_Toc168"/>
      <w:bookmarkEnd w:id="442"/>
      <w:r>
        <w:rPr>
          <w:rtl w:val="true"/>
        </w:rPr>
        <w:t>آیاتی که در آنها شرایط خاصی برای شفاعت ذکر شده است</w:t>
      </w:r>
      <w:bookmarkEnd w:id="443"/>
    </w:p>
    <w:p>
      <w:pPr>
        <w:pStyle w:val="Heading4"/>
        <w:numPr>
          <w:ilvl w:val="3"/>
          <w:numId w:val="1"/>
        </w:numPr>
        <w:rPr/>
      </w:pPr>
      <w:bookmarkStart w:id="444" w:name="__RefHeading___Toc7812420_3381743652"/>
      <w:bookmarkStart w:id="445" w:name="_Toc169"/>
      <w:bookmarkEnd w:id="444"/>
      <w:r>
        <w:rPr>
          <w:rtl w:val="true"/>
        </w:rPr>
        <w:t>الف</w:t>
      </w:r>
      <w:r>
        <w:rPr>
          <w:rtl w:val="true"/>
        </w:rPr>
        <w:t xml:space="preserve">) </w:t>
      </w:r>
      <w:r>
        <w:rPr>
          <w:rtl w:val="true"/>
        </w:rPr>
        <w:t>اذن خداوند</w:t>
      </w:r>
      <w:bookmarkEnd w:id="44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شرایط شفاعت، اجازه خداوند متعال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شفیع إلا من بعد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0"/>
      </w:r>
      <w:bookmarkStart w:id="446" w:name="pg14387_143755"/>
    </w:p>
    <w:p>
      <w:pPr>
        <w:pStyle w:val="BookText"/>
        <w:rPr/>
      </w:pPr>
      <w:bookmarkEnd w:id="44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w:t>
      </w:r>
      <w:r>
        <w:rPr>
          <w:rStyle w:val="FootnoteAnchor"/>
          <w:rtl w:val="true"/>
        </w:rPr>
        <w:footnoteReference w:id="581"/>
      </w:r>
    </w:p>
    <w:p>
      <w:pPr>
        <w:pStyle w:val="Heading4"/>
        <w:numPr>
          <w:ilvl w:val="3"/>
          <w:numId w:val="1"/>
        </w:numPr>
        <w:rPr/>
      </w:pPr>
      <w:bookmarkStart w:id="447" w:name="__RefHeading___Toc7812422_3381743652"/>
      <w:bookmarkStart w:id="448" w:name="_Toc170"/>
      <w:bookmarkEnd w:id="447"/>
      <w:r>
        <w:rPr>
          <w:rtl w:val="true"/>
        </w:rPr>
        <w:t>ب</w:t>
      </w:r>
      <w:r>
        <w:rPr>
          <w:rtl w:val="true"/>
        </w:rPr>
        <w:t xml:space="preserve">) </w:t>
      </w:r>
      <w:r>
        <w:rPr>
          <w:rtl w:val="true"/>
        </w:rPr>
        <w:t>رضایت پروردگار</w:t>
      </w:r>
      <w:bookmarkEnd w:id="448"/>
    </w:p>
    <w:p>
      <w:pPr>
        <w:pStyle w:val="BookText"/>
        <w:rPr/>
      </w:pPr>
      <w:r>
        <w:rPr>
          <w:rFonts w:ascii="IRNazanin" w:hAnsi="IRNazanin" w:eastAsia="IRNazanin"/>
          <w:color w:val="111111"/>
          <w:sz w:val="28"/>
          <w:sz w:val="28"/>
          <w:szCs w:val="28"/>
          <w:rtl w:val="true"/>
          <w:lang w:bidi="fa-IR"/>
        </w:rPr>
        <w:t>دیگر از شرایط شفاعت، رضایت پروردگار عالم است که اگر نتوان رضایت حی لایموت را جذب کرد، هرگز نمی توان به شفاعت و عفو از عقاب دست یافت و نمی توان از شفاعت، بهره ای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لایشفعون إلا لمن ارتضی و هم من خشیته مشفقون</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شرایط جلب رضایت خداوند را می توان چنین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نباشند؛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من به کسانی خواهد رسید که در حال مرگ، مشرک نباشند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خیانتکار نباشند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ادای شهادتین، اخلاص داشته باشند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سبک نشمارند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اهل بیت طلا دشمنی نداشته باشند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رسول خدا را تکذیب نکرده باشند؛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حوض ایمان نداشته باشد، خداوند او را در حوضم وارد نکند و کسی که به شفاعت من ایمان نداشته باشد، خدا او را به شفاعت من نائل نسازد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نباشند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lang w:bidi="fa-IR"/>
        </w:rPr>
        <w:t>۰۸</w:t>
      </w:r>
      <w:r>
        <w:rPr>
          <w:rFonts w:ascii="IRNazanin" w:hAnsi="IRNazanin" w:eastAsia="IRNazanin"/>
          <w:color w:val="111111"/>
          <w:sz w:val="28"/>
          <w:sz w:val="28"/>
          <w:szCs w:val="28"/>
          <w:rtl w:val="true"/>
          <w:lang w:bidi="fa-IR"/>
        </w:rPr>
        <w:t xml:space="preserve"> به ذریه رسول خدا آزار نرسانند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ستمگر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للظالمین من حمیم ولا شفیع یطاع</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bookmarkStart w:id="449" w:name="pg14387_143756"/>
    </w:p>
    <w:p>
      <w:pPr>
        <w:pStyle w:val="Heading3"/>
        <w:numPr>
          <w:ilvl w:val="2"/>
          <w:numId w:val="1"/>
        </w:numPr>
        <w:rPr/>
      </w:pPr>
      <w:bookmarkStart w:id="450" w:name="__RefHeading___Toc7812424_3381743652"/>
      <w:bookmarkStart w:id="451" w:name="_Toc171"/>
      <w:bookmarkEnd w:id="449"/>
      <w:bookmarkEnd w:id="450"/>
      <w:r>
        <w:rPr>
          <w:rtl w:val="true"/>
        </w:rPr>
        <w:t>فسفه شفاعت</w:t>
      </w:r>
      <w:bookmarkEnd w:id="451"/>
    </w:p>
    <w:p>
      <w:pPr>
        <w:pStyle w:val="BookText"/>
        <w:rPr/>
      </w:pPr>
      <w:r>
        <w:rPr>
          <w:rFonts w:ascii="IRNazanin" w:hAnsi="IRNazanin" w:eastAsia="IRNazanin"/>
          <w:color w:val="111111"/>
          <w:sz w:val="28"/>
          <w:sz w:val="28"/>
          <w:szCs w:val="28"/>
          <w:rtl w:val="true"/>
          <w:lang w:bidi="fa-IR"/>
        </w:rPr>
        <w:t>با توجه به آیات و روایات یاد شده درباره اصل شفاعت، سؤال این است که علت تشریع شفاعت چیست؟ آیا شفاعت، موجب دلگرمی در ارتکاب به گناه، به امید شفاعتگر نمی باشد؟ آیا شفاعت، به انسان جرأت بیشتری نسبت به بی بند و باری نمی دهد؟ آیا شفاعت، تشویق به گناه و چراغ سبزی برای انجام معاصی نیست؟ آیا شفاعت، عامل عقب ماندگی انسان نمی شود؟ به راستی، فلسفه شفاعت چیست؟</w:t>
      </w:r>
    </w:p>
    <w:p>
      <w:pPr>
        <w:pStyle w:val="BookText"/>
        <w:rPr/>
      </w:pPr>
      <w:r>
        <w:rPr>
          <w:rFonts w:ascii="IRNazanin" w:hAnsi="IRNazanin" w:eastAsia="IRNazanin"/>
          <w:color w:val="111111"/>
          <w:sz w:val="28"/>
          <w:sz w:val="28"/>
          <w:szCs w:val="28"/>
          <w:rtl w:val="true"/>
          <w:lang w:bidi="fa-IR"/>
        </w:rPr>
        <w:t>نخست به بیان زیبای امیرالمؤمنین علی در کلمات قصار نهج البلاغه می پردازیم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الشفیع جناح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کننده، بال و پر طلب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براین اساس، می توان گفت که شفاعت کنندگان الهی، شفاعت شوندگان ضعیف را کمک می کنند تا در آسمان سعادت و کمال، به پرواز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شفاعت، نه تشویق به گناه است، نه چراغ سبزی برای معاصی، نه عامل عقب افتادگی و نه چیزی شبیه پارتی بازی در جامعه های دنیای امروز، بلکه یک مسئله مهم تربیتی است که از جهات گوناگون، آثار مثبت و سازنده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فلسفه شفاعت را این گونه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امید و مبارزه با روح یأس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بسیار اتفاق می افتد که غلبه هوای نفس، سبب ارتکاب گناهان مهمی می شود و به دنبال آن، روح یأس بر کسانی که مرتکب آن گناهان شده اند، غلبه می کند و این یأس، آنها را به آلودگی بیشتر و غوطه ور شدن در گناهان</w:t>
      </w:r>
    </w:p>
    <w:p>
      <w:pPr>
        <w:pStyle w:val="BookText"/>
        <w:rPr/>
      </w:pPr>
      <w:r>
        <w:rPr>
          <w:rFonts w:ascii="IRNazanin" w:hAnsi="IRNazanin" w:eastAsia="IRNazanin"/>
          <w:color w:val="111111"/>
          <w:sz w:val="28"/>
          <w:sz w:val="28"/>
          <w:szCs w:val="28"/>
          <w:rtl w:val="true"/>
          <w:lang w:bidi="fa-IR"/>
        </w:rPr>
        <w:t>بزرگتر سوق می دهد؛ زیرا آنها فکر می کنند آب از سرشان گذشته است و چون ناامید شدند، دنبال جبران آن نمی روند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امید به شفاعت اولیاء الله، به آنها نوید می دهد که اگر همین جا متوقف شوند و خود را اصلاح کنند، ممکن است گذشته آنها از طریق شفاعت نیکان و پاکان، جبران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امید شفاعت، به متوقف شدن گناه و بازگشت به سوی صلاح و تقوا</w:t>
      </w:r>
    </w:p>
    <w:p>
      <w:pPr>
        <w:pStyle w:val="BookText"/>
        <w:rPr/>
      </w:pPr>
      <w:r>
        <w:rPr>
          <w:rFonts w:ascii="IRNazanin" w:hAnsi="IRNazanin" w:eastAsia="IRNazanin"/>
          <w:color w:val="111111"/>
          <w:sz w:val="28"/>
          <w:sz w:val="28"/>
          <w:szCs w:val="28"/>
          <w:rtl w:val="true"/>
          <w:lang w:bidi="fa-IR"/>
        </w:rPr>
        <w:t>کمک می 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ارتباط معنوی با اولیاء الله؛ مسلما کسی که امید به شفاعت دارد، سعی می کند </w:t>
      </w:r>
    </w:p>
    <w:p>
      <w:pPr>
        <w:pStyle w:val="BookText"/>
        <w:rPr/>
      </w:pPr>
      <w:r>
        <w:rPr>
          <w:rFonts w:ascii="IRNazanin" w:hAnsi="IRNazanin" w:eastAsia="IRNazanin"/>
          <w:color w:val="111111"/>
          <w:sz w:val="28"/>
          <w:sz w:val="28"/>
          <w:szCs w:val="28"/>
          <w:rtl w:val="true"/>
          <w:lang w:bidi="fa-IR"/>
        </w:rPr>
        <w:t xml:space="preserve">به نوعی، این ارتباط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شفیع و شفاعت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کند و کاری که موجب رضایت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انجام دهد؛ پلهای پشت سر را خراب نکند و پیوندهای دوستی را تا به آخر از بین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این امور، عامل مؤثری برای تربیت او خواهد بود و سبب می شود که تدریجا از صف آلودگان در آید، یا لااقل در کنار پاره ای از آلودگیها، به اعمال نیک روی آورد و از سقوط بیشتر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شرایط شفاعت؛ در آیات یاد شده، شرایط متعددی برای شفاعت ذکر شده بود که از همه مهمتر، اذن و اجازه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کسی که امید و انتظار شفاعت دارد، باید این اذن را به نحوی فراهم سازد؛ یعنی کاری انجام بدهد که محبوب و</w:t>
      </w:r>
    </w:p>
    <w:p>
      <w:pPr>
        <w:pStyle w:val="BookText"/>
        <w:rPr/>
      </w:pPr>
      <w:r>
        <w:rPr>
          <w:rFonts w:ascii="IRNazanin" w:hAnsi="IRNazanin" w:eastAsia="IRNazanin"/>
          <w:color w:val="111111"/>
          <w:sz w:val="28"/>
          <w:sz w:val="28"/>
          <w:szCs w:val="28"/>
          <w:rtl w:val="true"/>
          <w:lang w:bidi="fa-IR"/>
        </w:rPr>
        <w:t>مطلوب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أنبیاء نیز آمده است که تنها کسانی مشمول بخشودگی از طریق شفاعت می شوند که به مقام ارتضاء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در برخی از آیات آمده است که شفاعت، شامل ظالمان نمی شود؛ به این ترتیب، امیدواران شفاعت باید از صف ظالمان خارج گردند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سلسله شافعان؛ توجه به اشاراتی که درباره شفیعان در آیات قرآنی آمده است و همچنین، تصریحاتی که در روایات اسلامی شده است، دلیل دیگری بر جنبه های تربیتی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الشفعاء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 الرحم و الأمانة و نبیکم و أهل بیت نبیکم</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شفیعان در قیامت،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صله رحم، امانت، پیامبر شما و اهل بیت پیامبر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پیامبران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القرآن فإنه شافع یوم القیامة</w:t>
      </w:r>
      <w:r>
        <w:rPr>
          <w:rFonts w:eastAsia="IRNazanin" w:cs="IRNazanin"/>
          <w:color w:val="111111"/>
          <w:sz w:val="28"/>
          <w:szCs w:val="28"/>
          <w:rtl w:val="true"/>
          <w:lang w:bidi="fa-IR"/>
        </w:rPr>
        <w:t>.»</w:t>
      </w:r>
      <w:r>
        <w:rPr>
          <w:rStyle w:val="FootnoteAnchor"/>
          <w:rtl w:val="true"/>
        </w:rPr>
        <w:footnoteReference w:id="59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فرا گیرید که شفاعت کننده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مولای متقیان، امیرالمؤمنین 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شافع مشفع</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bookmarkStart w:id="452" w:name="pg14387_143758"/>
    </w:p>
    <w:p>
      <w:pPr>
        <w:pStyle w:val="BookText"/>
        <w:rPr/>
      </w:pPr>
      <w:bookmarkEnd w:id="452"/>
      <w:r>
        <w:rPr>
          <w:rFonts w:ascii="IRNazanin" w:hAnsi="IRNazanin" w:eastAsia="IRNazanin"/>
          <w:color w:val="111111"/>
          <w:sz w:val="28"/>
          <w:sz w:val="28"/>
          <w:szCs w:val="28"/>
          <w:rtl w:val="true"/>
          <w:lang w:bidi="fa-IR"/>
        </w:rPr>
        <w:t>قرآن، شفاعت کننده ای است که شفاعتش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متعددی نیز بهترین شفاعت کننده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شفیع أنجح من التوبه</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کننده ای موفق تر از توبه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احادیث نیز به شفاعت انبیا، اوصیا، مؤمنان و ملائکه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الشفاعة للأنبیاء و الأوصیاء و المؤمنین و الملائکة و فی المؤمنین من یشفع مثل ربیعة و مضرا و أقل المؤمنین شفاعة من یشفع ثلاثین إنسانا</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برای انبیا، اوصیا، مؤمنان و فرشتگان است و در میان مؤمنان، کسانی هستند که به اندازه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شفاعت مؤمن، آن است که سی نفر را شفاعت کند</w:t>
      </w:r>
      <w:r>
        <w:rPr>
          <w:rFonts w:eastAsia="IRNazanin" w:cs="IRNazanin"/>
          <w:color w:val="111111"/>
          <w:sz w:val="28"/>
          <w:szCs w:val="28"/>
          <w:rtl w:val="true"/>
          <w:lang w:bidi="fa-IR"/>
        </w:rPr>
        <w:t>.</w:t>
      </w:r>
    </w:p>
    <w:p>
      <w:pPr>
        <w:pStyle w:val="Heading3"/>
        <w:numPr>
          <w:ilvl w:val="2"/>
          <w:numId w:val="1"/>
        </w:numPr>
        <w:rPr/>
      </w:pPr>
      <w:bookmarkStart w:id="453" w:name="__RefHeading___Toc7812426_3381743652"/>
      <w:bookmarkStart w:id="454" w:name="_Toc172"/>
      <w:bookmarkEnd w:id="453"/>
      <w:r>
        <w:rPr>
          <w:rtl w:val="true"/>
        </w:rPr>
        <w:t>اقسام شفاعت و شفیعان</w:t>
      </w:r>
      <w:bookmarkEnd w:id="454"/>
    </w:p>
    <w:p>
      <w:pPr>
        <w:pStyle w:val="BookText"/>
        <w:rPr/>
      </w:pPr>
      <w:r>
        <w:rPr>
          <w:rFonts w:ascii="IRNazanin" w:hAnsi="IRNazanin" w:eastAsia="IRNazanin"/>
          <w:color w:val="111111"/>
          <w:sz w:val="28"/>
          <w:sz w:val="28"/>
          <w:szCs w:val="28"/>
          <w:rtl w:val="true"/>
          <w:lang w:bidi="fa-IR"/>
        </w:rPr>
        <w:t>مرحوم علامه در المیزان، بعد از آن که شفاعت را به معنای تأثیر اسباب در مسببات تفسیر می نماید، آن را به تکوینی، تشریعی و قانونی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شفاعت تکوینی، معلوم است که از تمامی اسباب کونی سر می زند و همه اسباب، نزد خدا شفیعند؛ چون میان خدا و مسبب خود واسطه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تشریعی نیز مربوط به احکام است و اگر واقع شود، در دایره تکلیف و مجازات واقع می شود و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شفاعتی که در دنیا اثر بگذارد و باعث آمرزش خدا و یا قرب به درگاه او گردد و دیگری، شفاعت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شفیعان در شفاعت نوع اول، چند طائفه 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شفیعان است؛ چون باعث آمرزش گناه است همچنان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خویشتن زیاده روی روا داشته اید، از رحمت خدا نومید نشوید، در حقیقت، خدا همه گناهان را می آمرزد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رسول خدا ؛ که درباره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برسوله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به رسول او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گناهان شما را بیامرزد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و عملوا الصالحات لهم مغفرة و أجر 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 کسانی را که ایمان آورده و کارهای شایسته کرده اند، به آمرزش و پاداش بزرگ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به الله من اتبع رضوانه سبل السلام و یخرجهم من الظلمات إلی التور بإذنه و یهدیهم إلی صراط مستقیم</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 xml:space="preserve">خدا هر که را از خشنودی او پیروی کند،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راههای سلامت رهنمون می شود و به توفیق خویش، آنان را از تاریکیها به سوی روشنایی بیرون می برد و به راهی راست هدایتشان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با عمل صالح ارتباط داشته باشد؛ مثل مساجد، اماکن متبرکه و ایام شریفه، انبیا و رسولان خدا که برای امت خود، طلب مغفرت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أنهم إذ ظلموا أنفسهم جاءوک فاستغفروا الله و استغفر لهم الرسول لوجدوا الله توابا رحیما</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 xml:space="preserve">و اگر آنان وقتی به خود ستم کرده بودند، پیش تو می آمدند و از خدا آمرزش می خواستند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طلب آمرزش می کرد، قطعا خدا را توبه پذیر مهربان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آنان نیز برای مؤمنان، طلب مغفرت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یحملون العرش و من حوله یسبحون بحمد ربهم و یؤمنون به و یستغفرون للذین آمنوا</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 xml:space="preserve">کسانی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 کنند و آنها که پیرامون آنند، به سپاس پروردگارشان تسبیح می گویند و به او ایمان دارند و برای کسانی که گرویده اند، طلب آمرزش می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شفیعان در شفاعت روز قیامت نیز چند طائفه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 عالی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اتخذ الرحمن ولده، سبحانه بل 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لایشفعون إلا لمن ارتضی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رحمان فرزندی اختیار کرده، منزه است او،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ارجمندند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برای کسی که خدا رضایت دهد، شفاعت</w:t>
      </w:r>
    </w:p>
    <w:p>
      <w:pPr>
        <w:pStyle w:val="BookText"/>
        <w:rPr/>
      </w:pPr>
      <w:r>
        <w:rPr>
          <w:rFonts w:ascii="IRNazanin" w:hAnsi="IRNazanin" w:eastAsia="IRNazanin"/>
          <w:color w:val="111111"/>
          <w:sz w:val="28"/>
          <w:sz w:val="28"/>
          <w:szCs w:val="28"/>
          <w:rtl w:val="true"/>
          <w:lang w:bidi="fa-IR"/>
        </w:rPr>
        <w:t>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پیامبر در حق گناهکاران از شیعه شفاعت می کند و خدا نیز شفاعت او را می پذیرد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علامه در شرح تجرید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بر شفاعت پیامبران اتفاق نظر دارند</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امام فخر رازی، یکی از دانشمندان بزرگ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الأمة علی أن المحمدی شفاعة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بر این امر اجماع و اتفاق دارند که در آخرت، برای حضرت رسول اکرم حق شفاعت است</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سید شریف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الأمة علی ثبوت أصل الشفاعة المقبولة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هی عندنا الأهل الکبائر من الأمة فی إسقاط العقاب عنهم لقوله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شفاعتی لأهل الکبائر من أمتی</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مرحوم شیخ طوسی در تبیان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شفاعتم را ذخیره کردم برای آن دسته از امت من که مرتکب گناه کبیره شده اند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لایملک الذین یدعون من دونه الشفاعة إلا من شهد بالحق و هم یعلمون</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xml:space="preserve">و کسانی که به جای او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شفاعت ندارند، مگر کسانی که آگاهانه به حق گواهی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که شهادت در این آیه، مربوط به اعمال است، نه شهادت به معنای کشته شدن 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 می شود نتیجه گرفت که مؤمنان نیز در روز قیامت از شفیعان هستند؛ زیرا خدای متعال خبر داده است که مؤمنان نیز در روز</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به شهدا ملحق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بالله و رسله أولئک هم الصدیقون و الشهداء عند ربهم</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و کسانی که به خدا و پیامبران وی ایمان آورده اند، آنان همان راستینانند و نزد پروردگار، گواه خواهند بود</w:t>
      </w:r>
      <w:r>
        <w:rPr>
          <w:rFonts w:eastAsia="IRNazanin" w:cs="IRNazanin"/>
          <w:color w:val="111111"/>
          <w:sz w:val="28"/>
          <w:szCs w:val="28"/>
          <w:rtl w:val="true"/>
          <w:lang w:bidi="fa-IR"/>
        </w:rPr>
        <w:t xml:space="preserve">. </w:t>
      </w:r>
      <w:bookmarkStart w:id="455" w:name="pg14387_143761"/>
    </w:p>
    <w:p>
      <w:pPr>
        <w:pStyle w:val="Heading3"/>
        <w:numPr>
          <w:ilvl w:val="2"/>
          <w:numId w:val="1"/>
        </w:numPr>
        <w:rPr/>
      </w:pPr>
      <w:bookmarkStart w:id="456" w:name="__RefHeading___Toc7812428_3381743652"/>
      <w:bookmarkStart w:id="457" w:name="_Toc173"/>
      <w:bookmarkEnd w:id="455"/>
      <w:bookmarkEnd w:id="456"/>
      <w:r>
        <w:rPr>
          <w:rtl w:val="true"/>
        </w:rPr>
        <w:t>سخن پایانی و نتیجه بحث</w:t>
      </w:r>
      <w:bookmarkEnd w:id="457"/>
    </w:p>
    <w:p>
      <w:pPr>
        <w:pStyle w:val="BookText"/>
        <w:rPr/>
      </w:pPr>
      <w:r>
        <w:rPr>
          <w:rFonts w:ascii="IRNazanin" w:hAnsi="IRNazanin" w:eastAsia="IRNazanin"/>
          <w:color w:val="111111"/>
          <w:sz w:val="28"/>
          <w:sz w:val="28"/>
          <w:szCs w:val="28"/>
          <w:rtl w:val="true"/>
          <w:lang w:bidi="fa-IR"/>
        </w:rPr>
        <w:t>از تمامی مباحث ارائه شده، می توان چنین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وجود شفاعت، هیچ اختلافی نیست و کسی آن را انکار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کیفیت شفاعت شونده ها،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مخصوص فساق از اهل صلاة است</w:t>
      </w:r>
      <w:r>
        <w:rPr>
          <w:rStyle w:val="FootnoteAnchor"/>
          <w:rtl w:val="true"/>
        </w:rPr>
        <w:footnoteReference w:id="609"/>
      </w:r>
      <w:r>
        <w:rPr>
          <w:rFonts w:ascii="IRNazanin" w:hAnsi="IRNazanin" w:eastAsia="IRNazanin"/>
          <w:color w:val="111111"/>
          <w:sz w:val="28"/>
          <w:sz w:val="28"/>
          <w:szCs w:val="28"/>
          <w:rtl w:val="true"/>
          <w:lang w:bidi="fa-IR"/>
        </w:rPr>
        <w:t xml:space="preserve">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مختص کسانی است که مرتکب گناه صغیره شده باشند</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 xml:space="preserve">و عده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مختص مؤمنانی است که توبه کرده باشند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شفاعت کننده ها، عده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مختص خداوند است و 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مختص انبیای الهی است و عده ای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مخصوص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نه تنها اختصاص به نبی و اصحاب و ائمه معصومین ندارد، بلکه عده زیادی از مؤمنان صالح هم می توانند شفیع باشند</w:t>
      </w:r>
      <w:r>
        <w:rPr>
          <w:rFonts w:eastAsia="IRNazanin" w:cs="IRNazanin"/>
          <w:color w:val="111111"/>
          <w:sz w:val="28"/>
          <w:szCs w:val="28"/>
          <w:rtl w:val="true"/>
          <w:lang w:bidi="fa-IR"/>
        </w:rPr>
        <w:t>.</w:t>
      </w:r>
      <w:r>
        <w:rPr>
          <w:rStyle w:val="FootnoteAnchor"/>
          <w:rtl w:val="true"/>
        </w:rPr>
        <w:footnoteReference w:id="612"/>
      </w:r>
      <w:bookmarkStart w:id="458" w:name="pg14387_143762"/>
    </w:p>
    <w:p>
      <w:pPr>
        <w:pStyle w:val="Heading2"/>
        <w:numPr>
          <w:ilvl w:val="1"/>
          <w:numId w:val="1"/>
        </w:numPr>
        <w:rPr/>
      </w:pPr>
      <w:bookmarkStart w:id="459" w:name="__RefHeading___Toc7812430_3381743652"/>
      <w:bookmarkStart w:id="460" w:name="_Toc174"/>
      <w:bookmarkEnd w:id="458"/>
      <w:bookmarkEnd w:id="459"/>
      <w:r>
        <w:rPr>
          <w:rtl w:val="true"/>
        </w:rPr>
        <w:t>وعد و وعید</w:t>
      </w:r>
      <w:bookmarkEnd w:id="460"/>
    </w:p>
    <w:p>
      <w:pPr>
        <w:pStyle w:val="Heading3"/>
        <w:numPr>
          <w:ilvl w:val="2"/>
          <w:numId w:val="1"/>
        </w:numPr>
        <w:rPr/>
      </w:pPr>
      <w:bookmarkStart w:id="461" w:name="__RefHeading___Toc7812432_3381743652"/>
      <w:bookmarkStart w:id="462" w:name="_Toc175"/>
      <w:bookmarkEnd w:id="461"/>
      <w:r>
        <w:rPr>
          <w:rtl w:val="true"/>
        </w:rPr>
        <w:t>مقدمه</w:t>
      </w:r>
      <w:bookmarkEnd w:id="462"/>
    </w:p>
    <w:p>
      <w:pPr>
        <w:pStyle w:val="Heading4"/>
        <w:numPr>
          <w:ilvl w:val="3"/>
          <w:numId w:val="1"/>
        </w:numPr>
        <w:rPr/>
      </w:pPr>
      <w:bookmarkStart w:id="463" w:name="__RefHeading___Toc7812434_3381743652"/>
      <w:bookmarkStart w:id="464" w:name="_Toc176"/>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علم کلام، یکی از عرصه هایی است که بیشترین مناقشات علمی در آن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دانشوران مسلمان، از بدو پیدایش این دانش تاکنون، مکتبهای پر آوازه ای از خود به جای گذاشته اند؛ متفکرانی که هر چند در برخی موارد، دیدگاههای افراط گرایانه ای ابراز نموده اند، اما همان دقتها و نکته سنجیها بود که باعث نمایان شدن لغزشها و کاستیهای اندیشه ها گشت و عاملی شد تا به حقایق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بسیار گرانبهایی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نقش مهم متکلمان شیعی در شکوفایی این دانش و ارائه دیدگاههای متقن و دقیق در مهمترین مسائل کلامی، بر کسی که آشنایی مختصری با این دانش داشته باشد، پوشیده نیست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فقیه، مفسر و متکلم نامدار شیعی نیز از دانشمندانی است که تمام عمر خود را صرف تتبع و تحقیق در علوم مختلف اسلامی نمود و آثار گرانسنگی از خود به جای گذاشت که هرگز نمی توان راهکارهای تکامل یافته او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علمای پس از آنان، همگان، خود را وامدار تحقیقات و تلاشهای </w:t>
      </w:r>
      <w:bookmarkStart w:id="465" w:name="pg14387_143763"/>
    </w:p>
    <w:p>
      <w:pPr>
        <w:pStyle w:val="BookText"/>
        <w:rPr/>
      </w:pPr>
      <w:bookmarkEnd w:id="465"/>
      <w:r>
        <w:rPr>
          <w:rFonts w:ascii="IRNazanin" w:hAnsi="IRNazanin" w:eastAsia="IRNazanin"/>
          <w:color w:val="111111"/>
          <w:sz w:val="28"/>
          <w:sz w:val="28"/>
          <w:szCs w:val="28"/>
          <w:rtl w:val="true"/>
          <w:lang w:bidi="fa-IR"/>
        </w:rPr>
        <w:t>ارزشمند این طلایه داران عرصه دانش و فرهنگ دانسته اند و تبیین و نشر اندیشه های این بزرگان را وظیفه و رسالتی خطیر بر دوش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حاضر، گام کوچکی است در راستای ادای این رسالت و کاوشی است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و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و ژرف نگری در این مسئله، پرسشهای ذیل را در ذهن بر 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 چگونه این مسئله در میان متکلمان ظهور کرد؟ دید کلی و اجمالی قرآن کریم در مسئله وعد و وعید چیست؟ این مسئله با مسائلی چون عدل، اختیار، حسن و قبح عقلی و قاعده لطف، چه ارتباطی دارد؟</w:t>
      </w:r>
    </w:p>
    <w:p>
      <w:pPr>
        <w:pStyle w:val="BookText"/>
        <w:rPr/>
      </w:pPr>
      <w:r>
        <w:rPr>
          <w:rFonts w:ascii="IRNazanin" w:hAnsi="IRNazanin" w:eastAsia="IRNazanin"/>
          <w:color w:val="111111"/>
          <w:sz w:val="28"/>
          <w:sz w:val="28"/>
          <w:szCs w:val="28"/>
          <w:rtl w:val="true"/>
          <w:lang w:bidi="fa-IR"/>
        </w:rPr>
        <w:t>اموری که وعد یا وعید بدان تعلق گرفته است، کدامند؟ آیا وفای به وعد و وعید بر خداوند واجب است؟ و اگر وفای به وعید بر خداوند واجب باشد، دارای چه برایند و پیامدهایی است؟</w:t>
      </w:r>
    </w:p>
    <w:p>
      <w:pPr>
        <w:pStyle w:val="BookText"/>
        <w:rPr/>
      </w:pPr>
      <w:r>
        <w:rPr>
          <w:rFonts w:ascii="IRNazanin" w:hAnsi="IRNazanin" w:eastAsia="IRNazanin"/>
          <w:color w:val="111111"/>
          <w:sz w:val="28"/>
          <w:sz w:val="28"/>
          <w:szCs w:val="28"/>
          <w:rtl w:val="true"/>
          <w:lang w:bidi="fa-IR"/>
        </w:rPr>
        <w:t>این نوشتار، تلاشی است در یافتن پاسخ این پرسشها و تبیین دیدگاه شیخ طوسی در این مسئله</w:t>
      </w:r>
      <w:r>
        <w:rPr>
          <w:rFonts w:eastAsia="IRNazanin" w:cs="IRNazanin"/>
          <w:color w:val="111111"/>
          <w:sz w:val="28"/>
          <w:szCs w:val="28"/>
          <w:rtl w:val="true"/>
          <w:lang w:bidi="fa-IR"/>
        </w:rPr>
        <w:t>.</w:t>
      </w:r>
    </w:p>
    <w:p>
      <w:pPr>
        <w:pStyle w:val="Heading4"/>
        <w:numPr>
          <w:ilvl w:val="3"/>
          <w:numId w:val="1"/>
        </w:numPr>
        <w:rPr/>
      </w:pPr>
      <w:bookmarkStart w:id="466" w:name="__RefHeading___Toc7812436_3381743652"/>
      <w:bookmarkStart w:id="467" w:name="_Toc177"/>
      <w:bookmarkEnd w:id="466"/>
      <w:r>
        <w:rPr>
          <w:rtl w:val="true"/>
        </w:rPr>
        <w:t>«</w:t>
      </w:r>
      <w:r>
        <w:rPr>
          <w:rtl w:val="true"/>
        </w:rPr>
        <w:t>وعد</w:t>
      </w:r>
      <w:r>
        <w:rPr>
          <w:rtl w:val="true"/>
        </w:rPr>
        <w:t xml:space="preserve">» </w:t>
      </w:r>
      <w:r>
        <w:rPr>
          <w:rtl w:val="true"/>
        </w:rPr>
        <w:t xml:space="preserve">و </w:t>
      </w:r>
      <w:r>
        <w:rPr>
          <w:rtl w:val="true"/>
        </w:rPr>
        <w:t>«</w:t>
      </w:r>
      <w:r>
        <w:rPr>
          <w:rtl w:val="true"/>
        </w:rPr>
        <w:t>وعید</w:t>
      </w:r>
      <w:r>
        <w:rPr>
          <w:rtl w:val="true"/>
        </w:rPr>
        <w:t xml:space="preserve">» </w:t>
      </w:r>
      <w:r>
        <w:rPr>
          <w:rtl w:val="true"/>
        </w:rPr>
        <w:t>در لغت</w:t>
      </w:r>
      <w:bookmarkEnd w:id="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نوید دادن کسی به خیر و شر به کار می رود؛ نوید دادن به نیکی و خبر دادن از بدی</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برابرهای فارسی کلمه وعد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دادن، نوید دادن، بیم دادن، ترسانیدن، پیمان بستن و امیدوار کردن</w:t>
      </w:r>
      <w:r>
        <w:rPr>
          <w:rFonts w:eastAsia="IRNazanin" w:cs="IRNazanin"/>
          <w:color w:val="111111"/>
          <w:sz w:val="28"/>
          <w:szCs w:val="28"/>
          <w:rtl w:val="true"/>
          <w:lang w:bidi="fa-IR"/>
        </w:rPr>
        <w:t>.</w:t>
      </w:r>
      <w:r>
        <w:rPr>
          <w:rStyle w:val="FootnoteAnchor"/>
          <w:rtl w:val="true"/>
        </w:rPr>
        <w:footnoteReference w:id="61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خبر و بیم دادن و ترساندن از چیزی است و فقط درباره شتر به کار می رود</w:t>
      </w:r>
      <w:r>
        <w:rPr>
          <w:rFonts w:eastAsia="IRNazanin" w:cs="IRNazanin"/>
          <w:color w:val="111111"/>
          <w:sz w:val="28"/>
          <w:szCs w:val="28"/>
          <w:rtl w:val="true"/>
          <w:lang w:bidi="fa-IR"/>
        </w:rPr>
        <w:t>.</w:t>
      </w:r>
      <w:r>
        <w:rPr>
          <w:rStyle w:val="FootnoteAnchor"/>
          <w:rtl w:val="true"/>
        </w:rPr>
        <w:footnoteReference w:id="615"/>
      </w:r>
      <w:bookmarkStart w:id="468" w:name="pg14387_143764"/>
    </w:p>
    <w:p>
      <w:pPr>
        <w:pStyle w:val="BookText"/>
        <w:rPr/>
      </w:pPr>
      <w:bookmarkEnd w:id="468"/>
      <w:r>
        <w:rPr>
          <w:rFonts w:ascii="IRNazanin" w:hAnsi="IRNazanin" w:eastAsia="IRNazanin"/>
          <w:color w:val="111111"/>
          <w:sz w:val="28"/>
          <w:sz w:val="28"/>
          <w:szCs w:val="28"/>
          <w:rtl w:val="true"/>
          <w:lang w:bidi="fa-IR"/>
        </w:rPr>
        <w:t>برابرهای فارسی کلمه وعید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ترسانیدن و بیم دادن</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مرحوم شیخ الطایفه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وعید، تنها در شر استعمال می گردد،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تقیید در خیر و شر، به کار می رود، جز این که اگر وعد به صورت مطلق استعمال گردد یا این که تقیید ابهام داشته باشد، تنها در خیر خواهد بود</w:t>
      </w:r>
      <w:r>
        <w:rPr>
          <w:rStyle w:val="FootnoteAnchor"/>
          <w:rtl w:val="true"/>
        </w:rPr>
        <w:footnoteReference w:id="6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معنای نوید دادن به خیر و خبر دادن و بیم دادن از شر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و عملوا الصالحات لهم مغفرة و أجر عظیم</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کسانی که ایمان آورده و کارهای شایسته انجام داده اند، نوید داده که آمرزش و پاداش بزرگ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وعدکم الله مغانم کثیرة تأخذونها</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شما نوید داده که غنایم بسیاری نصیبتان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 الله المنافقین و المنافقات و الکقار نار جهنم</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مرد و زن از منافقان و کافران، خبر آتش دوزخ و خلود در آن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الشیطان یعدکم الفقر و یأمرکم بالفحشاء</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وعده فقر و ترس بی چیزی، شما را به کارهای زشت وادار کند</w:t>
      </w:r>
      <w:r>
        <w:rPr>
          <w:rFonts w:eastAsia="IRNazanin" w:cs="IRNazanin"/>
          <w:color w:val="111111"/>
          <w:sz w:val="28"/>
          <w:szCs w:val="28"/>
          <w:rtl w:val="true"/>
          <w:lang w:bidi="fa-IR"/>
        </w:rPr>
        <w:t>.</w:t>
      </w:r>
      <w:r>
        <w:rPr>
          <w:rStyle w:val="FootnoteAnchor"/>
          <w:rtl w:val="true"/>
        </w:rPr>
        <w:footnoteReference w:id="622"/>
      </w:r>
    </w:p>
    <w:p>
      <w:pPr>
        <w:pStyle w:val="Heading4"/>
        <w:numPr>
          <w:ilvl w:val="3"/>
          <w:numId w:val="1"/>
        </w:numPr>
        <w:rPr/>
      </w:pPr>
      <w:bookmarkStart w:id="469" w:name="__RefHeading___Toc7812438_3381743652"/>
      <w:bookmarkStart w:id="470" w:name="_Toc178"/>
      <w:bookmarkEnd w:id="469"/>
      <w:r>
        <w:rPr>
          <w:rtl w:val="true"/>
        </w:rPr>
        <w:t>«</w:t>
      </w:r>
      <w:r>
        <w:rPr>
          <w:rtl w:val="true"/>
        </w:rPr>
        <w:t>وعد</w:t>
      </w:r>
      <w:r>
        <w:rPr>
          <w:rtl w:val="true"/>
        </w:rPr>
        <w:t xml:space="preserve">» </w:t>
      </w:r>
      <w:r>
        <w:rPr>
          <w:rtl w:val="true"/>
        </w:rPr>
        <w:t xml:space="preserve">و </w:t>
      </w:r>
      <w:r>
        <w:rPr>
          <w:rtl w:val="true"/>
        </w:rPr>
        <w:t>«</w:t>
      </w:r>
      <w:r>
        <w:rPr>
          <w:rtl w:val="true"/>
        </w:rPr>
        <w:t>وعید</w:t>
      </w:r>
      <w:r>
        <w:rPr>
          <w:rtl w:val="true"/>
        </w:rPr>
        <w:t xml:space="preserve">» </w:t>
      </w:r>
      <w:r>
        <w:rPr>
          <w:rtl w:val="true"/>
        </w:rPr>
        <w:t>در اصطلاح</w:t>
      </w:r>
      <w:bookmarkEnd w:id="4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 عبارت است از خبر رساندن ثواب به کسی که سزاوار ثواب است و وعید عبارت است از خبر رساندن کیفر به کسی که مستحق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عبارت است از اخبار رساندن نفع به کسی که مورد وعده و نوید قرار گرفته </w:t>
      </w:r>
      <w:bookmarkStart w:id="471" w:name="pg14387_143765"/>
    </w:p>
    <w:p>
      <w:pPr>
        <w:pStyle w:val="BookText"/>
        <w:rPr/>
      </w:pPr>
      <w:bookmarkEnd w:id="471"/>
      <w:r>
        <w:rPr>
          <w:rFonts w:ascii="IRNazanin" w:hAnsi="IRNazanin" w:eastAsia="IRNazanin"/>
          <w:color w:val="111111"/>
          <w:sz w:val="28"/>
          <w:sz w:val="28"/>
          <w:szCs w:val="28"/>
          <w:rtl w:val="true"/>
          <w:lang w:bidi="fa-IR"/>
        </w:rPr>
        <w:t>است و وعید یعنی اخبار رساندن ضرر به کسی که مورد بیم و تهدید قرار گرفته است</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عبارت است از هر خبری که در آینده، متضمن رساندن نفعی به غیر یا دفع ضرری از وی باشد؛ خواه خوب و شایسته باشد، خواه زشت و ناپسند و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خبری که در آینده، متضمن رساندن ضرری به غیر و یا گرفتن نفعی از او باشد؛ خواه خوب و شایسته باشد، خواه زشت و ناپسند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در تعریف نخست، پاداش و کیفر، متعلق وعد و وعید قرار گرفته و در تعریف دوم و سوم، نفع و ضرر، متعلق وعد و وعید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 تعریف اخیر، اعم از تعریف نخست می باشد؛ چه این که نفع و ضرر، وسیعتر از پاداش و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w:t>
      </w:r>
    </w:p>
    <w:p>
      <w:pPr>
        <w:pStyle w:val="BookText"/>
        <w:rPr/>
      </w:pPr>
      <w:r>
        <w:rPr>
          <w:rFonts w:ascii="IRNazanin" w:hAnsi="IRNazanin" w:eastAsia="IRNazanin"/>
          <w:color w:val="111111"/>
          <w:sz w:val="28"/>
          <w:sz w:val="28"/>
          <w:szCs w:val="28"/>
          <w:rtl w:val="true"/>
          <w:lang w:bidi="fa-IR"/>
        </w:rPr>
        <w:t>جهت، شمول و عموم وعد و وعید نیز وسیعتر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تعریف سوم، اعم از تعریف دوم می باشد؛ زیرا در وعد، افزون بر نفع، دفع ضرر را نیز جزو متعلق قرار داده و در وعید، متعلق را اعم از ضرر به غیر و گرفتن نفع از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اعم</w:t>
      </w:r>
    </w:p>
    <w:p>
      <w:pPr>
        <w:pStyle w:val="BookText"/>
        <w:rPr/>
      </w:pPr>
      <w:r>
        <w:rPr>
          <w:rFonts w:ascii="IRNazanin" w:hAnsi="IRNazanin" w:eastAsia="IRNazanin"/>
          <w:color w:val="111111"/>
          <w:sz w:val="28"/>
          <w:sz w:val="28"/>
          <w:szCs w:val="28"/>
          <w:rtl w:val="true"/>
          <w:lang w:bidi="fa-IR"/>
        </w:rPr>
        <w:t>بودن این تعریف آن است که سزاوار بودن را در وعد و وعید شرط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تعریف نخست، دقیقتر از تعریف قاضی است؛ زیرا سخن در وعد و وعید خداوند است و پر واضح است که بیم و نوید الهی، هر دو خوب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 قاضی، بیشتر متوجه بیم و نوید در عرف است که از موضوع بحث خارج است</w:t>
      </w:r>
      <w:r>
        <w:rPr>
          <w:rFonts w:eastAsia="IRNazanin" w:cs="IRNazanin"/>
          <w:color w:val="111111"/>
          <w:sz w:val="28"/>
          <w:szCs w:val="28"/>
          <w:rtl w:val="true"/>
          <w:lang w:bidi="fa-IR"/>
        </w:rPr>
        <w:t>.</w:t>
      </w:r>
    </w:p>
    <w:p>
      <w:pPr>
        <w:pStyle w:val="Heading3"/>
        <w:numPr>
          <w:ilvl w:val="2"/>
          <w:numId w:val="1"/>
        </w:numPr>
        <w:rPr/>
      </w:pPr>
      <w:bookmarkStart w:id="472" w:name="__RefHeading___Toc7812440_3381743652"/>
      <w:bookmarkStart w:id="473" w:name="_Toc179"/>
      <w:bookmarkEnd w:id="472"/>
      <w:r>
        <w:rPr>
          <w:rtl w:val="true"/>
        </w:rPr>
        <w:t>معنای وعد و وعید از دیدگاه اشعریها</w:t>
      </w:r>
      <w:bookmarkEnd w:id="473"/>
    </w:p>
    <w:p>
      <w:pPr>
        <w:pStyle w:val="BookText"/>
        <w:rPr/>
      </w:pPr>
      <w:r>
        <w:rPr>
          <w:rFonts w:ascii="IRNazanin" w:hAnsi="IRNazanin" w:eastAsia="IRNazanin"/>
          <w:color w:val="111111"/>
          <w:sz w:val="28"/>
          <w:sz w:val="28"/>
          <w:szCs w:val="28"/>
          <w:rtl w:val="true"/>
          <w:lang w:bidi="fa-IR"/>
        </w:rPr>
        <w:t>این جماعت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و عید، همان کلام ازلی خداوند است که بر آنچه امر فرموده، نوید داده و از آنچه نهی نموده، وعید و بیم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که مستوجب پاداش مطیعان و کیفر گنهکاران می گردد، وعد و وعید است که کلام ازلی حق می باشد؛ و گرنه به مقتضای عقل، انسان استحقاق چیزی را نخواهد داشت</w:t>
      </w:r>
      <w:r>
        <w:rPr>
          <w:rFonts w:eastAsia="IRNazanin" w:cs="IRNazanin"/>
          <w:color w:val="111111"/>
          <w:sz w:val="28"/>
          <w:szCs w:val="28"/>
          <w:rtl w:val="true"/>
          <w:lang w:bidi="fa-IR"/>
        </w:rPr>
        <w:t>.</w:t>
      </w:r>
      <w:r>
        <w:rPr>
          <w:rStyle w:val="FootnoteAnchor"/>
          <w:rtl w:val="true"/>
        </w:rPr>
        <w:footnoteReference w:id="62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مسئله مدح، ذم، پاداش، کیفر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با مسئله وعده و وعید ارتباط دارد، تعریفهای این واژه ها را نیز می آوریم</w:t>
      </w:r>
      <w:r>
        <w:rPr>
          <w:rFonts w:eastAsia="IRNazanin" w:cs="IRNazanin"/>
          <w:color w:val="111111"/>
          <w:sz w:val="28"/>
          <w:szCs w:val="28"/>
          <w:rtl w:val="true"/>
          <w:lang w:bidi="fa-IR"/>
        </w:rPr>
        <w:t>.</w:t>
      </w:r>
      <w:r>
        <w:rPr>
          <w:rStyle w:val="FootnoteAnchor"/>
          <w:rtl w:val="true"/>
        </w:rPr>
        <w:footnoteReference w:id="626"/>
      </w:r>
      <w:bookmarkStart w:id="474" w:name="pg14387_143766"/>
    </w:p>
    <w:p>
      <w:pPr>
        <w:pStyle w:val="BookText"/>
        <w:rPr/>
      </w:pPr>
      <w:bookmarkEnd w:id="474"/>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عبارت است از سخنی که متضمن بزرگی حال ممدوح باشد و تحقق آن مبتنی بر سه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کننده قصد تعظیم داشته باشد؛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که به آن مدح می کند، برای تعظیم وضع شده باشد؛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کننده به بزرگی حال ممدوح آگاه باشد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سخنی است خبر دهنده از فرومایگی حال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تحقق ذم، همان شروط تحقق مدح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عبارت است از نفع مستحقی که همراه با بزرگ وانمودن و بزرگ داشتن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جدا کردن غیر نفع آورده شده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احتراز از تفضل است و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بودن با تعظیم و تجلیل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از عوض جدایی می یابد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عبارت است از ضرر رساندنی که از روی استحقاق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تحقق کیفر آن است که همراه با خوار کردن و سبک شمردن باشد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عبارت است از اعتراف به نعمت، به گونه ای که بخشنده، بزرگ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نفعی است که از روی استحقاق داده می شود، ولی با بزرگ وانمودن و بزرگ داشتن،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 کند و با قید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نفع تفضلی و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نبودن با 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پاداش متمایز می گردد</w:t>
      </w:r>
      <w:r>
        <w:rPr>
          <w:rFonts w:eastAsia="IRNazanin" w:cs="IRNazanin"/>
          <w:color w:val="111111"/>
          <w:sz w:val="28"/>
          <w:szCs w:val="28"/>
          <w:rtl w:val="true"/>
          <w:lang w:bidi="fa-IR"/>
        </w:rPr>
        <w:t>.</w:t>
      </w:r>
      <w:r>
        <w:rPr>
          <w:rStyle w:val="FootnoteAnchor"/>
          <w:rtl w:val="true"/>
        </w:rPr>
        <w:footnoteReference w:id="631"/>
      </w:r>
    </w:p>
    <w:p>
      <w:pPr>
        <w:pStyle w:val="Heading3"/>
        <w:numPr>
          <w:ilvl w:val="2"/>
          <w:numId w:val="1"/>
        </w:numPr>
        <w:rPr/>
      </w:pPr>
      <w:bookmarkStart w:id="475" w:name="__RefHeading___Toc7812442_3381743652"/>
      <w:bookmarkStart w:id="476" w:name="_Toc180"/>
      <w:bookmarkEnd w:id="475"/>
      <w:r>
        <w:rPr>
          <w:rtl w:val="true"/>
        </w:rPr>
        <w:t>خاستگاه بحث وعد و وعید</w:t>
      </w:r>
      <w:bookmarkEnd w:id="476"/>
    </w:p>
    <w:p>
      <w:pPr>
        <w:pStyle w:val="Heading3"/>
        <w:numPr>
          <w:ilvl w:val="2"/>
          <w:numId w:val="1"/>
        </w:numPr>
        <w:rPr/>
      </w:pPr>
      <w:bookmarkStart w:id="477" w:name="__RefHeading___Toc7812444_3381743652"/>
      <w:bookmarkStart w:id="478" w:name="_Toc181"/>
      <w:bookmarkEnd w:id="477"/>
      <w:r>
        <w:rPr>
          <w:rtl w:val="true"/>
        </w:rPr>
        <w:t>دید کلی قرآن به مسئله وعده و وعید</w:t>
      </w:r>
      <w:bookmarkEnd w:id="47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و تأمل در مجموع آیاتی که وعد و وعید در آن به کار رفته است، به این نتیجه </w:t>
      </w:r>
    </w:p>
    <w:p>
      <w:pPr>
        <w:pStyle w:val="BookText"/>
        <w:rPr/>
      </w:pPr>
      <w:r>
        <w:rPr>
          <w:rFonts w:ascii="IRNazanin" w:hAnsi="IRNazanin" w:eastAsia="IRNazanin"/>
          <w:color w:val="111111"/>
          <w:sz w:val="28"/>
          <w:sz w:val="28"/>
          <w:szCs w:val="28"/>
          <w:rtl w:val="true"/>
          <w:lang w:bidi="fa-IR"/>
        </w:rPr>
        <w:t>خواهیم رسید که خداوند از بندگان مطیع و سرکش، دو چهره کاملا متفاوت نشان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گشوده و متبسم که حکایت از آینده درخشان و خبر از نعمتهای خوب و فراوان می دهد که پس از این، بهرۀ آدمی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تیره و خشمگینی که خبر از اوضاع مصیبت باری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مسئله مستقیما به سیمای ارتباطی رابطه میان خدا و انسان بستگی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این دو چهره متفاوت، دو چیز متفاوت را در خصوص آخرین سرنوشت آدمی به او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سیمای مسئله در قرآن به وسیله چهار کلمه کلیدی دارای ارتباط با یکدیگر مطرح شده است و آن چهار کلمه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تصوری دو کلمه اول به گونه ای است که خداوند در یک ارتباط مستقیم با بنده و به شکل ضعیف شده یک سوگند، او را از آنچه به صورت اجتناب ناپذیری در آن قرار خواهد گرفت، آگاه می کند؛ آن هم به صورت شرطی که اگر چنین کند یا نکند، آنگاه</w:t>
      </w:r>
    </w:p>
    <w:p>
      <w:pPr>
        <w:pStyle w:val="BookText"/>
        <w:rPr/>
      </w:pPr>
      <w:r>
        <w:rPr>
          <w:rFonts w:ascii="IRNazanin" w:hAnsi="IRNazanin" w:eastAsia="IRNazanin"/>
          <w:color w:val="111111"/>
          <w:sz w:val="28"/>
          <w:sz w:val="28"/>
          <w:szCs w:val="28"/>
          <w:rtl w:val="true"/>
          <w:lang w:bidi="fa-IR"/>
        </w:rPr>
        <w:t>فلان حادثه برای او 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وضع جدید، چیزی مطبوع و لذت بخش باشد،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شود و اگر مایه گزند و نامطبوع باشد،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آؤعد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متن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عمل خود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کلمه دوم؛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به کار می رود که انسان با خداوند ارتباط مستقیم ندارد که وظیفه برقراری ارتباط به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چون از وضع انسان کاملا با خبر است، به وی می گوید که برای او چنین و چنان وضعیتی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رساننده خبر خوب باشد، به وی بشیر می گویند و اگر رساننده خبر ناگوار باشد، به او نذیر گویند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 و نوید مکرر خداوند در قرآن کریم و بازشناسی این دو مفهوم از یکدیگر، یکی از عمده ترین عواملی بود که باعث طرح مسئله وعد و وعید در میان مفسران و متکلمان شد و به بحثهای مفصلی در این خصوص پرداختند</w:t>
      </w:r>
      <w:r>
        <w:rPr>
          <w:rFonts w:eastAsia="IRNazanin" w:cs="IRNazanin"/>
          <w:color w:val="111111"/>
          <w:sz w:val="28"/>
          <w:szCs w:val="28"/>
          <w:rtl w:val="true"/>
          <w:lang w:bidi="fa-IR"/>
        </w:rPr>
        <w:t xml:space="preserve">. </w:t>
      </w:r>
      <w:bookmarkStart w:id="479" w:name="pg14387_143768"/>
    </w:p>
    <w:p>
      <w:pPr>
        <w:pStyle w:val="Heading3"/>
        <w:numPr>
          <w:ilvl w:val="2"/>
          <w:numId w:val="1"/>
        </w:numPr>
        <w:rPr/>
      </w:pPr>
      <w:bookmarkStart w:id="480" w:name="__RefHeading___Toc7812446_3381743652"/>
      <w:bookmarkStart w:id="481" w:name="_Toc182"/>
      <w:bookmarkEnd w:id="479"/>
      <w:bookmarkEnd w:id="480"/>
      <w:r>
        <w:rPr>
          <w:rtl w:val="true"/>
        </w:rPr>
        <w:t>ارتباط وعده و وعید با مسئله اختیار</w:t>
      </w:r>
      <w:bookmarkEnd w:id="481"/>
    </w:p>
    <w:p>
      <w:pPr>
        <w:pStyle w:val="BookText"/>
        <w:rPr/>
      </w:pPr>
      <w:r>
        <w:rPr>
          <w:rFonts w:ascii="IRNazanin" w:hAnsi="IRNazanin" w:eastAsia="IRNazanin"/>
          <w:color w:val="111111"/>
          <w:sz w:val="28"/>
          <w:sz w:val="28"/>
          <w:szCs w:val="28"/>
          <w:rtl w:val="true"/>
          <w:lang w:bidi="fa-IR"/>
        </w:rPr>
        <w:t>همان طور که در تعریف و عد و وعید ذکر شد، نوید الهی، به نفع و پاداش تعلق میگیرد و بیم حق تعالی، 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پاداش و کیفر، متفرع بر تکلیف و تکلیف، متفرع بر اختیار آدمی در افعالی است که متعلق تکلیف قرار می گیرد و اگر آدمی در افعال خود مختار نباشد، تکلیف نمودن او و نیز پاداش و کیفر، بی معنی خواهد بود و با این وجود، مجالی برای وعد و وعید نیز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 پیرمردی از اصحاب آن حضرت در برگشت از جنگ صفین درباره قضا و قدر الهی، ارتباط میان مسئله اختیار و وعد و وعید الهی را به خوبی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خطاب به مسائل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لعلک ظننت قضاء لازمة و قدرة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کذلک لبطل الثواب و العقاب، و سقط الوعد والوعید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سبحانه أمر عباده تخییر و نهاهم تحذیرا</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رحم کند، شاید تو گمان کردی که قضا و قدر،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پاداش و کیفر، نادرست بود و نوید به خیر و خوبی و بیم به شر و بدی ساقط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بندگانش را امر کرده به اختیار و نهی فرموده با بیم و ترس</w:t>
      </w:r>
      <w:r>
        <w:rPr>
          <w:rFonts w:eastAsia="IRNazanin" w:cs="IRNazanin"/>
          <w:color w:val="111111"/>
          <w:sz w:val="28"/>
          <w:szCs w:val="28"/>
          <w:rtl w:val="true"/>
          <w:lang w:bidi="fa-IR"/>
        </w:rPr>
        <w:t>.</w:t>
      </w:r>
    </w:p>
    <w:p>
      <w:pPr>
        <w:pStyle w:val="Heading3"/>
        <w:numPr>
          <w:ilvl w:val="2"/>
          <w:numId w:val="1"/>
        </w:numPr>
        <w:rPr/>
      </w:pPr>
      <w:bookmarkStart w:id="482" w:name="__RefHeading___Toc7812448_3381743652"/>
      <w:bookmarkStart w:id="483" w:name="_Toc183"/>
      <w:bookmarkEnd w:id="482"/>
      <w:r>
        <w:rPr>
          <w:rtl w:val="true"/>
        </w:rPr>
        <w:t>ارتباط وعد و وعید با اصل عدل</w:t>
      </w:r>
      <w:bookmarkEnd w:id="483"/>
    </w:p>
    <w:p>
      <w:pPr>
        <w:pStyle w:val="BookText"/>
        <w:rPr/>
      </w:pPr>
      <w:r>
        <w:rPr>
          <w:rFonts w:ascii="IRNazanin" w:hAnsi="IRNazanin" w:eastAsia="IRNazanin"/>
          <w:color w:val="111111"/>
          <w:sz w:val="28"/>
          <w:sz w:val="28"/>
          <w:szCs w:val="28"/>
          <w:rtl w:val="true"/>
          <w:lang w:bidi="fa-IR"/>
        </w:rPr>
        <w:t>معتزله چون به عدل الهی ایمان دارند، تنجز وعد و وعید را بر این اصل مترتب کردند؛ زیرا عدل الهی اقتضا دارد که هر انسانی طبق افکار و عملکرد خودش جزا داده شود؛ اهل خیر به خیرات پاداش داده شوند و اهل شر و بدی به شرور کیفر کردند و این همان مفهوم وعد و وعید است</w:t>
      </w:r>
      <w:r>
        <w:rPr>
          <w:rFonts w:eastAsia="IRNazanin" w:cs="IRNazanin"/>
          <w:color w:val="111111"/>
          <w:sz w:val="28"/>
          <w:szCs w:val="28"/>
          <w:rtl w:val="true"/>
          <w:lang w:bidi="fa-IR"/>
        </w:rPr>
        <w:t>.</w:t>
      </w:r>
      <w:r>
        <w:rPr>
          <w:rStyle w:val="FootnoteAnchor"/>
          <w:rtl w:val="true"/>
        </w:rPr>
        <w:footnoteReference w:id="63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روشن شدن رابطه وعد و وعید و در مسئله مذبور، به خوبی به دست می آید که اصل عدل و اختیار، در به وجود آوردن مسئله وعد و عید، اثر داشته و از جمله عواملی بوده که منشأ پیدایش این بحث گردیده است</w:t>
      </w:r>
      <w:r>
        <w:rPr>
          <w:rFonts w:eastAsia="IRNazanin" w:cs="IRNazanin"/>
          <w:color w:val="111111"/>
          <w:sz w:val="28"/>
          <w:szCs w:val="28"/>
          <w:rtl w:val="true"/>
          <w:lang w:bidi="fa-IR"/>
        </w:rPr>
        <w:t xml:space="preserve">. </w:t>
      </w:r>
      <w:bookmarkStart w:id="484" w:name="pg14387_143769"/>
    </w:p>
    <w:p>
      <w:pPr>
        <w:pStyle w:val="Heading3"/>
        <w:numPr>
          <w:ilvl w:val="2"/>
          <w:numId w:val="1"/>
        </w:numPr>
        <w:rPr/>
      </w:pPr>
      <w:bookmarkStart w:id="485" w:name="__RefHeading___Toc7812450_3381743652"/>
      <w:bookmarkStart w:id="486" w:name="_Toc184"/>
      <w:bookmarkEnd w:id="484"/>
      <w:bookmarkEnd w:id="485"/>
      <w:r>
        <w:rPr>
          <w:rtl w:val="true"/>
        </w:rPr>
        <w:t xml:space="preserve">ارتباط وعد و وعید با اصل </w:t>
      </w:r>
      <w:r>
        <w:rPr>
          <w:rtl w:val="true"/>
        </w:rPr>
        <w:t>«</w:t>
      </w:r>
      <w:r>
        <w:rPr>
          <w:rtl w:val="true"/>
        </w:rPr>
        <w:t>المنزلة بین المنزلتین</w:t>
      </w:r>
      <w:r>
        <w:rPr>
          <w:rtl w:val="true"/>
        </w:rPr>
        <w:t>»</w:t>
      </w:r>
      <w:bookmarkEnd w:id="486"/>
    </w:p>
    <w:p>
      <w:pPr>
        <w:pStyle w:val="BookText"/>
        <w:rPr/>
      </w:pPr>
      <w:r>
        <w:rPr>
          <w:rFonts w:ascii="IRNazanin" w:hAnsi="IRNazanin" w:eastAsia="IRNazanin"/>
          <w:color w:val="111111"/>
          <w:sz w:val="28"/>
          <w:sz w:val="28"/>
          <w:szCs w:val="28"/>
          <w:rtl w:val="true"/>
          <w:lang w:bidi="fa-IR"/>
        </w:rPr>
        <w:t xml:space="preserve">وعد و وعید، همان طور که با اصل عدل و اختیار ارتباط دارد،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 مناسبت نیست؛ چه اینکه اهل اعتزال راجع به مرتکب کبیره بر این باورند که مرتکب کبیره، نه مؤمن مطلق است و نه کافر مطلق، بلکه بینابین کفر و ایمان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دیگر، این جماعت، چنین کسانی را از باب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همانند کار مستحق عذاب و مخلد در آتش می دانند؛ با این فرق که عذاب مرتکب کبایر، خفیفتر از عذاب کفار است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به همین دلیل، عبدالکریم شهرستانی هنگام بیان اصل وعد و وعید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اعتزال به اتفاق، بر این باورند که مؤمن هرگاه با توبه و اطاعت از دنیا برود، سزاوار ثواب، عوض و تفضل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نسبت به کبیره ای که مرتکب گردیده، بدون تویه از دنیا برود، مستحق خلود در آتش است و معتزله همین بخش را وعد و و وعید نامیده اند</w:t>
      </w:r>
      <w:r>
        <w:rPr>
          <w:rFonts w:eastAsia="IRNazanin" w:cs="IRNazanin"/>
          <w:color w:val="111111"/>
          <w:sz w:val="28"/>
          <w:szCs w:val="28"/>
          <w:rtl w:val="true"/>
          <w:lang w:bidi="fa-IR"/>
        </w:rPr>
        <w:t>.</w:t>
      </w:r>
      <w:r>
        <w:rPr>
          <w:rStyle w:val="FootnoteAnchor"/>
          <w:rtl w:val="true"/>
        </w:rPr>
        <w:footnoteReference w:id="635"/>
      </w:r>
    </w:p>
    <w:p>
      <w:pPr>
        <w:pStyle w:val="Heading3"/>
        <w:numPr>
          <w:ilvl w:val="2"/>
          <w:numId w:val="1"/>
        </w:numPr>
        <w:rPr/>
      </w:pPr>
      <w:bookmarkStart w:id="487" w:name="__RefHeading___Toc7812452_3381743652"/>
      <w:bookmarkStart w:id="488" w:name="_Toc185"/>
      <w:bookmarkEnd w:id="487"/>
      <w:r>
        <w:rPr>
          <w:rtl w:val="true"/>
        </w:rPr>
        <w:t>وعد و وعید و حسن و قبح عقلی</w:t>
      </w:r>
      <w:bookmarkEnd w:id="488"/>
    </w:p>
    <w:p>
      <w:pPr>
        <w:pStyle w:val="BookText"/>
        <w:rPr/>
      </w:pPr>
      <w:r>
        <w:rPr>
          <w:rFonts w:ascii="IRNazanin" w:hAnsi="IRNazanin" w:eastAsia="IRNazanin"/>
          <w:color w:val="111111"/>
          <w:sz w:val="28"/>
          <w:sz w:val="28"/>
          <w:szCs w:val="28"/>
          <w:rtl w:val="true"/>
          <w:lang w:bidi="fa-IR"/>
        </w:rPr>
        <w:t>یکی از عوامل پیدایش این بحث، مسئله حسن و قبح عقلی است؛ زیرا نزاع درباره وجوب یا عدم وجوب وعد و وعید، میان کسانی مطرح است که حسن و قبح عقلی را قبول دارند و طبق این اصل، فرمانبران را عقلا مستحق پاداش و گنهکاران را سزاوار کیفر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مذهب اشاعره که ادعا دارند انسان در برابر خداوند، مستحق چیزی نیست و هیچ چیزی از خداوند، قبیح نیست، این نزاع، آن چنان موردی ندارد</w:t>
      </w:r>
      <w:r>
        <w:rPr>
          <w:rFonts w:eastAsia="IRNazanin" w:cs="IRNazanin"/>
          <w:color w:val="111111"/>
          <w:sz w:val="28"/>
          <w:szCs w:val="28"/>
          <w:rtl w:val="true"/>
          <w:lang w:bidi="fa-IR"/>
        </w:rPr>
        <w:t>.</w:t>
      </w:r>
    </w:p>
    <w:p>
      <w:pPr>
        <w:pStyle w:val="Heading3"/>
        <w:numPr>
          <w:ilvl w:val="2"/>
          <w:numId w:val="1"/>
        </w:numPr>
        <w:rPr/>
      </w:pPr>
      <w:bookmarkStart w:id="489" w:name="__RefHeading___Toc7812454_3381743652"/>
      <w:bookmarkStart w:id="490" w:name="_Toc186"/>
      <w:bookmarkEnd w:id="489"/>
      <w:r>
        <w:rPr>
          <w:rtl w:val="true"/>
        </w:rPr>
        <w:t>وعد و وعید و قاعده لطف</w:t>
      </w:r>
      <w:bookmarkEnd w:id="490"/>
    </w:p>
    <w:p>
      <w:pPr>
        <w:pStyle w:val="BookText"/>
        <w:rPr/>
      </w:pPr>
      <w:r>
        <w:rPr>
          <w:rFonts w:ascii="IRNazanin" w:hAnsi="IRNazanin" w:eastAsia="IRNazanin"/>
          <w:color w:val="111111"/>
          <w:sz w:val="28"/>
          <w:sz w:val="28"/>
          <w:szCs w:val="28"/>
          <w:rtl w:val="true"/>
          <w:lang w:bidi="fa-IR"/>
        </w:rPr>
        <w:t>ژرف نگری و دقت در معنای لطف، به خوبی آشکار می کند که مسئله وعد و وعید، خود یکی از مصادیق قاعده لطف می باشد؛ چرا که لطف عبارت است از نزدیک ساختن مکلف به طاعت و دور کردن وی از معصیت و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دادن به خیرات و خوبی در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 انجام دادن کردار نیک و بیم دادن به شرور و بدی در برابر معصیت و نافرمانی خود موجب نزدیک شدن به طاعت و دوری از معصیت خواهد شد</w:t>
      </w:r>
      <w:r>
        <w:rPr>
          <w:rFonts w:eastAsia="IRNazanin" w:cs="IRNazanin"/>
          <w:color w:val="111111"/>
          <w:sz w:val="28"/>
          <w:szCs w:val="28"/>
          <w:rtl w:val="true"/>
          <w:lang w:bidi="fa-IR"/>
        </w:rPr>
        <w:t xml:space="preserve">. </w:t>
      </w:r>
      <w:bookmarkStart w:id="491" w:name="pg14387_143770"/>
    </w:p>
    <w:p>
      <w:pPr>
        <w:pStyle w:val="Heading3"/>
        <w:numPr>
          <w:ilvl w:val="2"/>
          <w:numId w:val="1"/>
        </w:numPr>
        <w:rPr/>
      </w:pPr>
      <w:bookmarkStart w:id="492" w:name="__RefHeading___Toc7812456_3381743652"/>
      <w:bookmarkStart w:id="493" w:name="_Toc187"/>
      <w:bookmarkEnd w:id="491"/>
      <w:bookmarkEnd w:id="492"/>
      <w:r>
        <w:rPr>
          <w:rtl w:val="true"/>
        </w:rPr>
        <w:t>پیشینه کلامی</w:t>
      </w:r>
      <w:bookmarkEnd w:id="493"/>
    </w:p>
    <w:p>
      <w:pPr>
        <w:pStyle w:val="Heading3"/>
        <w:numPr>
          <w:ilvl w:val="2"/>
          <w:numId w:val="1"/>
        </w:numPr>
        <w:rPr/>
      </w:pPr>
      <w:bookmarkStart w:id="494" w:name="__RefHeading___Toc7812458_3381743652"/>
      <w:bookmarkStart w:id="495" w:name="_Toc188"/>
      <w:bookmarkEnd w:id="494"/>
      <w:r>
        <w:rPr>
          <w:rtl w:val="true"/>
        </w:rPr>
        <w:t>وعید در افکار مرجئه و وعیدیه</w:t>
      </w:r>
      <w:bookmarkEnd w:id="495"/>
    </w:p>
    <w:p>
      <w:pPr>
        <w:pStyle w:val="BookText"/>
        <w:rPr/>
      </w:pPr>
      <w:r>
        <w:rPr>
          <w:rFonts w:ascii="IRNazanin" w:hAnsi="IRNazanin" w:eastAsia="IRNazanin"/>
          <w:color w:val="111111"/>
          <w:sz w:val="28"/>
          <w:sz w:val="28"/>
          <w:szCs w:val="28"/>
          <w:rtl w:val="true"/>
          <w:lang w:bidi="fa-IR"/>
        </w:rPr>
        <w:t xml:space="preserve">مسئله وعد و وعید، ابتدا میان فرقه های کلامی به صورت مجزا مورد بحث قرار می گرفت؛ مثلا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شاخه های فرقه خوارج بود، تنها به مسئله وعید اهمیت می داد و بخشش گناهان کبیره را مجاز نمی دانست و بر این باور بود که مرتکب کبیره برای ابد در دوزخ باقی خواهد ماند</w:t>
      </w:r>
      <w:r>
        <w:rPr>
          <w:rStyle w:val="FootnoteAnchor"/>
          <w:rtl w:val="true"/>
        </w:rPr>
        <w:footnoteReference w:id="636"/>
      </w:r>
      <w:r>
        <w:rPr>
          <w:rFonts w:ascii="IRNazanin" w:hAnsi="IRNazanin" w:eastAsia="IRNazanin"/>
          <w:color w:val="111111"/>
          <w:sz w:val="28"/>
          <w:sz w:val="28"/>
          <w:szCs w:val="28"/>
          <w:rtl w:val="true"/>
          <w:lang w:bidi="fa-IR"/>
        </w:rPr>
        <w:t xml:space="preserve">، ولی گروهی از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راه تفریط را پیش گرفته، معتقد بودند که اهل نماز، مستحق وعید نیستند و بیم و تهدید الهی مخصوص کافران است</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عبدالکریم شهرستانی به تعدادی از رجال مرجئه نسبت می دهد که آنان اصحاب کبایر را کافر ندانسته، بر خلاف خوارج و قدریه، آنها را مخلد در دوزخ نمی دانند</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متکلمانی چون اشعری نیز مسئله وعید را جدا از مسئله وعد و به تنهایی مورد بحث قرار داده، اقوال شیعه و مرجئه و سایر فرق را در این مسئله برشمرده اند</w:t>
      </w:r>
      <w:r>
        <w:rPr>
          <w:rFonts w:eastAsia="IRNazanin" w:cs="IRNazanin"/>
          <w:color w:val="111111"/>
          <w:sz w:val="28"/>
          <w:szCs w:val="28"/>
          <w:rtl w:val="true"/>
          <w:lang w:bidi="fa-IR"/>
        </w:rPr>
        <w:t>.</w:t>
      </w:r>
      <w:r>
        <w:rPr>
          <w:rStyle w:val="FootnoteAnchor"/>
          <w:rtl w:val="true"/>
        </w:rPr>
        <w:footnoteReference w:id="639"/>
      </w:r>
    </w:p>
    <w:p>
      <w:pPr>
        <w:pStyle w:val="Heading3"/>
        <w:numPr>
          <w:ilvl w:val="2"/>
          <w:numId w:val="1"/>
        </w:numPr>
        <w:rPr/>
      </w:pPr>
      <w:bookmarkStart w:id="496" w:name="__RefHeading___Toc7812460_3381743652"/>
      <w:bookmarkStart w:id="497" w:name="_Toc189"/>
      <w:bookmarkEnd w:id="496"/>
      <w:r>
        <w:rPr>
          <w:rtl w:val="true"/>
        </w:rPr>
        <w:t>سامان یافتن اصل وعد و وعید در اندیشه معتزله</w:t>
      </w:r>
      <w:bookmarkEnd w:id="497"/>
    </w:p>
    <w:p>
      <w:pPr>
        <w:pStyle w:val="BookText"/>
        <w:rPr/>
      </w:pPr>
      <w:r>
        <w:rPr>
          <w:rFonts w:ascii="IRNazanin" w:hAnsi="IRNazanin" w:eastAsia="IRNazanin"/>
          <w:color w:val="111111"/>
          <w:sz w:val="28"/>
          <w:sz w:val="28"/>
          <w:szCs w:val="28"/>
          <w:rtl w:val="true"/>
          <w:lang w:bidi="fa-IR"/>
        </w:rPr>
        <w:t xml:space="preserve">وضعیت مذکور تا زمان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لیکن بعد از این که وعده و وعید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اعتزال قرار گرفت، آنان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و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عنوان 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خمسه به صورت مبسوط مورد بحث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این اصل در چه زمانی جزو اصول معتزله قرار گرفت به خوبی روشن نیست؛ جز این که از مناظره ای که عمرو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العلاء نسبت به این اصل داشته اند، چنین بر می آید که وی معتقد به این اصل بوده و از آن به شدت دفاع می کرده است</w:t>
      </w:r>
      <w:r>
        <w:rPr>
          <w:rFonts w:eastAsia="IRNazanin" w:cs="IRNazanin"/>
          <w:color w:val="111111"/>
          <w:sz w:val="28"/>
          <w:szCs w:val="28"/>
          <w:rtl w:val="true"/>
          <w:lang w:bidi="fa-IR"/>
        </w:rPr>
        <w:t>.</w:t>
      </w:r>
      <w:r>
        <w:rPr>
          <w:rStyle w:val="FootnoteAnchor"/>
          <w:rtl w:val="true"/>
        </w:rPr>
        <w:footnoteReference w:id="64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نگارنده به مطالبی که نشان دهد متقدمان دیگری از اهل اعتزال؛ همانند غیلان </w:t>
      </w:r>
      <w:bookmarkStart w:id="498" w:name="pg14387_143771"/>
    </w:p>
    <w:p>
      <w:pPr>
        <w:pStyle w:val="BookText"/>
        <w:rPr/>
      </w:pPr>
      <w:bookmarkEnd w:id="498"/>
      <w:r>
        <w:rPr>
          <w:rFonts w:ascii="IRNazanin" w:hAnsi="IRNazanin" w:eastAsia="IRNazanin"/>
          <w:color w:val="111111"/>
          <w:sz w:val="28"/>
          <w:sz w:val="28"/>
          <w:szCs w:val="28"/>
          <w:rtl w:val="true"/>
          <w:lang w:bidi="fa-IR"/>
        </w:rPr>
        <w:t xml:space="preserve">دمشقی و واصل بن عطا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اصل معتقد بوده اند، دست نیافت</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بعد از عمرو بن عبید، این اصل در میان معتزله با سایر اصول آنان مأنوس و شایع گردید و کتابهایی نیز در تبیین و تشریح این اصول تصنیف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نسفی در بحرالکلام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ابوالهذیل علاف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اعتزال، دو کتاب تصنیف نمود که مذهب آنان را در آن تبیین و علوم آنها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خسمة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از جمله کسانی که در این باره کتاب نوشته است، جعفر بن حرب می باشدکه کتابی به نام کتاب الاصول الخمسة </w:t>
      </w:r>
      <w:r>
        <w:rPr>
          <w:rStyle w:val="FootnoteAnchor"/>
          <w:rtl w:val="true"/>
        </w:rPr>
        <w:footnoteReference w:id="643"/>
      </w:r>
      <w:r>
        <w:rPr>
          <w:rFonts w:ascii="IRNazanin" w:hAnsi="IRNazanin" w:eastAsia="IRNazanin"/>
          <w:color w:val="111111"/>
          <w:sz w:val="28"/>
          <w:sz w:val="28"/>
          <w:szCs w:val="28"/>
          <w:rtl w:val="true"/>
          <w:lang w:bidi="fa-IR"/>
        </w:rPr>
        <w:t>داشت و نیز از ابوعلی خلاء کتابی به نام کتاب الاصول یا شرح الاصول ذکر شده است</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این اصول در زمان ابوالحسین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در میان اهل اعتزال شایع شد که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سزاوار اسم اعتزال نباشد، مگر اینکه جمیع این اصول پنجگانه را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جمیع این اصول را بپذیرد، آنگاه معتزلی خواهد بود</w:t>
      </w:r>
      <w:r>
        <w:rPr>
          <w:rFonts w:eastAsia="IRNazanin" w:cs="IRNazanin"/>
          <w:color w:val="111111"/>
          <w:sz w:val="28"/>
          <w:szCs w:val="28"/>
          <w:rtl w:val="true"/>
          <w:lang w:bidi="fa-IR"/>
        </w:rPr>
        <w:t>.</w:t>
      </w:r>
      <w:r>
        <w:rPr>
          <w:rStyle w:val="FootnoteAnchor"/>
          <w:rtl w:val="true"/>
        </w:rPr>
        <w:footnoteReference w:id="645"/>
      </w:r>
    </w:p>
    <w:p>
      <w:pPr>
        <w:pStyle w:val="Heading3"/>
        <w:numPr>
          <w:ilvl w:val="2"/>
          <w:numId w:val="1"/>
        </w:numPr>
        <w:rPr/>
      </w:pPr>
      <w:bookmarkStart w:id="499" w:name="__RefHeading___Toc7812462_3381743652"/>
      <w:bookmarkStart w:id="500" w:name="_Toc190"/>
      <w:bookmarkEnd w:id="499"/>
      <w:r>
        <w:rPr>
          <w:rtl w:val="true"/>
        </w:rPr>
        <w:t>چرا معتزلیان وعده و وعید را جزو اصول دین دانسته اند؟</w:t>
      </w:r>
      <w:bookmarkEnd w:id="500"/>
    </w:p>
    <w:p>
      <w:pPr>
        <w:pStyle w:val="BookText"/>
        <w:rPr/>
      </w:pPr>
      <w:r>
        <w:rPr>
          <w:rFonts w:ascii="IRNazanin" w:hAnsi="IRNazanin" w:eastAsia="IRNazanin"/>
          <w:color w:val="111111"/>
          <w:sz w:val="28"/>
          <w:sz w:val="28"/>
          <w:szCs w:val="28"/>
          <w:rtl w:val="true"/>
          <w:lang w:bidi="fa-IR"/>
        </w:rPr>
        <w:t>قاضی عبدالجبار معتزلی که از بزرگان این جماعت می باشد، این مطلب را این گونه تعلیل می 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 وعد و وعید مخالفت ورزد و بگوید خداوند هرگز فرمانبران را به پاداش وعده نداده و نافرمانان را به کیفر تهدید نفرموده، کافر است؛ زیرا او منکر چیزی شده که از ضروریات دین پیامبران دانسته می شود و هر کس چنین چیزی را رد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کسی بگوید وعد و وعید دارد، اما در عین حال، رواست که وعید خویش را بشکند؛ چرا که عمل نکردن به وعید، خود کرم و بزرگواری است، او </w:t>
      </w:r>
      <w:bookmarkStart w:id="501" w:name="pg14387_143772"/>
    </w:p>
    <w:p>
      <w:pPr>
        <w:pStyle w:val="BookText"/>
        <w:rPr/>
      </w:pPr>
      <w:bookmarkEnd w:id="501"/>
      <w:r>
        <w:rPr>
          <w:rFonts w:ascii="IRNazanin" w:hAnsi="IRNazanin" w:eastAsia="IRNazanin"/>
          <w:color w:val="111111"/>
          <w:sz w:val="28"/>
          <w:sz w:val="28"/>
          <w:szCs w:val="28"/>
          <w:rtl w:val="true"/>
          <w:lang w:bidi="fa-IR"/>
        </w:rPr>
        <w:t>نیز کافر است؛ زیرا قبیح را به خداوند نسبت داده است</w:t>
      </w:r>
      <w:r>
        <w:rPr>
          <w:rFonts w:eastAsia="IRNazanin" w:cs="IRNazanin"/>
          <w:color w:val="111111"/>
          <w:sz w:val="28"/>
          <w:szCs w:val="28"/>
          <w:rtl w:val="true"/>
          <w:lang w:bidi="fa-IR"/>
        </w:rPr>
        <w:t>.</w:t>
      </w:r>
      <w:r>
        <w:rPr>
          <w:rStyle w:val="FootnoteAnchor"/>
          <w:rtl w:val="true"/>
        </w:rPr>
        <w:footnoteReference w:id="646"/>
      </w:r>
    </w:p>
    <w:p>
      <w:pPr>
        <w:pStyle w:val="Heading3"/>
        <w:numPr>
          <w:ilvl w:val="2"/>
          <w:numId w:val="1"/>
        </w:numPr>
        <w:rPr/>
      </w:pPr>
      <w:bookmarkStart w:id="502" w:name="__RefHeading___Toc7812464_3381743652"/>
      <w:bookmarkStart w:id="503" w:name="_Toc191"/>
      <w:bookmarkEnd w:id="502"/>
      <w:r>
        <w:rPr>
          <w:rtl w:val="true"/>
        </w:rPr>
        <w:t>پیشینه وعد و وعید در میان متکلمان شیعه</w:t>
      </w:r>
      <w:bookmarkEnd w:id="503"/>
    </w:p>
    <w:p>
      <w:pPr>
        <w:pStyle w:val="BookText"/>
        <w:rPr/>
      </w:pPr>
      <w:r>
        <w:rPr>
          <w:rFonts w:ascii="IRNazanin" w:hAnsi="IRNazanin" w:eastAsia="IRNazanin"/>
          <w:color w:val="111111"/>
          <w:sz w:val="28"/>
          <w:sz w:val="28"/>
          <w:szCs w:val="28"/>
          <w:rtl w:val="true"/>
          <w:lang w:bidi="fa-IR"/>
        </w:rPr>
        <w:t>قدیمی ترین کتاب کلامی موجود شیعی که از ابوسهل اسماعیل بن اسحاق نوبختی می باشد، نشان می دهد که این مسئله در میان متکلمان شیعه مورد بحث بوده است</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فهرستی از آثار متکلم برجسته دیگر این خاندان، ابومحمد حسن بن موسی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ابوسهل اسماعیل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وی با ابوعلی جبائی و ابوالقاسم بلخی در مسئله وعید مناظره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بابویه</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 شیخ مفید</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سید مرتضی</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و متفرعات آن را به صورت مبسوط مورد بحث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دوره به بعد نیز متکلمان شیعی اکثرا به این مسئله اشاره نموده اند</w:t>
      </w:r>
      <w:r>
        <w:rPr>
          <w:rFonts w:eastAsia="IRNazanin" w:cs="IRNazanin"/>
          <w:color w:val="111111"/>
          <w:sz w:val="28"/>
          <w:szCs w:val="28"/>
          <w:rtl w:val="true"/>
          <w:lang w:bidi="fa-IR"/>
        </w:rPr>
        <w:t>.</w:t>
      </w:r>
    </w:p>
    <w:p>
      <w:pPr>
        <w:pStyle w:val="Heading3"/>
        <w:numPr>
          <w:ilvl w:val="2"/>
          <w:numId w:val="1"/>
        </w:numPr>
        <w:rPr/>
      </w:pPr>
      <w:bookmarkStart w:id="504" w:name="__RefHeading___Toc7812466_3381743652"/>
      <w:bookmarkStart w:id="505" w:name="_Toc192"/>
      <w:bookmarkEnd w:id="504"/>
      <w:r>
        <w:rPr>
          <w:rtl w:val="true"/>
        </w:rPr>
        <w:t>اموری که مکلف با انجام فعل، مستحق آن می شود</w:t>
      </w:r>
      <w:bookmarkEnd w:id="505"/>
    </w:p>
    <w:p>
      <w:pPr>
        <w:pStyle w:val="BookText"/>
        <w:rPr/>
      </w:pPr>
      <w:r>
        <w:rPr>
          <w:rFonts w:ascii="IRNazanin" w:hAnsi="IRNazanin" w:eastAsia="IRNazanin"/>
          <w:color w:val="111111"/>
          <w:sz w:val="28"/>
          <w:sz w:val="28"/>
          <w:szCs w:val="28"/>
          <w:rtl w:val="true"/>
          <w:lang w:bidi="fa-IR"/>
        </w:rPr>
        <w:t>شیخ طوسی مسئله وعد و وعید را با مستحقان به افعال، در یک عنوان قرار داده و آن دو مسئله را به بحث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به این پرسش مطرح می گردد که چه رابطه ای میان مسئله وعد و وعید و مستحقان به افعال وجود دارد؟</w:t>
      </w:r>
    </w:p>
    <w:p>
      <w:pPr>
        <w:pStyle w:val="Heading3"/>
        <w:numPr>
          <w:ilvl w:val="2"/>
          <w:numId w:val="1"/>
        </w:numPr>
        <w:rPr/>
      </w:pPr>
      <w:bookmarkStart w:id="506" w:name="__RefHeading___Toc7812468_3381743652"/>
      <w:bookmarkStart w:id="507" w:name="_Toc193"/>
      <w:bookmarkEnd w:id="506"/>
      <w:r>
        <w:rPr>
          <w:rtl w:val="true"/>
        </w:rPr>
        <w:t>ارتباط وعده و وعید و مسئله مستحقان به افعال</w:t>
      </w:r>
      <w:bookmarkEnd w:id="50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شیخ و سایر متکلمان عدلیه، تنها شش چیز است که آدمی با انجام فعل، مستحق آنها می گردد و آن شش چیز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ذم، پاداش، کیفر، شکر و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ارتباط وعد و وعید با این مسئله به این دلیل است که همان طور که در تعریف وعد و وعید بدان اشاره شد، متعلق وعد و وعید به طور خاص، پاداش و کیفر و به طور عموم، نفع و </w:t>
      </w:r>
      <w:bookmarkStart w:id="508" w:name="pg14387_143773"/>
    </w:p>
    <w:p>
      <w:pPr>
        <w:pStyle w:val="BookText"/>
        <w:rPr/>
      </w:pPr>
      <w:bookmarkEnd w:id="508"/>
      <w:r>
        <w:rPr>
          <w:rFonts w:ascii="IRNazanin" w:hAnsi="IRNazanin" w:eastAsia="IRNazanin"/>
          <w:color w:val="111111"/>
          <w:sz w:val="28"/>
          <w:sz w:val="28"/>
          <w:szCs w:val="28"/>
          <w:rtl w:val="true"/>
          <w:lang w:bidi="fa-IR"/>
        </w:rPr>
        <w:t>ضرر بود و پر واضح است که مدح و ذم و نیز پاداش و کیفر که هر کدام نوعی خاص از نفع و ضرر می باشد، داخل در متعلق وعد و وعید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شیخ الطایفه نخست چیزهایی را که آدمی با انجام دادن فعل، مستحق آن می گردد، بر شمرده است و</w:t>
      </w:r>
    </w:p>
    <w:p>
      <w:pPr>
        <w:pStyle w:val="BookText"/>
        <w:rPr/>
      </w:pPr>
      <w:r>
        <w:rPr>
          <w:rFonts w:ascii="IRNazanin" w:hAnsi="IRNazanin" w:eastAsia="IRNazanin"/>
          <w:color w:val="111111"/>
          <w:sz w:val="28"/>
          <w:sz w:val="28"/>
          <w:szCs w:val="28"/>
          <w:rtl w:val="true"/>
          <w:lang w:bidi="fa-IR"/>
        </w:rPr>
        <w:t>سپس مسئله وعد و وعید که در حقیقت، بیم و نوید به پاداش و کیفر می باشد را مورد کاوش قرار می دهد که آیا وعده الهی نسبت به آنچه بیم و نوید داده، تخلف ناپذیر است یا نه؟</w:t>
      </w:r>
    </w:p>
    <w:p>
      <w:pPr>
        <w:pStyle w:val="Heading3"/>
        <w:numPr>
          <w:ilvl w:val="2"/>
          <w:numId w:val="1"/>
        </w:numPr>
        <w:rPr/>
      </w:pPr>
      <w:bookmarkStart w:id="509" w:name="__RefHeading___Toc7812470_3381743652"/>
      <w:bookmarkStart w:id="510" w:name="_Toc194"/>
      <w:bookmarkEnd w:id="509"/>
      <w:r>
        <w:rPr>
          <w:rtl w:val="true"/>
        </w:rPr>
        <w:t>اسباب و موجبات استحقاق مدح</w:t>
      </w:r>
      <w:bookmarkEnd w:id="510"/>
    </w:p>
    <w:p>
      <w:pPr>
        <w:pStyle w:val="BookText"/>
        <w:rPr/>
      </w:pPr>
      <w:r>
        <w:rPr>
          <w:rFonts w:ascii="IRNazanin" w:hAnsi="IRNazanin" w:eastAsia="IRNazanin"/>
          <w:color w:val="111111"/>
          <w:sz w:val="28"/>
          <w:sz w:val="28"/>
          <w:szCs w:val="28"/>
          <w:rtl w:val="true"/>
          <w:lang w:bidi="fa-IR"/>
        </w:rPr>
        <w:t>تنها چهار چیز است که استحقاق مدح را در پی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دادن فعل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فعل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انجام فعل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نمودن حقوق مستحقه؛ مانند استحقاق عقاب از جانب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یادکرد این نکته ضروری است که از نظر شیخ الطایفه، در صورتی انجام فعل واجب و مستحب و ترک قبیح موجب استحقاق مدح می گردد که فاعل، عالم به وجوب یا وجه وجوب و یا استحباب و آگاه به جهت قبح فعل باشد و فعل واجب و مستحب را به داعی</w:t>
      </w:r>
    </w:p>
    <w:p>
      <w:pPr>
        <w:pStyle w:val="BookText"/>
        <w:rPr/>
      </w:pPr>
      <w:r>
        <w:rPr>
          <w:rFonts w:ascii="IRNazanin" w:hAnsi="IRNazanin" w:eastAsia="IRNazanin"/>
          <w:color w:val="111111"/>
          <w:sz w:val="28"/>
          <w:sz w:val="28"/>
          <w:szCs w:val="28"/>
          <w:rtl w:val="true"/>
          <w:lang w:bidi="fa-IR"/>
        </w:rPr>
        <w:t>وجوب و استحباب انجام دهد و از فعل قبیح، به خاطر زشتی آن دوری نماید</w:t>
      </w:r>
      <w:r>
        <w:rPr>
          <w:rFonts w:eastAsia="IRNazanin" w:cs="IRNazanin"/>
          <w:color w:val="111111"/>
          <w:sz w:val="28"/>
          <w:szCs w:val="28"/>
          <w:rtl w:val="true"/>
          <w:lang w:bidi="fa-IR"/>
        </w:rPr>
        <w:t>.</w:t>
      </w:r>
    </w:p>
    <w:p>
      <w:pPr>
        <w:pStyle w:val="Heading3"/>
        <w:numPr>
          <w:ilvl w:val="2"/>
          <w:numId w:val="1"/>
        </w:numPr>
        <w:rPr/>
      </w:pPr>
      <w:bookmarkStart w:id="511" w:name="__RefHeading___Toc7812472_3381743652"/>
      <w:bookmarkStart w:id="512" w:name="_Toc195"/>
      <w:bookmarkEnd w:id="511"/>
      <w:r>
        <w:rPr>
          <w:rtl w:val="true"/>
        </w:rPr>
        <w:t>اسباب و موجبات استحقاق ثواب</w:t>
      </w:r>
      <w:bookmarkEnd w:id="512"/>
    </w:p>
    <w:p>
      <w:pPr>
        <w:pStyle w:val="BookText"/>
        <w:rPr/>
      </w:pPr>
      <w:r>
        <w:rPr>
          <w:rFonts w:ascii="IRNazanin" w:hAnsi="IRNazanin" w:eastAsia="IRNazanin"/>
          <w:color w:val="111111"/>
          <w:sz w:val="28"/>
          <w:sz w:val="28"/>
          <w:szCs w:val="28"/>
          <w:rtl w:val="true"/>
          <w:lang w:bidi="fa-IR"/>
        </w:rPr>
        <w:t>آنچه موجب استحقاق مدح می شد، موجب استحقاق پاداش نیز می شود، اما بدان شرط که در انجام دادن آن فعل یا ترک آن یا به آنچه متصل به آن می شود، مشقت و دشواری باشد</w:t>
      </w:r>
      <w:r>
        <w:rPr>
          <w:rFonts w:eastAsia="IRNazanin" w:cs="IRNazanin"/>
          <w:color w:val="111111"/>
          <w:sz w:val="28"/>
          <w:szCs w:val="28"/>
          <w:rtl w:val="true"/>
          <w:lang w:bidi="fa-IR"/>
        </w:rPr>
        <w:t>.</w:t>
      </w:r>
      <w:r>
        <w:rPr>
          <w:rStyle w:val="FootnoteAnchor"/>
          <w:rtl w:val="true"/>
        </w:rPr>
        <w:footnoteReference w:id="65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که شیخ الطایفه در استحقاق پاداش، دشواری عمل را شرط می داند، این است که اگر در عمل، دشواری شرط نباشد، باید در انجام دادن لذات و منافع نیز فاعل، مستحق مدح و ثواب گردد و حال آن که چنین نیست</w:t>
      </w:r>
      <w:r>
        <w:rPr>
          <w:rFonts w:eastAsia="IRNazanin" w:cs="IRNazanin"/>
          <w:color w:val="111111"/>
          <w:sz w:val="28"/>
          <w:szCs w:val="28"/>
          <w:rtl w:val="true"/>
          <w:lang w:bidi="fa-IR"/>
        </w:rPr>
        <w:t xml:space="preserve">. </w:t>
      </w:r>
      <w:bookmarkStart w:id="513" w:name="pg14387_143774"/>
    </w:p>
    <w:p>
      <w:pPr>
        <w:pStyle w:val="BookText"/>
        <w:rPr/>
      </w:pPr>
      <w:bookmarkEnd w:id="513"/>
      <w:r>
        <w:rPr>
          <w:rFonts w:ascii="IRNazanin" w:hAnsi="IRNazanin" w:eastAsia="IRNazanin"/>
          <w:color w:val="111111"/>
          <w:sz w:val="28"/>
          <w:sz w:val="28"/>
          <w:szCs w:val="28"/>
          <w:rtl w:val="true"/>
          <w:lang w:bidi="fa-IR"/>
        </w:rPr>
        <w:t>دلیل دیگر این است که اگر دشواری عمل در استحقاق پاداش شرط نباشد، باید خداوند نیز با انجام دادن فعل واجب و تفضل نمودن و ترک قبیح، مستحق پاداش گردد و بطلان این سخن آشکار است</w:t>
      </w:r>
      <w:r>
        <w:rPr>
          <w:rFonts w:eastAsia="IRNazanin" w:cs="IRNazanin"/>
          <w:color w:val="111111"/>
          <w:sz w:val="28"/>
          <w:szCs w:val="28"/>
          <w:rtl w:val="true"/>
          <w:lang w:bidi="fa-IR"/>
        </w:rPr>
        <w:t>.</w:t>
      </w:r>
    </w:p>
    <w:p>
      <w:pPr>
        <w:pStyle w:val="Heading3"/>
        <w:numPr>
          <w:ilvl w:val="2"/>
          <w:numId w:val="1"/>
        </w:numPr>
        <w:rPr/>
      </w:pPr>
      <w:bookmarkStart w:id="514" w:name="__RefHeading___Toc7812474_3381743652"/>
      <w:bookmarkStart w:id="515" w:name="_Toc196"/>
      <w:bookmarkEnd w:id="514"/>
      <w:r>
        <w:rPr>
          <w:rtl w:val="true"/>
        </w:rPr>
        <w:t>آیا پاداش، استحقاقی است؟</w:t>
      </w:r>
      <w:bookmarkEnd w:id="515"/>
    </w:p>
    <w:p>
      <w:pPr>
        <w:pStyle w:val="BookText"/>
        <w:rPr/>
      </w:pPr>
      <w:r>
        <w:rPr>
          <w:rFonts w:ascii="IRNazanin" w:hAnsi="IRNazanin" w:eastAsia="IRNazanin"/>
          <w:color w:val="111111"/>
          <w:sz w:val="28"/>
          <w:sz w:val="28"/>
          <w:szCs w:val="28"/>
          <w:rtl w:val="true"/>
          <w:lang w:bidi="fa-IR"/>
        </w:rPr>
        <w:t>در این که پاداش، استحقاقی است یا تفضلی و نیز در این که استحقاق، عقلی است یا نه، میان متکلمان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پاداش را تفضلی می دانند، ولی معتزله و امامیه، پاداش را استحقاقی و به حکم عقل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برای استحقاقی بودن پاداش، به دو دلیل استدلال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نخست این است که از نظر عقل، فرقی میان الزام فعل دشوار و فرود آوردن ضرر وجود ندارد؛ یعنی همانگونه که فرود آوردن ضرر جز برای نفع غیر مستحق، حسنی ندارد، الزام بر فعل دشوار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فعل واجب و یا مستحب باید نفعی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پرسش مطرح می شود که این نفع چگونه نفعی و دارای چه شرایطی باشد؟</w:t>
      </w:r>
    </w:p>
    <w:p>
      <w:p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نفع از سه صورت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مدح است، یا عوض، یا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نفعی که انجام واجب در پی دارد، نمی تواند مدح یا عوض باشد؛ چه این که مدح به خودی خود، نفع نیست، بلکه نفع، آن سرور و فرحی است که مدح در پی دارد و آن سرور و فرح هم در حدی نیست که با دشواری عظیمی که در انجام واجب و دوری از قبایح لازم است، مقابله کند؛ چرا که سرور، باور داشتن رسیدن به منافعی در آینده است و پر واضح است که هرگاه چنین اوهامی از ذهنی دفع گردد، سروری تصور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عوض نیز نمی تواند جایگزین نفعی باشد که انجام فعل واجب در پی دارد؛ زیرا آنچه مکلف به واسطه طاعت شایستگی آن را می یابد، باید همراه با بزرگ داشتن و بزرگ وانمودن باشد؛ و حال آن که عوض از این دو امر، تهی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این است که آنچه در خور عوض می باشد، آن است که برابر با کاری باشد که از خود عوض دهنده سرزده است و در حقیقت، فعل خداوند است، در حالی که طاعت، فعلی است که از ما سرزده است و کار خداوند نیست</w:t>
      </w:r>
      <w:r>
        <w:rPr>
          <w:rFonts w:eastAsia="IRNazanin" w:cs="IRNazanin"/>
          <w:color w:val="111111"/>
          <w:sz w:val="28"/>
          <w:szCs w:val="28"/>
          <w:rtl w:val="true"/>
          <w:lang w:bidi="fa-IR"/>
        </w:rPr>
        <w:t xml:space="preserve">. </w:t>
      </w:r>
      <w:bookmarkStart w:id="516" w:name="pg14387_143775"/>
    </w:p>
    <w:p>
      <w:pPr>
        <w:pStyle w:val="BookText"/>
        <w:rPr/>
      </w:pPr>
      <w:bookmarkEnd w:id="516"/>
      <w:r>
        <w:rPr>
          <w:rFonts w:ascii="IRNazanin" w:hAnsi="IRNazanin" w:eastAsia="IRNazanin"/>
          <w:color w:val="111111"/>
          <w:sz w:val="28"/>
          <w:sz w:val="28"/>
          <w:szCs w:val="28"/>
          <w:rtl w:val="true"/>
          <w:lang w:bidi="fa-IR"/>
        </w:rPr>
        <w:t>پس تا این جا ثابت شد نفعی که انجام دادن فعل واجب یا مستحب در پی دارد، نمی تواند مدح و عوض باشد و باید نفعی باشد که همراه با بزرگ داشتن و بزرگ وانمودن است و چنین نفعی منحصر در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انجام دادن فعل واجب یا مستحب و روی برتافتن از افعال قبیح، عقلا استحقاق پاداش دارد</w:t>
      </w:r>
      <w:r>
        <w:rPr>
          <w:rFonts w:eastAsia="IRNazanin" w:cs="IRNazanin"/>
          <w:color w:val="111111"/>
          <w:sz w:val="28"/>
          <w:szCs w:val="28"/>
          <w:rtl w:val="true"/>
          <w:lang w:bidi="fa-IR"/>
        </w:rPr>
        <w:t>.</w:t>
      </w:r>
      <w:r>
        <w:rPr>
          <w:rStyle w:val="FootnoteAnchor"/>
          <w:rtl w:val="true"/>
        </w:rPr>
        <w:footnoteReference w:id="652"/>
      </w:r>
    </w:p>
    <w:p>
      <w:pPr>
        <w:pStyle w:val="Heading3"/>
        <w:numPr>
          <w:ilvl w:val="2"/>
          <w:numId w:val="1"/>
        </w:numPr>
        <w:rPr/>
      </w:pPr>
      <w:bookmarkStart w:id="517" w:name="__RefHeading___Toc7812476_3381743652"/>
      <w:bookmarkStart w:id="518" w:name="_Toc197"/>
      <w:bookmarkEnd w:id="517"/>
      <w:r>
        <w:rPr>
          <w:rtl w:val="true"/>
        </w:rPr>
        <w:t>دائمی بودن پاداش، عقلی است یا سمعی؟</w:t>
      </w:r>
      <w:bookmarkEnd w:id="518"/>
    </w:p>
    <w:p>
      <w:pPr>
        <w:pStyle w:val="BookText"/>
        <w:rPr/>
      </w:pPr>
      <w:r>
        <w:rPr>
          <w:rFonts w:ascii="IRNazanin" w:hAnsi="IRNazanin" w:eastAsia="IRNazanin"/>
          <w:color w:val="111111"/>
          <w:sz w:val="28"/>
          <w:sz w:val="28"/>
          <w:szCs w:val="28"/>
          <w:rtl w:val="true"/>
          <w:lang w:bidi="fa-IR"/>
        </w:rPr>
        <w:t>متکلمان در این مسئله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همیشگی بودن پاداش، عقلی است، ولی اشاعره و شیعه، دائمی بودن پاداش را نقلی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بر دوام ثواب و عقاب وجود ندارد و از دیدگاه عقل، همیشگی بودن و ناپایدار بودن پاداش، هر دو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بر همیشگی بودن پاداش وجود دارد، اتفاق و اجماع است</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برخی از متکلمان برای اثبات همیشگی بودن ثواب، به دلیل عقلی تمشک نموده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موجبات استحقاق پاداش و مدح،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مدح زایل گردد، پاداش هم زایل می گردد و اگر مدح همیشگی باشد، پاداش نیز همیشگی 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رد این استدلال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استحقاق پاداش و مدح، متحد نیست و چیزی که موجب استحقاق مدح می گردد، موجب استحقاق ثواب نخواهد شد؛ زیرا حق تعالی با انجام دادن کارهایی که در خور شأن خداوندی او می باشد، شایسته مدح می گردد، ولی سزاوار پاداش گرفتن نمی شود</w:t>
      </w:r>
      <w:r>
        <w:rPr>
          <w:rFonts w:eastAsia="IRNazanin" w:cs="IRNazanin"/>
          <w:color w:val="111111"/>
          <w:sz w:val="28"/>
          <w:szCs w:val="28"/>
          <w:rtl w:val="true"/>
          <w:lang w:bidi="fa-IR"/>
        </w:rPr>
        <w:t>.</w:t>
      </w:r>
      <w:r>
        <w:rPr>
          <w:rStyle w:val="FootnoteAnchor"/>
          <w:rtl w:val="true"/>
        </w:rPr>
        <w:footnoteReference w:id="65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بر رد این مدعا این است که اگر کسی فعل واجب را بدون دشواری انجام دهد، در عین حال که سزاوار مدح می گردد، مستحق پاداش نمی شود؛ چه این که در استحقاق پاداش، دشواری عمل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جهت استحقاق مدح و پاداش، دو چیز متفاوت است</w:t>
      </w:r>
      <w:r>
        <w:rPr>
          <w:rFonts w:eastAsia="IRNazanin" w:cs="IRNazanin"/>
          <w:color w:val="111111"/>
          <w:sz w:val="28"/>
          <w:szCs w:val="28"/>
          <w:rtl w:val="true"/>
          <w:lang w:bidi="fa-IR"/>
        </w:rPr>
        <w:t xml:space="preserve">. </w:t>
      </w:r>
      <w:bookmarkStart w:id="519" w:name="pg14387_143776"/>
    </w:p>
    <w:p>
      <w:pPr>
        <w:pStyle w:val="BookText"/>
        <w:rPr/>
      </w:pPr>
      <w:bookmarkEnd w:id="519"/>
      <w:r>
        <w:rPr>
          <w:rFonts w:ascii="IRNazanin" w:hAnsi="IRNazanin" w:eastAsia="IRNazanin"/>
          <w:color w:val="111111"/>
          <w:sz w:val="28"/>
          <w:sz w:val="28"/>
          <w:szCs w:val="28"/>
          <w:rtl w:val="true"/>
          <w:lang w:bidi="fa-IR"/>
        </w:rPr>
        <w:t>و اما سخن دیگر 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مدح را زایل کند، پاداش را نیز زایل خواهد کرد، مبتنی بر تحابط است و چون ما احباط را عقلا و نق نادرست می دانیم، این سخن آنها نیز باطل می گردد و در نتیجه اگر کسی سزاواری پاداش و کیفر و مدح را بیابد، استحقاق وی از میان نمی رود</w:t>
      </w:r>
      <w:r>
        <w:rPr>
          <w:rFonts w:eastAsia="IRNazanin" w:cs="IRNazanin"/>
          <w:color w:val="111111"/>
          <w:sz w:val="28"/>
          <w:szCs w:val="28"/>
          <w:rtl w:val="true"/>
          <w:lang w:bidi="fa-IR"/>
        </w:rPr>
        <w:t>.</w:t>
      </w:r>
    </w:p>
    <w:p>
      <w:pPr>
        <w:pStyle w:val="Heading3"/>
        <w:numPr>
          <w:ilvl w:val="2"/>
          <w:numId w:val="1"/>
        </w:numPr>
        <w:rPr/>
      </w:pPr>
      <w:bookmarkStart w:id="520" w:name="__RefHeading___Toc7812478_3381743652"/>
      <w:bookmarkStart w:id="521" w:name="_Toc198"/>
      <w:bookmarkEnd w:id="520"/>
      <w:r>
        <w:rPr>
          <w:rtl w:val="true"/>
        </w:rPr>
        <w:t xml:space="preserve">اسباب و موجبات استحقاق ذم </w:t>
      </w:r>
      <w:r>
        <w:rPr>
          <w:rtl w:val="true"/>
        </w:rPr>
        <w:t>(</w:t>
      </w:r>
      <w:r>
        <w:rPr>
          <w:rtl w:val="true"/>
        </w:rPr>
        <w:t>نکوهش کردن</w:t>
      </w:r>
      <w:r>
        <w:rPr>
          <w:rtl w:val="true"/>
        </w:rPr>
        <w:t>)</w:t>
      </w:r>
      <w:bookmarkEnd w:id="521"/>
    </w:p>
    <w:p>
      <w:pPr>
        <w:pStyle w:val="BookText"/>
        <w:rPr/>
      </w:pPr>
      <w:r>
        <w:rPr>
          <w:rFonts w:ascii="IRNazanin" w:hAnsi="IRNazanin" w:eastAsia="IRNazanin"/>
          <w:color w:val="111111"/>
          <w:sz w:val="28"/>
          <w:sz w:val="28"/>
          <w:szCs w:val="28"/>
          <w:rtl w:val="true"/>
          <w:lang w:bidi="fa-IR"/>
        </w:rPr>
        <w:t>از دیدگاه شیخ طوسی، تنها انجام فعل قبیح و فروگذاری فعل واجب سبب سرزنش کردن را فراهم می کند، اما انجام یا ترک سایر افعال؛ خواه مستحب باشد یا مکروه و یا مباح، باعث سرزنش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استحقاق مذمت این است که فاعل کار قبیح و تارک فعل واجب، به زشتی فعل قبیح و اخلال به واجب بودن آن آگاه باشد و دوری و اجتناب از این دو فعل برایش امکان 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متکلمان معتزلی چنین پنداشته اند که سبب استحقاق سرزنش، منحصر در انجام دادن کار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ادعا می کنند کسی که مخل به واجب است، از این رو مستحق مذمت می شود که تارک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خطای اینها اشتباه در تعریف واجب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عبارت است از چیزی که ترک آن قبیح است؛ در حالی که تعریف صحیح واجب این است که واجب چیزی است که فرو گذاری آن موجب استحقاق مذمت می گردد؛ زیرا قبح ترک، پیامد وجوب واجب است و اساس و پایه تکلیف، وجوب است، نه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حرمت را پایه تکلیف بدانیم و وجوب واجب را به قبح ترک برگردانیم، مستلزم دور خواهد شد؛ زیرا وجوب واجب بر قبح ترک متوقف می شود و از آن طرف، قبح ترک، متوقف به وجوب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بر سخن این جماعت وارد می شود، این است که در میان واجبات، واجبی وجود دارد که اصلا ترکی برای آن متصور نیست؛ مثلا فعل ذات باری تعالی با این که واجب است، ولی ترک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نادرستی آنچه این گروه در تعریف واجب گفته اند، آشکار گردید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 برای این که فروگذاری واجب سبب سزاواری سرزنش کردن می گردد، این </w:t>
      </w:r>
      <w:bookmarkStart w:id="522" w:name="pg14387_143777"/>
    </w:p>
    <w:p>
      <w:pPr>
        <w:pStyle w:val="BookText"/>
        <w:rPr/>
      </w:pPr>
      <w:bookmarkEnd w:id="522"/>
      <w:r>
        <w:rPr>
          <w:rFonts w:ascii="IRNazanin" w:hAnsi="IRNazanin" w:eastAsia="IRNazanin"/>
          <w:color w:val="111111"/>
          <w:sz w:val="28"/>
          <w:sz w:val="28"/>
          <w:szCs w:val="28"/>
          <w:rtl w:val="true"/>
          <w:lang w:bidi="fa-IR"/>
        </w:rPr>
        <w:t>است که خردمندان کسی را که توان انجام واجب داشته باشد و آن را انجام ندهد، مذمت می کنند؛ هر چند که آنها ندانند که چنین کسی فاعل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روشن می شود که فروگذاری واجب، همانند انجام قبیح، سبب استحقاق مذمت و حسن آن می گردد</w:t>
      </w:r>
      <w:r>
        <w:rPr>
          <w:rFonts w:eastAsia="IRNazanin" w:cs="IRNazanin"/>
          <w:color w:val="111111"/>
          <w:sz w:val="28"/>
          <w:szCs w:val="28"/>
          <w:rtl w:val="true"/>
          <w:lang w:bidi="fa-IR"/>
        </w:rPr>
        <w:t>.</w:t>
      </w:r>
      <w:r>
        <w:rPr>
          <w:rStyle w:val="FootnoteAnchor"/>
          <w:rtl w:val="true"/>
        </w:rPr>
        <w:footnoteReference w:id="655"/>
      </w:r>
    </w:p>
    <w:p>
      <w:pPr>
        <w:pStyle w:val="Heading3"/>
        <w:numPr>
          <w:ilvl w:val="2"/>
          <w:numId w:val="1"/>
        </w:numPr>
        <w:rPr/>
      </w:pPr>
      <w:bookmarkStart w:id="523" w:name="__RefHeading___Toc7812480_3381743652"/>
      <w:bookmarkStart w:id="524" w:name="_Toc199"/>
      <w:bookmarkEnd w:id="523"/>
      <w:r>
        <w:rPr>
          <w:rtl w:val="true"/>
        </w:rPr>
        <w:t>اسباب و موجبات استحقاق عقاب</w:t>
      </w:r>
      <w:bookmarkEnd w:id="524"/>
    </w:p>
    <w:p>
      <w:pPr>
        <w:pStyle w:val="BookText"/>
        <w:rPr/>
      </w:pPr>
      <w:r>
        <w:rPr>
          <w:rFonts w:ascii="IRNazanin" w:hAnsi="IRNazanin" w:eastAsia="IRNazanin"/>
          <w:color w:val="111111"/>
          <w:sz w:val="28"/>
          <w:sz w:val="28"/>
          <w:szCs w:val="28"/>
          <w:rtl w:val="true"/>
          <w:lang w:bidi="fa-IR"/>
        </w:rPr>
        <w:t>همان دو چیزی که سبب استحقاق سرزنش می شد، موجب استحقاق کیفر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استحقاق کیفر،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 قبیح و مخل به واجب، فعل و ترک را برای مصلحت و منفعتی که در آن دو چیز است، برگزیده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تعالی بر فرضی هم که فاعل قبیح و فروگذار واجب باشد، کیفر درباره او معنی ندارد؛ چرا که هیچ امری را برای مصلحت و منفعت خود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قبیح و مخل به واجب، عالم به وجوب واجب و قبح قبیح باشد و یا توان علم به آن دو را داشته باشد</w:t>
      </w:r>
      <w:r>
        <w:rPr>
          <w:rFonts w:eastAsia="IRNazanin" w:cs="IRNazanin"/>
          <w:color w:val="111111"/>
          <w:sz w:val="28"/>
          <w:szCs w:val="28"/>
          <w:rtl w:val="true"/>
          <w:lang w:bidi="fa-IR"/>
        </w:rPr>
        <w:t>.</w:t>
      </w:r>
    </w:p>
    <w:p>
      <w:pPr>
        <w:pStyle w:val="Heading3"/>
        <w:numPr>
          <w:ilvl w:val="2"/>
          <w:numId w:val="1"/>
        </w:numPr>
        <w:rPr/>
      </w:pPr>
      <w:bookmarkStart w:id="525" w:name="__RefHeading___Toc7812482_3381743652"/>
      <w:bookmarkStart w:id="526" w:name="_Toc200"/>
      <w:bookmarkEnd w:id="525"/>
      <w:r>
        <w:rPr>
          <w:rtl w:val="true"/>
        </w:rPr>
        <w:t>عقلی بودن و سمعی بودن وجوب کیفر</w:t>
      </w:r>
      <w:bookmarkEnd w:id="526"/>
    </w:p>
    <w:p>
      <w:pPr>
        <w:pStyle w:val="BookText"/>
        <w:rPr/>
      </w:pPr>
      <w:r>
        <w:rPr>
          <w:rFonts w:ascii="IRNazanin" w:hAnsi="IRNazanin" w:eastAsia="IRNazanin"/>
          <w:color w:val="111111"/>
          <w:sz w:val="28"/>
          <w:sz w:val="28"/>
          <w:szCs w:val="28"/>
          <w:rtl w:val="true"/>
          <w:lang w:bidi="fa-IR"/>
        </w:rPr>
        <w:t>همانگونه که در استحقاق پاداش میان متکلمان اختلاف بود، در وجوب کیفر نیز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بر این باورند که علم به استحقاق کیفر، عقلی است، ولی امامیه و مرجئه می گویند که استحقاق کیفر از راه نقل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را در دلالت بر استحقاق کیفر، راهی نیست و دلیل بر این سخن، نقل و اجماع است و تنها از راه اتفاق مسلمانان به علم به کیفر دست می یابیم</w:t>
      </w:r>
      <w:r>
        <w:rPr>
          <w:rFonts w:eastAsia="IRNazanin" w:cs="IRNazanin"/>
          <w:color w:val="111111"/>
          <w:sz w:val="28"/>
          <w:szCs w:val="28"/>
          <w:rtl w:val="true"/>
          <w:lang w:bidi="fa-IR"/>
        </w:rPr>
        <w:t>.</w:t>
      </w:r>
      <w:r>
        <w:rPr>
          <w:rStyle w:val="FootnoteAnchor"/>
          <w:rtl w:val="true"/>
        </w:rPr>
        <w:footnoteReference w:id="656"/>
      </w:r>
    </w:p>
    <w:p>
      <w:pPr>
        <w:pStyle w:val="Heading3"/>
        <w:numPr>
          <w:ilvl w:val="2"/>
          <w:numId w:val="1"/>
        </w:numPr>
        <w:rPr/>
      </w:pPr>
      <w:bookmarkStart w:id="527" w:name="__RefHeading___Toc7812484_3381743652"/>
      <w:bookmarkStart w:id="528" w:name="_Toc201"/>
      <w:bookmarkEnd w:id="527"/>
      <w:r>
        <w:rPr>
          <w:rtl w:val="true"/>
        </w:rPr>
        <w:t>ادله معتزله بر عقلی بودن استحقاق کیفر</w:t>
      </w:r>
      <w:bookmarkEnd w:id="52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جماعت برای اثبات مدعای خود چنین استدلال نموده اند که نفع به تنهایی برای حسن ایجاب واجب،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ایجاب واجب، مؤثر است، همان ضرری است که چشم پوشی از واجب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با این که انجام دادن </w:t>
      </w:r>
      <w:bookmarkStart w:id="529" w:name="pg14387_143778"/>
    </w:p>
    <w:p>
      <w:pPr>
        <w:pStyle w:val="BookText"/>
        <w:rPr/>
      </w:pPr>
      <w:bookmarkEnd w:id="529"/>
      <w:r>
        <w:rPr>
          <w:rFonts w:ascii="IRNazanin" w:hAnsi="IRNazanin" w:eastAsia="IRNazanin"/>
          <w:color w:val="111111"/>
          <w:sz w:val="28"/>
          <w:sz w:val="28"/>
          <w:szCs w:val="28"/>
          <w:rtl w:val="true"/>
          <w:lang w:bidi="fa-IR"/>
        </w:rPr>
        <w:t>مستحبات نفع دارد، چون رها کردن آن ضرری ندارد، ایجاب آن، حسن ندارد؛ همچنان که در مکاسب و تجارت نیز نفع تنها موجب ایجاب آن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فاعل قبیح و فروگذار واجب، مستحق ضرر است و آن ضرر، همان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الطایفه در پاسخ این استدلال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حسن ایجاب واجبات، وجوب کارهای واجب است؛ چون در این کارها ویژگی و مصلحت وجود دارد، باعث شده که چنین کارهایی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دشوار بودن فعل واجب، به این دلیل شرط شده است که در مقابل آن،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وجه حسن نداشتن ایجاب نوافل این است که در نوافل، آن ویژگی و مصلحتی که در واجبات بود، وجود ندارد؛ همان طور که مکاسب و تجارت نیز وجه وجوب ندارد و به همین دلیل، ایجاب آن حسن ندارد</w:t>
      </w:r>
      <w:r>
        <w:rPr>
          <w:rFonts w:eastAsia="IRNazanin" w:cs="IRNazanin"/>
          <w:color w:val="111111"/>
          <w:sz w:val="28"/>
          <w:szCs w:val="28"/>
          <w:rtl w:val="true"/>
          <w:lang w:bidi="fa-IR"/>
        </w:rPr>
        <w:t>.</w:t>
      </w:r>
    </w:p>
    <w:p>
      <w:pPr>
        <w:pStyle w:val="Heading3"/>
        <w:numPr>
          <w:ilvl w:val="2"/>
          <w:numId w:val="1"/>
        </w:numPr>
        <w:rPr/>
      </w:pPr>
      <w:bookmarkStart w:id="530" w:name="__RefHeading___Toc7812486_3381743652"/>
      <w:bookmarkStart w:id="531" w:name="_Toc202"/>
      <w:bookmarkEnd w:id="530"/>
      <w:r>
        <w:rPr>
          <w:rtl w:val="true"/>
        </w:rPr>
        <w:t>آیا دادن پاداش وکیفر از آن خداوند است؟</w:t>
      </w:r>
      <w:bookmarkEnd w:id="531"/>
    </w:p>
    <w:p>
      <w:pPr>
        <w:pStyle w:val="BookText"/>
        <w:rPr/>
      </w:pPr>
      <w:r>
        <w:rPr>
          <w:rFonts w:ascii="IRNazanin" w:hAnsi="IRNazanin" w:eastAsia="IRNazanin"/>
          <w:color w:val="111111"/>
          <w:sz w:val="28"/>
          <w:sz w:val="28"/>
          <w:szCs w:val="28"/>
          <w:rtl w:val="true"/>
          <w:lang w:bidi="fa-IR"/>
        </w:rPr>
        <w:t>رأی شیخ در این مسئله این است که پاداش و کیفر از آن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دادن پاداش، به این دلیل حق خداوند است که وادار کننده انجام فعل واجب حق تعالی می باشد و اوست که انجام دادن واجبات را دشوار گردانیده، پس باید استحقاق دادن پاداش، به</w:t>
      </w:r>
    </w:p>
    <w:p>
      <w:pPr>
        <w:pStyle w:val="BookText"/>
        <w:rPr/>
      </w:pPr>
      <w:r>
        <w:rPr>
          <w:rFonts w:ascii="IRNazanin" w:hAnsi="IRNazanin" w:eastAsia="IRNazanin"/>
          <w:color w:val="111111"/>
          <w:sz w:val="28"/>
          <w:sz w:val="28"/>
          <w:szCs w:val="28"/>
          <w:rtl w:val="true"/>
          <w:lang w:bidi="fa-IR"/>
        </w:rPr>
        <w:t>خود او اختصاص یابد، نه جز او</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همان طور که دادن پاداش، حق خداوند می باشد، اتفاق است که کیفر نیز حق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که بر درستی این گفتار وجود دارد، این است که اصولا خرد آدمی، راهی به سزاواری کیفر ندارد؛ با این وجود، چگونه می تواند علم یابد که کیفر از آن چه</w:t>
      </w:r>
    </w:p>
    <w:p>
      <w:pPr>
        <w:pStyle w:val="BookText"/>
        <w:rPr/>
      </w:pPr>
      <w:r>
        <w:rPr>
          <w:rFonts w:ascii="IRNazanin" w:hAnsi="IRNazanin" w:eastAsia="IRNazanin"/>
          <w:color w:val="111111"/>
          <w:sz w:val="28"/>
          <w:sz w:val="28"/>
          <w:szCs w:val="28"/>
          <w:rtl w:val="true"/>
          <w:lang w:bidi="fa-IR"/>
        </w:rPr>
        <w:t>کسی است؟ پس با دلیل نقلی ثابت شد که دادن پاداش و کیفر، هر دو از آن خداوند است</w:t>
      </w:r>
      <w:r>
        <w:rPr>
          <w:rFonts w:eastAsia="IRNazanin" w:cs="IRNazanin"/>
          <w:color w:val="111111"/>
          <w:sz w:val="28"/>
          <w:szCs w:val="28"/>
          <w:rtl w:val="true"/>
          <w:lang w:bidi="fa-IR"/>
        </w:rPr>
        <w:t xml:space="preserve">. </w:t>
      </w:r>
      <w:r>
        <w:rPr>
          <w:rStyle w:val="FootnoteAnchor"/>
          <w:rtl w:val="true"/>
        </w:rPr>
        <w:footnoteReference w:id="658"/>
      </w:r>
    </w:p>
    <w:p>
      <w:pPr>
        <w:pStyle w:val="Heading3"/>
        <w:numPr>
          <w:ilvl w:val="2"/>
          <w:numId w:val="1"/>
        </w:numPr>
        <w:rPr/>
      </w:pPr>
      <w:bookmarkStart w:id="532" w:name="__RefHeading___Toc7812488_3381743652"/>
      <w:bookmarkStart w:id="533" w:name="_Toc203"/>
      <w:bookmarkEnd w:id="532"/>
      <w:r>
        <w:rPr>
          <w:rtl w:val="true"/>
        </w:rPr>
        <w:t>اقوال در وجوب و عدم وجوب وفای به وعد و وعید</w:t>
      </w:r>
      <w:bookmarkEnd w:id="533"/>
    </w:p>
    <w:p>
      <w:pPr>
        <w:pStyle w:val="BookText"/>
        <w:rPr/>
      </w:pPr>
      <w:r>
        <w:rPr>
          <w:rFonts w:ascii="IRNazanin" w:hAnsi="IRNazanin" w:eastAsia="IRNazanin"/>
          <w:color w:val="111111"/>
          <w:sz w:val="28"/>
          <w:sz w:val="28"/>
          <w:szCs w:val="28"/>
          <w:rtl w:val="true"/>
          <w:lang w:bidi="fa-IR"/>
        </w:rPr>
        <w:t>به طور کلی در وجوب و عدم وجوب وفای به وعد و وعید، سه احتمال متصور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هر دو</w:t>
      </w:r>
      <w:r>
        <w:rPr>
          <w:rFonts w:eastAsia="IRNazanin" w:cs="IRNazanin"/>
          <w:color w:val="111111"/>
          <w:sz w:val="28"/>
          <w:szCs w:val="28"/>
          <w:rtl w:val="true"/>
          <w:lang w:bidi="fa-IR"/>
        </w:rPr>
        <w:t xml:space="preserve">. </w:t>
      </w:r>
      <w:bookmarkStart w:id="534" w:name="pg14387_143779"/>
    </w:p>
    <w:p>
      <w:pPr>
        <w:pStyle w:val="BookText"/>
        <w:rPr/>
      </w:pPr>
      <w:bookmarkEnd w:id="534"/>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وفای به وعد و وعید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وفای به وعد و عدم وجوب وفای به وعید</w:t>
      </w:r>
      <w:r>
        <w:rPr>
          <w:rFonts w:eastAsia="IRNazanin" w:cs="IRNazanin"/>
          <w:color w:val="111111"/>
          <w:sz w:val="28"/>
          <w:szCs w:val="28"/>
          <w:rtl w:val="true"/>
          <w:lang w:bidi="fa-IR"/>
        </w:rPr>
        <w:t>.</w:t>
      </w:r>
    </w:p>
    <w:p>
      <w:pPr>
        <w:pStyle w:val="Heading3"/>
        <w:numPr>
          <w:ilvl w:val="2"/>
          <w:numId w:val="1"/>
        </w:numPr>
        <w:rPr/>
      </w:pPr>
      <w:bookmarkStart w:id="535" w:name="__RefHeading___Toc7812490_3381743652"/>
      <w:bookmarkStart w:id="536" w:name="_Toc204"/>
      <w:bookmarkEnd w:id="535"/>
      <w:r>
        <w:rPr>
          <w:rtl w:val="true"/>
        </w:rPr>
        <w:t>دیدگاه اشاعره</w:t>
      </w:r>
      <w:bookmarkEnd w:id="536"/>
    </w:p>
    <w:p>
      <w:pPr>
        <w:pStyle w:val="BookText"/>
        <w:rPr/>
      </w:pPr>
      <w:r>
        <w:rPr>
          <w:rFonts w:ascii="IRNazanin" w:hAnsi="IRNazanin" w:eastAsia="IRNazanin"/>
          <w:color w:val="111111"/>
          <w:sz w:val="28"/>
          <w:sz w:val="28"/>
          <w:szCs w:val="28"/>
          <w:rtl w:val="true"/>
          <w:lang w:bidi="fa-IR"/>
        </w:rPr>
        <w:t>این گروه، همان طور که هیچ چیز دیگری را بر خداوند واجب نمی دانند، وفای به وعد را نیز بر خداوند واجب نمی دانند، اما در عین حال، خلف وعد را بر خداوند روا نمی دارند؛ چه این که خلف وعد، نقصی بر خداوند است و حق تعالی از هر گونه نقصی پاک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درباره وجوب وعید بر این باورند که چون وعید، حق خداوند بر بندگان است، خداوند هم می تواند از حقش بگذرد و هم می تواند حق خود را بستاند، ولی شایسته پروردگار، عفو و بخشش می باشد؛ چرا که حق تعالی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خلف در وعید، نقصی بر خداوند به حساب نمی آید و عمل نکردن به وعید، فضل و کرم است که اسناد آن به حق تعالی روا می باشد</w:t>
      </w:r>
      <w:r>
        <w:rPr>
          <w:rFonts w:eastAsia="IRNazanin" w:cs="IRNazanin"/>
          <w:color w:val="111111"/>
          <w:sz w:val="28"/>
          <w:szCs w:val="28"/>
          <w:rtl w:val="true"/>
          <w:lang w:bidi="fa-IR"/>
        </w:rPr>
        <w:t>.</w:t>
      </w:r>
      <w:r>
        <w:rPr>
          <w:rStyle w:val="FootnoteAnchor"/>
          <w:rtl w:val="true"/>
        </w:rPr>
        <w:footnoteReference w:id="659"/>
      </w:r>
    </w:p>
    <w:p>
      <w:pPr>
        <w:pStyle w:val="Heading3"/>
        <w:numPr>
          <w:ilvl w:val="2"/>
          <w:numId w:val="1"/>
        </w:numPr>
        <w:rPr/>
      </w:pPr>
      <w:bookmarkStart w:id="537" w:name="__RefHeading___Toc7812492_3381743652"/>
      <w:bookmarkStart w:id="538" w:name="_Toc205"/>
      <w:bookmarkEnd w:id="537"/>
      <w:r>
        <w:rPr>
          <w:rtl w:val="true"/>
        </w:rPr>
        <w:t>دیدگاه معتزله</w:t>
      </w:r>
      <w:bookmarkEnd w:id="538"/>
    </w:p>
    <w:p>
      <w:pPr>
        <w:pStyle w:val="BookText"/>
        <w:rPr/>
      </w:pPr>
      <w:r>
        <w:rPr>
          <w:rFonts w:ascii="IRNazanin" w:hAnsi="IRNazanin" w:eastAsia="IRNazanin"/>
          <w:color w:val="111111"/>
          <w:sz w:val="28"/>
          <w:sz w:val="28"/>
          <w:szCs w:val="28"/>
          <w:rtl w:val="true"/>
          <w:lang w:bidi="fa-IR"/>
        </w:rPr>
        <w:t>این گروه بر این باورند که وفای به وعد و وعید، هر دو بر خداوند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خداوند لازم می دانند که گنهکاران را عذاب کند و مطیعان را طبق آنچه نوید داده، پاداش دهد و این را جزو اصول مکتب خود قرار داده 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که از بزرگان مکتب اعتزال است، راجع به مخالفان این اصل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این اصل را از ریشه انکار می کنند و بر این باورند که اصولا خداوند مطیعان را وعده به ثواب و گنهکاران را بیم به عقاب نداده، کافرند؛ زیرا اینان ضروریات دین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کسانی را که اصل وعد و وعید را قبول دارند، ولی وفای به وعید را واجب نمی دانند و خلف در وعید را بر خداوند جایز می دانند نیز به این سبب که آنها </w:t>
      </w:r>
      <w:bookmarkStart w:id="539" w:name="pg14387_143780"/>
    </w:p>
    <w:p>
      <w:pPr>
        <w:pStyle w:val="BookText"/>
        <w:rPr/>
      </w:pPr>
      <w:bookmarkEnd w:id="539"/>
      <w:r>
        <w:rPr>
          <w:rFonts w:ascii="IRNazanin" w:hAnsi="IRNazanin" w:eastAsia="IRNazanin"/>
          <w:color w:val="111111"/>
          <w:sz w:val="28"/>
          <w:sz w:val="28"/>
          <w:szCs w:val="28"/>
          <w:rtl w:val="true"/>
          <w:lang w:bidi="fa-IR"/>
        </w:rPr>
        <w:t>قبیحی را به خداوند نسبت می دهند، کافر می شمارد، ولی افرادی را که خلف به وعده و وعید را جایز نمی دانند و میگویند که ممکن است در عمومات وعید، شرط یا استثنایی وجود داشته باشد که خداوند آن را بیان نکرده باشد، مخطئ محسوب می کند</w:t>
      </w:r>
      <w:r>
        <w:rPr>
          <w:rFonts w:eastAsia="IRNazanin" w:cs="IRNazanin"/>
          <w:color w:val="111111"/>
          <w:sz w:val="28"/>
          <w:szCs w:val="28"/>
          <w:rtl w:val="true"/>
          <w:lang w:bidi="fa-IR"/>
        </w:rPr>
        <w:t>.</w:t>
      </w:r>
      <w:r>
        <w:rPr>
          <w:rStyle w:val="FootnoteAnchor"/>
          <w:rtl w:val="true"/>
        </w:rPr>
        <w:footnoteReference w:id="660"/>
      </w:r>
    </w:p>
    <w:p>
      <w:pPr>
        <w:pStyle w:val="Heading3"/>
        <w:numPr>
          <w:ilvl w:val="2"/>
          <w:numId w:val="1"/>
        </w:numPr>
        <w:rPr/>
      </w:pPr>
      <w:bookmarkStart w:id="540" w:name="__RefHeading___Toc7812494_3381743652"/>
      <w:bookmarkStart w:id="541" w:name="_Toc206"/>
      <w:bookmarkEnd w:id="540"/>
      <w:r>
        <w:rPr>
          <w:rtl w:val="true"/>
        </w:rPr>
        <w:t>ادله معتزله بر وجوب وفای به وعد و وعید بر خداوند</w:t>
      </w:r>
      <w:bookmarkEnd w:id="541"/>
    </w:p>
    <w:p>
      <w:pPr>
        <w:pStyle w:val="BookText"/>
        <w:rPr/>
      </w:pPr>
      <w:r>
        <w:rPr>
          <w:rFonts w:ascii="IRNazanin" w:hAnsi="IRNazanin" w:eastAsia="IRNazanin"/>
          <w:color w:val="111111"/>
          <w:sz w:val="28"/>
          <w:sz w:val="28"/>
          <w:szCs w:val="28"/>
          <w:rtl w:val="true"/>
          <w:lang w:bidi="fa-IR"/>
        </w:rPr>
        <w:t>دلیل آنان برای این مدعا این است که اگر وفای به وعد و وعید بر خداوند واجب نباشد، بر او خلف وعده و دروغ در آنچه بیم و نوید داده است،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مردم بدانند که خداوند از گنهکاران گذشت می کند و آنان را عذاب نخواهد کرد، انگیزه های اطاعت و امتثال از نفوس آنها رخت بر می بندد و بطلان هر دو امر، آشکار است</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به این گفتار پاسخ داده شده است که عدم وفای خداوند به آنچه بر آن بیم داده، از نظر عقلا خلف وعده نیست، بلکه امری پسندیده است و این امر در شمار عفو و احسان است که هر دو از حقوق و برازنده خداوند و از صفات ثابت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غفور و رحیم معرفی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را نمی آمرزد و گناه غیر از آن را از هر کدام از بندگان خود که بخواهد، می بخشد</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و اگر هم فرض کنیم که این امر در شمار خلف وعده باشد، بی گمان هر خلف وعدهای قبیح نیست؛ زیرا این نوع خلف وعده از دیدگاه خردمندان و همگی مردمان، جز معتزله، پسندیده و مستحسن است</w:t>
      </w:r>
      <w:r>
        <w:rPr>
          <w:rFonts w:eastAsia="IRNazanin" w:cs="IRNazanin"/>
          <w:color w:val="111111"/>
          <w:sz w:val="28"/>
          <w:szCs w:val="28"/>
          <w:rtl w:val="true"/>
          <w:lang w:bidi="fa-IR"/>
        </w:rPr>
        <w:t>.</w:t>
      </w:r>
      <w:r>
        <w:rPr>
          <w:rStyle w:val="FootnoteAnchor"/>
          <w:rtl w:val="true"/>
        </w:rPr>
        <w:footnoteReference w:id="663"/>
      </w:r>
    </w:p>
    <w:p>
      <w:pPr>
        <w:pStyle w:val="Heading3"/>
        <w:numPr>
          <w:ilvl w:val="2"/>
          <w:numId w:val="1"/>
        </w:numPr>
        <w:rPr/>
      </w:pPr>
      <w:bookmarkStart w:id="542" w:name="__RefHeading___Toc7812496_3381743652"/>
      <w:bookmarkStart w:id="543" w:name="_Toc207"/>
      <w:bookmarkEnd w:id="542"/>
      <w:r>
        <w:rPr>
          <w:rtl w:val="true"/>
        </w:rPr>
        <w:t>ظریه امامیه در وفای به وعد و وعید</w:t>
      </w:r>
      <w:bookmarkEnd w:id="543"/>
    </w:p>
    <w:p>
      <w:pPr>
        <w:pStyle w:val="BookText"/>
        <w:rPr/>
      </w:pPr>
      <w:r>
        <w:rPr>
          <w:rFonts w:ascii="IRNazanin" w:hAnsi="IRNazanin" w:eastAsia="IRNazanin"/>
          <w:color w:val="111111"/>
          <w:sz w:val="28"/>
          <w:sz w:val="28"/>
          <w:szCs w:val="28"/>
          <w:rtl w:val="true"/>
          <w:lang w:bidi="fa-IR"/>
        </w:rPr>
        <w:t>امامیه میان وجوب وفای به وعد و وفای به وعید، به تفصیل قائل شده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واجب است به آنچه وعده داده،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وفای بر آنچه بیم داده،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بودن وعده خداوند و نفی خلف وعد از او دو مسئله ای است که علاوه بر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قرآنی، دلیل عقلی نیز بر این دو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نخست به توضیح معنای حق بودن وعده خداوند و اثبات آن می پردازیم و سپس ادله نفی خلف وعده حق تعالی را ذکر خواهیم کرد</w:t>
      </w:r>
      <w:r>
        <w:rPr>
          <w:rFonts w:eastAsia="IRNazanin" w:cs="IRNazanin"/>
          <w:color w:val="111111"/>
          <w:sz w:val="28"/>
          <w:szCs w:val="28"/>
          <w:rtl w:val="true"/>
          <w:lang w:bidi="fa-IR"/>
        </w:rPr>
        <w:t xml:space="preserve">. </w:t>
      </w:r>
      <w:bookmarkStart w:id="544" w:name="pg14387_143781"/>
    </w:p>
    <w:p>
      <w:pPr>
        <w:pStyle w:val="Heading3"/>
        <w:numPr>
          <w:ilvl w:val="2"/>
          <w:numId w:val="1"/>
        </w:numPr>
        <w:rPr/>
      </w:pPr>
      <w:bookmarkStart w:id="545" w:name="__RefHeading___Toc7812498_3381743652"/>
      <w:bookmarkStart w:id="546" w:name="_Toc208"/>
      <w:bookmarkEnd w:id="544"/>
      <w:bookmarkEnd w:id="545"/>
      <w:r>
        <w:rPr>
          <w:rtl w:val="true"/>
        </w:rPr>
        <w:t>معنای حق بودن وعده خداوند</w:t>
      </w:r>
      <w:bookmarkEnd w:id="546"/>
    </w:p>
    <w:p>
      <w:pPr>
        <w:pStyle w:val="BookText"/>
        <w:rPr/>
      </w:pPr>
      <w:r>
        <w:rPr>
          <w:rFonts w:ascii="IRNazanin" w:hAnsi="IRNazanin" w:eastAsia="IRNazanin"/>
          <w:color w:val="111111"/>
          <w:sz w:val="28"/>
          <w:sz w:val="28"/>
          <w:szCs w:val="28"/>
          <w:rtl w:val="true"/>
          <w:lang w:bidi="fa-IR"/>
        </w:rPr>
        <w:t>اگر با نظر ژرف در ملک طلق و حقیقی خدای تعالی نظر بیفکنیم، به این حقیقت علم پیدا می کنیم که وعده خداوند، وعده حق است؛ یعنی آمیخته به باطل نیست؛ چرا که ملک و سلطنت و اراده خداوند که مالک خلق خویش است، به این معنی است که هستی هر موجودی، قائم به وجود او و تکون یافته به امر اوست و هر تصرفی که او در خلق خود می کند، تصرفی است که از پیش خود می کند، نه به خاطر اقتضای امر خارج از ذات خود؛ چون هیچ موجودی دارای اقتضایی که خارج از ذات خدای تعالی باشد و او را وادار به تصرفی کند،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اثری به طور مستقیم و مستقل، منسوب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ممکن است چیزی از مشیت او تخلف کند و به غیر او برگشت نماید، با این که در این میان، غیری نیست؟</w:t>
      </w:r>
    </w:p>
    <w:p>
      <w:pPr>
        <w:pStyle w:val="BookText"/>
        <w:rPr/>
      </w:pPr>
      <w:r>
        <w:rPr>
          <w:rFonts w:ascii="IRNazanin" w:hAnsi="IRNazanin" w:eastAsia="IRNazanin"/>
          <w:color w:val="111111"/>
          <w:sz w:val="28"/>
          <w:sz w:val="28"/>
          <w:szCs w:val="28"/>
          <w:rtl w:val="true"/>
          <w:lang w:bidi="fa-IR"/>
        </w:rPr>
        <w:t>و از جانب دیگر، قول خدای تعالی همان فعل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کاری که او می کند، به خودی خود بر مقصود او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ممکن است که در قول او دروغ راه یابد؟ قول او متن عالم خارج است و عین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عالم، قول اوست که هیچ جای آن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خطا مختص به مفاهیم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چگونه ممکن است وعده او باطل باشد با این که وعده او عبارت است از همان عملی که او با ما خواهد کرد و از آن جا که خدای تعالی کلیه اسباب را به سوی آن وعده متوجه ساخته، غایب نیست و تخلف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دقت نظر در معنای ملک خدای تعالی، روشن شد که لازمه چنین مالکیتی این است که وعده او، حق و غیر قابل تردید باشد</w:t>
      </w:r>
      <w:r>
        <w:rPr>
          <w:rFonts w:eastAsia="IRNazanin" w:cs="IRNazanin"/>
          <w:color w:val="111111"/>
          <w:sz w:val="28"/>
          <w:szCs w:val="28"/>
          <w:rtl w:val="true"/>
          <w:lang w:bidi="fa-IR"/>
        </w:rPr>
        <w:t>.</w:t>
      </w:r>
      <w:r>
        <w:rPr>
          <w:rStyle w:val="FootnoteAnchor"/>
          <w:rtl w:val="true"/>
        </w:rPr>
        <w:footnoteReference w:id="664"/>
      </w:r>
    </w:p>
    <w:p>
      <w:pPr>
        <w:pStyle w:val="Heading3"/>
        <w:numPr>
          <w:ilvl w:val="2"/>
          <w:numId w:val="1"/>
        </w:numPr>
        <w:rPr/>
      </w:pPr>
      <w:bookmarkStart w:id="547" w:name="__RefHeading___Toc7812500_3381743652"/>
      <w:bookmarkStart w:id="548" w:name="_Toc209"/>
      <w:bookmarkEnd w:id="547"/>
      <w:r>
        <w:rPr>
          <w:rtl w:val="true"/>
        </w:rPr>
        <w:t>نفی خلف وعد از خداوند</w:t>
      </w:r>
      <w:bookmarkEnd w:id="54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خلف وعد نکردن خدای تعالی در دو آیه از آیات قرآن مطرح شده است که به کلی خلف وعده را از خداوند نفی می کند</w:t>
      </w:r>
      <w:r>
        <w:rPr>
          <w:rStyle w:val="FootnoteAnchor"/>
          <w:rtl w:val="true"/>
        </w:rPr>
        <w:footnoteReference w:id="665"/>
      </w:r>
      <w:r>
        <w:rPr>
          <w:rFonts w:ascii="IRNazanin" w:hAnsi="IRNazanin" w:eastAsia="IRNazanin"/>
          <w:color w:val="111111"/>
          <w:sz w:val="28"/>
          <w:sz w:val="28"/>
          <w:szCs w:val="28"/>
          <w:rtl w:val="true"/>
          <w:lang w:bidi="fa-IR"/>
        </w:rPr>
        <w:t xml:space="preserve">و خلف وعده، هر چند در پاره ای اوقات از قبیل موارد اضطراری، عملی پسندیده می شود و به همین جهت می توان گفت که قبح آن </w:t>
      </w:r>
      <w:bookmarkStart w:id="549" w:name="pg14387_143782"/>
    </w:p>
    <w:p>
      <w:pPr>
        <w:pStyle w:val="BookText"/>
        <w:rPr/>
      </w:pPr>
      <w:bookmarkEnd w:id="549"/>
      <w:r>
        <w:rPr>
          <w:rFonts w:ascii="IRNazanin" w:hAnsi="IRNazanin" w:eastAsia="IRNazanin"/>
          <w:color w:val="111111"/>
          <w:sz w:val="28"/>
          <w:sz w:val="28"/>
          <w:szCs w:val="28"/>
          <w:rtl w:val="true"/>
          <w:lang w:bidi="fa-IR"/>
        </w:rPr>
        <w:t>ذاتی نیست، و لیکن از آن جا که هیچ عاملی خدا را مضطر به خلف وعده نمی کند، پس خلف وعده در حق او همیشه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خلف، ملازم با کمبود است و خدا کاملی است که کمبود درباره او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 که بگذریم، خداوند در آیاتی</w:t>
      </w:r>
      <w:r>
        <w:rPr>
          <w:rStyle w:val="FootnoteAnchor"/>
          <w:rtl w:val="true"/>
        </w:rPr>
        <w:footnoteReference w:id="666"/>
      </w:r>
      <w:r>
        <w:rPr>
          <w:rFonts w:ascii="IRNazanin" w:hAnsi="IRNazanin" w:eastAsia="IRNazanin"/>
          <w:color w:val="111111"/>
          <w:sz w:val="28"/>
          <w:sz w:val="28"/>
          <w:szCs w:val="28"/>
          <w:rtl w:val="true"/>
          <w:lang w:bidi="fa-IR"/>
        </w:rPr>
        <w:t>از کلام الله مجید خبر داده که خلف وعده نمی کند و او راستگوترین راستگویان است</w:t>
      </w:r>
      <w:r>
        <w:rPr>
          <w:rFonts w:eastAsia="IRNazanin" w:cs="IRNazanin"/>
          <w:color w:val="111111"/>
          <w:sz w:val="28"/>
          <w:szCs w:val="28"/>
          <w:rtl w:val="true"/>
          <w:lang w:bidi="fa-IR"/>
        </w:rPr>
        <w:t>.</w:t>
      </w:r>
      <w:r>
        <w:rPr>
          <w:rStyle w:val="FootnoteAnchor"/>
          <w:rtl w:val="true"/>
        </w:rPr>
        <w:footnoteReference w:id="667"/>
      </w:r>
    </w:p>
    <w:p>
      <w:pPr>
        <w:pStyle w:val="Heading3"/>
        <w:numPr>
          <w:ilvl w:val="2"/>
          <w:numId w:val="1"/>
        </w:numPr>
        <w:rPr/>
      </w:pPr>
      <w:bookmarkStart w:id="550" w:name="__RefHeading___Toc7812502_3381743652"/>
      <w:bookmarkStart w:id="551" w:name="_Toc210"/>
      <w:bookmarkEnd w:id="550"/>
      <w:r>
        <w:rPr>
          <w:rtl w:val="true"/>
        </w:rPr>
        <w:t>مختار شیخ الطایفه</w:t>
      </w:r>
      <w:bookmarkEnd w:id="551"/>
    </w:p>
    <w:p>
      <w:pPr>
        <w:pStyle w:val="BookText"/>
        <w:rPr/>
      </w:pPr>
      <w:r>
        <w:rPr>
          <w:rFonts w:ascii="IRNazanin" w:hAnsi="IRNazanin" w:eastAsia="IRNazanin"/>
          <w:color w:val="111111"/>
          <w:sz w:val="28"/>
          <w:sz w:val="28"/>
          <w:szCs w:val="28"/>
          <w:rtl w:val="true"/>
          <w:lang w:bidi="fa-IR"/>
        </w:rPr>
        <w:t>نظر شیخ، همان نظر مشهور امامیه است که میان وجوب وفای به وعد و وفای به وعید، تفصیل قائل بودند؛ چرا که مرحوم شیخ تمام لوازم و پیامدهایی را که بر وجوب وفای به وعید مترتب است، انکار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می توان از سخنان شیخ در مقاطع مختلف، به دو دلیل عقلی برای عدم وجوب وفای به وعید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کیفر با توبه زایل می گردد، با تفضل نیز زایل می شود؛ چرا که ایصال منافع به غیر، عقلا مستحسن است و اسقاط ضرر مستحقه از بهترین نیکیهاست، بلکه اسقاط ضرر از غیر، نیکوتر از رساندن نفع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دلیل می توان استفاده کرد که اگر کسی با عملی که انجام داده، مستحق وعید گردد، وعید الهی درباره او منجز نیست و خداوند می تواند چنین کسی را از باب تفضل، کیفر نکند و چنین تفضلی، نه تنها هیچ قبحی ندارد، بلکه نوعی احسان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شیخ بر این مدعا همان دلیل است که چکیده آن در صفحه پیش ذکر شد و تفصیل این دلیل چنین است که کیفر، حق خدای تعالی است و اخذ و استیفای این حق نیز از آن خداوند است و با اسقاط این حق از جانب خداوند، هیچ حق دیگری زایل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هرگاه خداوند کیفری را از کسی ساقط کند، اسقاط می شود و هیچ گونه قبحی را به دنبال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مستحق وعید گردیده، خداوند نسبت به تحقق وعید درباره او مختار است؛ می تواند حقش را از او باز ستاند و می تواند او را عفو نماید</w:t>
      </w:r>
      <w:r>
        <w:rPr>
          <w:rFonts w:eastAsia="IRNazanin" w:cs="IRNazanin"/>
          <w:color w:val="111111"/>
          <w:sz w:val="28"/>
          <w:szCs w:val="28"/>
          <w:rtl w:val="true"/>
          <w:lang w:bidi="fa-IR"/>
        </w:rPr>
        <w:t>.</w:t>
      </w:r>
      <w:r>
        <w:rPr>
          <w:rStyle w:val="FootnoteAnchor"/>
          <w:rtl w:val="true"/>
        </w:rPr>
        <w:footnoteReference w:id="668"/>
      </w:r>
      <w:bookmarkStart w:id="552" w:name="pg14387_143783"/>
    </w:p>
    <w:p>
      <w:pPr>
        <w:pStyle w:val="Heading3"/>
        <w:numPr>
          <w:ilvl w:val="2"/>
          <w:numId w:val="1"/>
        </w:numPr>
        <w:rPr/>
      </w:pPr>
      <w:bookmarkStart w:id="553" w:name="__RefHeading___Toc7812504_3381743652"/>
      <w:bookmarkStart w:id="554" w:name="_Toc211"/>
      <w:bookmarkEnd w:id="552"/>
      <w:bookmarkEnd w:id="553"/>
      <w:r>
        <w:rPr>
          <w:rtl w:val="true"/>
        </w:rPr>
        <w:t>ادله نفی وجوب وفای به وعید</w:t>
      </w:r>
      <w:bookmarkEnd w:id="554"/>
    </w:p>
    <w:p>
      <w:pPr>
        <w:pStyle w:val="BookText"/>
        <w:rPr/>
      </w:pPr>
      <w:r>
        <w:rPr>
          <w:rFonts w:ascii="IRNazanin" w:hAnsi="IRNazanin" w:eastAsia="IRNazanin"/>
          <w:color w:val="111111"/>
          <w:sz w:val="28"/>
          <w:sz w:val="28"/>
          <w:szCs w:val="28"/>
          <w:rtl w:val="true"/>
          <w:lang w:bidi="fa-IR"/>
        </w:rPr>
        <w:t>امامیه وفای به وعید را بر خداوند واجب نمی دانند و دلایلی بر این مدعا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نخست این است که خلف وعید، عقلا بر خداوند قبیح نیست؛ زیرا هر عاقلی عفو بعد از وعید را نیکو می شمارد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دلیل دیگری که برای این مدعا ذکر شده، این است که کیفر از آن خداوند است و حق تعالی می تواند حق خود را از دیگری ساقط کند و اسقاط حق خود، امری نیکو و پسندیده است</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روایتی که انس بن مالک از رسول خدا نقل می کند نیز مؤید تفصیل مذکور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وعده الله علی عمله ثوابأ فهو منجر له، و من أوعده علی عمله عقابا فهو فی الخیار</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 کسی را که خداوند بر کارش نوید پاداش داده، آن نوید منجز است برای او، و کسی که خداوند بر کارش بیم کیفر داده، خداوند در عذاب او مختار است</w:t>
      </w:r>
      <w:r>
        <w:rPr>
          <w:rFonts w:eastAsia="IRNazanin" w:cs="IRNazanin"/>
          <w:color w:val="111111"/>
          <w:sz w:val="28"/>
          <w:szCs w:val="28"/>
          <w:rtl w:val="true"/>
          <w:lang w:bidi="fa-IR"/>
        </w:rPr>
        <w:t>.</w:t>
      </w:r>
    </w:p>
    <w:p>
      <w:pPr>
        <w:pStyle w:val="Heading3"/>
        <w:numPr>
          <w:ilvl w:val="2"/>
          <w:numId w:val="1"/>
        </w:numPr>
        <w:rPr/>
      </w:pPr>
      <w:bookmarkStart w:id="555" w:name="__RefHeading___Toc7812506_3381743652"/>
      <w:bookmarkStart w:id="556" w:name="_Toc212"/>
      <w:bookmarkEnd w:id="555"/>
      <w:r>
        <w:rPr>
          <w:rtl w:val="true"/>
        </w:rPr>
        <w:t>پیامدها و لوازم وجوب وفای به وعید</w:t>
      </w:r>
      <w:bookmarkEnd w:id="556"/>
    </w:p>
    <w:p>
      <w:pPr>
        <w:pStyle w:val="BookText"/>
        <w:rPr/>
      </w:pPr>
      <w:r>
        <w:rPr>
          <w:rFonts w:ascii="IRNazanin" w:hAnsi="IRNazanin" w:eastAsia="IRNazanin"/>
          <w:color w:val="111111"/>
          <w:sz w:val="28"/>
          <w:sz w:val="28"/>
          <w:szCs w:val="28"/>
          <w:rtl w:val="true"/>
          <w:lang w:bidi="fa-IR"/>
        </w:rPr>
        <w:t>متکلمان معتزلی بر این باور بودند که وفای به وعید بر خداوند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پیامد این قول، خلود فاق اهل صلات در دوزخ است؛ چرا که اینها متعلق وعید الهی قرار گرفته اند و از جانب دیگر، وفای به وعید نیز طبق دیدگاه معتزله، بر خداوند واجب است، پس فاق اهل صلات، همیشه در جهنم باقی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کفار نیز مخلد در دوزخند؛ لیکن عذابی که فساق اهل صلات بدان گرفتارند، خفیفتر از عذاب و کیفر کفار است</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اثر دوم، انحصار و اختصاص شفاعت به مؤمنان و محرومیت مرتکب کبایر از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ترتب این اثر، همان وجه ترتب اثر پیش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سوم مترتب بر اصل وجوب وفای به وعید، التزام به احباط در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ترتب این اثر بر وجوب وفای به وعید، این است که مشهور معتزله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گنهکارانی که </w:t>
      </w:r>
    </w:p>
    <w:p>
      <w:pPr>
        <w:pStyle w:val="BookText"/>
        <w:rPr/>
      </w:pPr>
      <w:r>
        <w:rPr>
          <w:rFonts w:ascii="IRNazanin" w:hAnsi="IRNazanin" w:eastAsia="IRNazanin"/>
          <w:color w:val="111111"/>
          <w:sz w:val="28"/>
          <w:sz w:val="28"/>
          <w:szCs w:val="28"/>
          <w:rtl w:val="true"/>
          <w:lang w:bidi="fa-IR"/>
        </w:rPr>
        <w:t>قبل از توبه بمیرند، طبق وعید الهی اهل خلود در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این نظریه با این پرسش مواجه می شوند که استحقاقها و طاعتهای چنین کسی چه می شود و چرا زایل می گردد؟</w:t>
      </w:r>
    </w:p>
    <w:p>
      <w:pPr>
        <w:pStyle w:val="BookText"/>
        <w:rPr/>
      </w:pPr>
      <w:r>
        <w:rPr>
          <w:rFonts w:ascii="IRNazanin" w:hAnsi="IRNazanin" w:eastAsia="IRNazanin"/>
          <w:color w:val="111111"/>
          <w:sz w:val="28"/>
          <w:sz w:val="28"/>
          <w:szCs w:val="28"/>
          <w:rtl w:val="true"/>
          <w:lang w:bidi="fa-IR"/>
        </w:rPr>
        <w:t>آنها بناچار در پاسخ این پرسش، تن به احباط طاعات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تمام حسنات و خوبیها را از میان می برد و حتی تعداد کثیری از این جماعت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کبیره واحدی، جمیع عبادات را از میان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همان طور که در تعریف وعد و وعید گذشت، ثواب و عقاب، متعلق وعد و وعید قرار گرفته است و از جانب دیگر، احباط و تکفیر نیز بنابر اختلافی که میان معتزله وجود دارد، یا در ثواب و عقاب است و یا در طاعت و معصیت، که طاعت و معصیت هم به طور عموم، متعلق وعد و وعید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سه مسئله،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طور مستقل مورد بحث قرار گرفته است و ما تنها مسئله خلود فساق اهل صلات در جهنم را مورد بحث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امامیه و مرحوم شیخ الطایفه بر این عقیده اند که فاق اهل صلات، همیشه در جهنم باقی نخواهند ماند و خلود در جهنم، مخصوص کافران و منافقان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در این خصوص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معاصی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غیر کفر کفر به اتفاق امت اسلامی، موجب استحقاق کیفر دائمی می گردد، اما دلیلی بر دوام و همیشگی کیفر معصیت غیر از کفر وجود ندارد، بلکه ادله عقلی و نقلی زیادی بر انقطاع آن وجود دارد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ادله ای که دلالت بر همیشگی نبودن کیفر فاسق دارد، از این قرار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همیشگی بودن کیفر فاسق، ظلم است و ظلم بر خداوند متعال،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فاسق همیشه در جهنم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بودن خلود فاسق در کیفر، از این روست که بطلان احباط و تنافی عمل نیک و بد در جای خود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مستحق پاداش می گردد، پاداش وی با هیچ چیزی جز کفر و ارتداد، زایل نمی شود و ناگزیر، چنین پاداشی به مستحق واصل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دادن پاداش پیش از کیفر، به اتفاق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بعد از کیفر باشد و این همان مطلوب ماست </w:t>
      </w:r>
    </w:p>
    <w:p>
      <w:pPr>
        <w:pStyle w:val="BookText"/>
        <w:rPr/>
      </w:pPr>
      <w:r>
        <w:rPr>
          <w:rFonts w:ascii="IRNazanin" w:hAnsi="IRNazanin" w:eastAsia="IRNazanin"/>
          <w:color w:val="111111"/>
          <w:sz w:val="28"/>
          <w:sz w:val="28"/>
          <w:szCs w:val="28"/>
          <w:rtl w:val="true"/>
          <w:lang w:bidi="fa-IR"/>
        </w:rPr>
        <w:t>که مؤمنان گنهکار، بعد از کیفر، نجات پیدا می کنند و همیشه در دوزخ باقی نمی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فاسق در دوزخ، مستلزم تساوی فاسق با کافر می گردد و بطلان آن آشکار است؛ چگونه می توان گفت کسی که مؤمن و معترف به وحدانیت خداوند است، با کافر مساوی می باشد؟</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همیشگی بودن کیفر فاسق از جهت دیگر نیز مستلزم ظلم و قبح است؛ زیرا کسی که افعال نیک زیادی را انجام داده، اگر با یک گناه، تمام اعمال نیک او از میان برود، این ظلم است و حق تعالی منزه از ظلم می باشد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معتزله به آیاتی از قرآن کریم نیز استدلال نموده اند که از آن جمله است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یعص الله و رسوله و یتعد حدوده یدخله نارا خالدا فیها و له عذاب مهین</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 و هر که نافرمانی خدا و رسول کند و تجاوز از احکام الهی نماید، او را به آتشی در افکند که همیشه در آن معذب است و همواره در عذاب خواری و ذلت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به ظاهر این آیه استدلال نموده اند که فاق اهل صلات، مخلد در آتش و در کیفر ابدی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دلایلی، دلالت بر ادعای آنان ندارد؛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اولآ، قول خداوند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یتعد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کسی است که به جمیع حدود خداوند تجاوز می کند و کسی که بر این حال باشد، نزد ما کافر است و همیشگی بودن عذاب کافر، اتفاقی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ثانیة، اهل اعتزال اعتراف دارند که مرتکب صغیره، با این که معصیتی انجام داده و از حدود و احکام الهی تجاوز کرده، خارج از این آیه است و این آیه درباره مرتکب صغیره تخصیص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 طور که مرتکب صغیره را از تحت آیه، با دلیلی خارج می دانند، ما مرتکب کبیره را نیز با دلیل دیگری همچون عفو الهی و 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تحت آیه خارج می دانیم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توبه کننده نیز با اعتراف این جماعت، از تحت این آیه خارج است؛ چرا که </w:t>
      </w:r>
      <w:bookmarkStart w:id="557" w:name="pg14387_143786"/>
    </w:p>
    <w:p>
      <w:pPr>
        <w:pStyle w:val="BookText"/>
        <w:rPr/>
      </w:pPr>
      <w:bookmarkEnd w:id="557"/>
      <w:r>
        <w:rPr>
          <w:rFonts w:ascii="IRNazanin" w:hAnsi="IRNazanin" w:eastAsia="IRNazanin"/>
          <w:color w:val="111111"/>
          <w:sz w:val="28"/>
          <w:sz w:val="28"/>
          <w:szCs w:val="28"/>
          <w:rtl w:val="true"/>
          <w:lang w:bidi="fa-IR"/>
        </w:rPr>
        <w:t>پذیرش توبه بر حق تعالی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توبه کننده از تحت آیه خارج است، کسی که کیفرش با تفضل خداوند ساقط می گردد نیز از تحت آیه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رابعة، آیه مذبور با دیگر آیات قرآن در تعارض است؛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یغفر ما دون ذلک لمن یشاء</w:t>
      </w:r>
      <w:r>
        <w:rPr>
          <w:rFonts w:eastAsia="IRNazanin" w:cs="IRNazanin"/>
          <w:color w:val="111111"/>
          <w:sz w:val="28"/>
          <w:szCs w:val="28"/>
          <w:rtl w:val="true"/>
          <w:lang w:bidi="fa-IR"/>
        </w:rPr>
        <w:t>»</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مادون شرک، گناهان دیگر را هر که را مشیتش تعلق گیرد، می بخشد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یغفر الذنوب جمعیا</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 xml:space="preserve">؛ حقیقت این است که خداوند همه گناهان را می بخشد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ربک لذو مغفرة للناس علی ظلمهم</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و به درستی که پروردگارت بر ظلم خلق، بسیار صاحب عفو و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آیات، دلالت بر وقوع عفو نسبت به گناهان کمتر از شرک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بر فرض که از پاسخهای قبل صرف نظر کینم، آیه مورد استدلال معتزله بر کسی حمل می گردد که از احکام الهی تجاوز کرده و چنین تجاوزی را حلال می داند و کافر بودن چنین کسی، مسلم است و کافران، متعلق وعید و عذاب همیشگی اند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معتزله برای اثبات مدعای خود به آیات دیگری نیز استدلال نموده اند؛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از سوره جن و آیه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از سوره نساء که پاسخ این استدلالها نیز از پاسخ شیخ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شیخ الطایفه با دلیل عقلی و نقلی ثابت می کند که فاق اهل صلات، همیشه در آتش باقی نخواهند ماند</w:t>
      </w:r>
      <w:r>
        <w:rPr>
          <w:rFonts w:eastAsia="IRNazanin" w:cs="IRNazanin"/>
          <w:color w:val="111111"/>
          <w:sz w:val="28"/>
          <w:szCs w:val="28"/>
          <w:rtl w:val="true"/>
          <w:lang w:bidi="fa-IR"/>
        </w:rPr>
        <w:t>.</w:t>
      </w:r>
    </w:p>
    <w:p>
      <w:pPr>
        <w:pStyle w:val="Heading3"/>
        <w:numPr>
          <w:ilvl w:val="2"/>
          <w:numId w:val="1"/>
        </w:numPr>
        <w:rPr/>
      </w:pPr>
      <w:bookmarkStart w:id="558" w:name="__RefHeading___Toc7812508_3381743652"/>
      <w:bookmarkStart w:id="559" w:name="_Toc213"/>
      <w:bookmarkEnd w:id="558"/>
      <w:r>
        <w:rPr>
          <w:rtl w:val="true"/>
        </w:rPr>
        <w:t>سایر اموری که وعید به آن تعلق گرفته است</w:t>
      </w:r>
      <w:bookmarkEnd w:id="559"/>
    </w:p>
    <w:p>
      <w:pPr>
        <w:pStyle w:val="BookText"/>
        <w:rPr/>
      </w:pPr>
      <w:r>
        <w:rPr>
          <w:rFonts w:ascii="IRNazanin" w:hAnsi="IRNazanin" w:eastAsia="IRNazanin"/>
          <w:color w:val="111111"/>
          <w:sz w:val="28"/>
          <w:sz w:val="28"/>
          <w:szCs w:val="28"/>
          <w:rtl w:val="true"/>
          <w:lang w:bidi="fa-IR"/>
        </w:rPr>
        <w:t>شیخ در پایان بحث، امور دیگری را که متعلق وعید قرار گرفته است، ذکر می کند که آن امور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مکلف در قبر و عذاب در قبر، منکر و نکیر، کیفیت شهادت جوارح، صراط و انقطاع تکلیف در آخرت که به ترتیب بررسی می شود</w:t>
      </w:r>
      <w:r>
        <w:rPr>
          <w:rFonts w:eastAsia="IRNazanin" w:cs="IRNazanin"/>
          <w:color w:val="111111"/>
          <w:sz w:val="28"/>
          <w:szCs w:val="28"/>
          <w:rtl w:val="true"/>
          <w:lang w:bidi="fa-IR"/>
        </w:rPr>
        <w:t>.</w:t>
      </w:r>
    </w:p>
    <w:p>
      <w:pPr>
        <w:pStyle w:val="Heading3"/>
        <w:numPr>
          <w:ilvl w:val="2"/>
          <w:numId w:val="1"/>
        </w:numPr>
        <w:rPr/>
      </w:pPr>
      <w:bookmarkStart w:id="560" w:name="__RefHeading___Toc7812510_3381743652"/>
      <w:bookmarkStart w:id="561" w:name="_Toc214"/>
      <w:bookmarkEnd w:id="560"/>
      <w:r>
        <w:rPr>
          <w:rtl w:val="true"/>
        </w:rPr>
        <w:t>احکام مکلف در قبر و عذاب قبر</w:t>
      </w:r>
      <w:bookmarkEnd w:id="56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عذاب قبر،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چنین پنداشته اند که عذاب قبر، محال است و برخی دیگر بر این باورند که عذاب قبر،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عذاب در قبر، </w:t>
      </w:r>
      <w:bookmarkStart w:id="562" w:name="pg14387_143787"/>
    </w:p>
    <w:p>
      <w:pPr>
        <w:pStyle w:val="BookText"/>
        <w:rPr/>
      </w:pPr>
      <w:bookmarkEnd w:id="562"/>
      <w:r>
        <w:rPr>
          <w:rFonts w:ascii="IRNazanin" w:hAnsi="IRNazanin" w:eastAsia="IRNazanin"/>
          <w:color w:val="111111"/>
          <w:sz w:val="28"/>
          <w:sz w:val="28"/>
          <w:szCs w:val="28"/>
          <w:rtl w:val="true"/>
          <w:lang w:bidi="fa-IR"/>
        </w:rPr>
        <w:t>اتفاقی است، ولی در وقت آن اختلاف شده که جمهور از اصحاب حدیث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عذاب قبر، هنگام دفن است و برخی دیگر بر این باورند که وقت آن، نزدیک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شیخ به قول دوم این است که از اتفاقی که بر عذاب قبر وجود دارد، کشف می شود که عذاب در قبر با شرایط خود، حسن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پاسخ قول نخست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پندار محال بودن عذاب در قبر، این است که اینان گمان برده اند که عذاب میت در حالت مردگی او که فاقد ادراک می باشد، معنی ندارد، ولی به این نکته توجه نکرده اند که عذاب در قبر، بعد از اعاده حیات است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توهم شود که وقتی نبش قبر می گردد، اثر و نشانه ای از عذاب به چشم نمی خورد و جسد میت به حال خودش باقی است، این توهم نسبت به کسانی که وقت عذاب قبر را نزدیک قیامت می دانند، هیچ اثری ندارد، اما درباره نظر کسانی که می گویند هنگام عذاب قبر، بعد از دفن است، چنین پاسخ می دهیم که هیچ منعی نیست از این که ما عذاب میت را به خاطر مصحلتی که در عدم درک می باشد، نتوانیم درک کنیم و با این وجود، عذاب واقع شده باشد</w:t>
      </w:r>
      <w:r>
        <w:rPr>
          <w:rFonts w:eastAsia="IRNazanin" w:cs="IRNazanin"/>
          <w:color w:val="111111"/>
          <w:sz w:val="28"/>
          <w:szCs w:val="28"/>
          <w:rtl w:val="true"/>
          <w:lang w:bidi="fa-IR"/>
        </w:rPr>
        <w:t>.</w:t>
      </w:r>
    </w:p>
    <w:p>
      <w:pPr>
        <w:pStyle w:val="Heading3"/>
        <w:numPr>
          <w:ilvl w:val="2"/>
          <w:numId w:val="1"/>
        </w:numPr>
        <w:rPr/>
      </w:pPr>
      <w:bookmarkStart w:id="563" w:name="__RefHeading___Toc7812512_3381743652"/>
      <w:bookmarkStart w:id="564" w:name="_Toc215"/>
      <w:bookmarkEnd w:id="563"/>
      <w:r>
        <w:rPr>
          <w:rtl w:val="true"/>
        </w:rPr>
        <w:t>دو فرشته منکر و نکیر</w:t>
      </w:r>
      <w:bookmarkEnd w:id="564"/>
    </w:p>
    <w:p>
      <w:pPr>
        <w:pStyle w:val="BookText"/>
        <w:rPr/>
      </w:pPr>
      <w:r>
        <w:rPr>
          <w:rFonts w:ascii="IRNazanin" w:hAnsi="IRNazanin" w:eastAsia="IRNazanin"/>
          <w:color w:val="111111"/>
          <w:sz w:val="28"/>
          <w:sz w:val="28"/>
          <w:szCs w:val="28"/>
          <w:rtl w:val="true"/>
          <w:lang w:bidi="fa-IR"/>
        </w:rPr>
        <w:t xml:space="preserve">دو فرشته ای که بر میت وارد می گردند، نکیر 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مشتق از استنکار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عقاب می گردد، فعل آن دو فرشته را استنکار می کند یا این که از فعل آن دو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پرسش مطرح شود که با این که پروردگار، احوال آدمیان را به خوبی می داند، چه نیازی است که در قبر، مکلف مورد بازپرسی قرار گیرد؟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وقوع این امر شهادت داده و اجماع نیز محقق است و در این بازپرسی، غرضی نهفته است و آن این است که با آن، تمایز اهل بهشت و دوزخ، ظاهر می شود و از همدیگر ممتاز می شوند و به اهل بهشت بشارت داده می شود و بدین سان بر نفع آنان افزوده می گردد و برای انسانهایی که در دار تکلیفند نیز مصلحتهایی دارد</w:t>
      </w:r>
      <w:r>
        <w:rPr>
          <w:rFonts w:eastAsia="IRNazanin" w:cs="IRNazanin"/>
          <w:color w:val="111111"/>
          <w:sz w:val="28"/>
          <w:szCs w:val="28"/>
          <w:rtl w:val="true"/>
          <w:lang w:bidi="fa-IR"/>
        </w:rPr>
        <w:t xml:space="preserve">. </w:t>
      </w:r>
      <w:bookmarkStart w:id="565" w:name="pg14387_143788"/>
    </w:p>
    <w:p>
      <w:pPr>
        <w:pStyle w:val="Heading3"/>
        <w:numPr>
          <w:ilvl w:val="2"/>
          <w:numId w:val="1"/>
        </w:numPr>
        <w:rPr/>
      </w:pPr>
      <w:bookmarkStart w:id="566" w:name="__RefHeading___Toc7812514_3381743652"/>
      <w:bookmarkStart w:id="567" w:name="_Toc216"/>
      <w:bookmarkEnd w:id="565"/>
      <w:bookmarkEnd w:id="566"/>
      <w:r>
        <w:rPr>
          <w:rtl w:val="true"/>
        </w:rPr>
        <w:t>کیفیت شهادت جوارح</w:t>
      </w:r>
      <w:bookmarkEnd w:id="567"/>
    </w:p>
    <w:p>
      <w:pPr>
        <w:pStyle w:val="BookText"/>
        <w:rPr/>
      </w:pPr>
      <w:r>
        <w:rPr>
          <w:rFonts w:ascii="IRNazanin" w:hAnsi="IRNazanin" w:eastAsia="IRNazanin"/>
          <w:color w:val="111111"/>
          <w:sz w:val="28"/>
          <w:sz w:val="28"/>
          <w:szCs w:val="28"/>
          <w:rtl w:val="true"/>
          <w:lang w:bidi="fa-IR"/>
        </w:rPr>
        <w:t>در کیفیت شهادت جوارح، چندین قول است؛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جوارح را به صورت بینهای ایجاد می کند تا بر علیه انسان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جوارح، شهادت را انجام می دهد و اضافه شهادت به جوارح،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معنای گذشته،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این است که شاهد، در حقیقت، همان نفس عاصی است که نسبت به آنچه انجام داده است، اقرار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از جوارح، نشانه هایی ظاهر می شود که دلالت بر فرق عاصی و مطیع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اقوال، محتمل و جایز است</w:t>
      </w:r>
      <w:r>
        <w:rPr>
          <w:rFonts w:eastAsia="IRNazanin" w:cs="IRNazanin"/>
          <w:color w:val="111111"/>
          <w:sz w:val="28"/>
          <w:szCs w:val="28"/>
          <w:rtl w:val="true"/>
          <w:lang w:bidi="fa-IR"/>
        </w:rPr>
        <w:t>.</w:t>
      </w:r>
    </w:p>
    <w:p>
      <w:pPr>
        <w:pStyle w:val="Heading3"/>
        <w:numPr>
          <w:ilvl w:val="2"/>
          <w:numId w:val="1"/>
        </w:numPr>
        <w:rPr/>
      </w:pPr>
      <w:bookmarkStart w:id="568" w:name="__RefHeading___Toc7812516_3381743652"/>
      <w:bookmarkStart w:id="569" w:name="_Toc217"/>
      <w:bookmarkEnd w:id="568"/>
      <w:r>
        <w:rPr>
          <w:rtl w:val="true"/>
        </w:rPr>
        <w:t>صراط</w:t>
      </w:r>
      <w:bookmarkEnd w:id="569"/>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صراط، راه اهل بهشت و اهل دوزخ است که سلوک در آن برای اهل بهشت، آسان و برای جهنمیان، دشوار است و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براهین و حجج است که جداکننده بهشتیان و دوزخیان است</w:t>
      </w:r>
      <w:r>
        <w:rPr>
          <w:rFonts w:eastAsia="IRNazanin" w:cs="IRNazanin"/>
          <w:color w:val="111111"/>
          <w:sz w:val="28"/>
          <w:szCs w:val="28"/>
          <w:rtl w:val="true"/>
          <w:lang w:bidi="fa-IR"/>
        </w:rPr>
        <w:t>.</w:t>
      </w:r>
    </w:p>
    <w:p>
      <w:pPr>
        <w:pStyle w:val="Heading3"/>
        <w:numPr>
          <w:ilvl w:val="2"/>
          <w:numId w:val="1"/>
        </w:numPr>
        <w:rPr/>
      </w:pPr>
      <w:bookmarkStart w:id="570" w:name="__RefHeading___Toc7812518_3381743652"/>
      <w:bookmarkStart w:id="571" w:name="_Toc218"/>
      <w:bookmarkEnd w:id="570"/>
      <w:r>
        <w:rPr>
          <w:rtl w:val="true"/>
        </w:rPr>
        <w:t>انقطاع تکلیف در آخرت</w:t>
      </w:r>
      <w:bookmarkEnd w:id="57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بر این عقیده است که مکلف، خواه مثاب باشد یا معاقب، در آخرت، تکلیف از او منقطع می گردد؛ زیرا اگر مکلف باشد، وقوع توبه نیز از او جایز است و حال آن که اجماع بر خلاف آن است و بالاتفاق، جهان آخرت، دار پاداش و کیفر است و در خور پاداش، خالص بودن آن است و تکلیف، منافی با خالص بودن ثواب است</w:t>
      </w:r>
      <w:r>
        <w:rPr>
          <w:rFonts w:eastAsia="IRNazanin" w:cs="IRNazanin"/>
          <w:color w:val="111111"/>
          <w:sz w:val="28"/>
          <w:szCs w:val="28"/>
          <w:rtl w:val="true"/>
          <w:lang w:bidi="fa-IR"/>
        </w:rPr>
        <w:t>.</w:t>
      </w:r>
      <w:r>
        <w:rPr>
          <w:rStyle w:val="FootnoteAnchor"/>
          <w:rtl w:val="true"/>
        </w:rPr>
        <w:footnoteReference w:id="68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2" w:name="pg14387_143790"/>
      <w:bookmarkStart w:id="573" w:name="pg14387_143790"/>
      <w:bookmarkEnd w:id="573"/>
    </w:p>
    <w:p>
      <w:pPr>
        <w:pStyle w:val="Heading2"/>
        <w:numPr>
          <w:ilvl w:val="1"/>
          <w:numId w:val="1"/>
        </w:numPr>
        <w:rPr/>
      </w:pPr>
      <w:bookmarkStart w:id="574" w:name="pg14387_143790"/>
      <w:bookmarkStart w:id="575" w:name="__RefHeading___Toc7812520_3381743652"/>
      <w:bookmarkStart w:id="576" w:name="_Toc219"/>
      <w:bookmarkEnd w:id="574"/>
      <w:bookmarkEnd w:id="575"/>
      <w:r>
        <w:rPr>
          <w:rtl w:val="true"/>
        </w:rPr>
        <w:t>رجعت</w:t>
      </w:r>
      <w:bookmarkEnd w:id="576"/>
    </w:p>
    <w:p>
      <w:pPr>
        <w:pStyle w:val="Heading3"/>
        <w:numPr>
          <w:ilvl w:val="2"/>
          <w:numId w:val="1"/>
        </w:numPr>
        <w:rPr/>
      </w:pPr>
      <w:bookmarkStart w:id="577" w:name="__RefHeading___Toc7812522_3381743652"/>
      <w:bookmarkStart w:id="578" w:name="_Toc220"/>
      <w:bookmarkEnd w:id="577"/>
      <w:r>
        <w:rPr>
          <w:rtl w:val="true"/>
        </w:rPr>
        <w:t>پیشگفتار</w:t>
      </w:r>
      <w:bookmarkEnd w:id="578"/>
    </w:p>
    <w:p>
      <w:pPr>
        <w:pStyle w:val="BookText"/>
        <w:rPr/>
      </w:pPr>
      <w:r>
        <w:rPr>
          <w:rFonts w:ascii="IRNazanin" w:hAnsi="IRNazanin" w:eastAsia="IRNazanin"/>
          <w:color w:val="111111"/>
          <w:sz w:val="28"/>
          <w:sz w:val="28"/>
          <w:szCs w:val="28"/>
          <w:rtl w:val="true"/>
          <w:lang w:bidi="fa-IR"/>
        </w:rPr>
        <w:t>رجعت، یکی از مسائل مورد اختلاف میان مذاهب اسلامی است که از عقاید شیعه به شمار می آید و مورد تأیید اهل بیت علی قرار گرفته است</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بر پایه این عقیده، گروهی از مؤمنان راستین و عده ای از کافران بدسرشت، هنگام ظهور حضرت مهدی به این دنیا بازگردانده می شوند تا مؤمنان به ثواب یاری آن حضرت در تشکیل حکومت واحد جهانی نایل آمده، از درک و تماشای عظمت و شوکت جهانی اسلام، لذت ببرند</w:t>
      </w:r>
      <w:r>
        <w:rPr>
          <w:rStyle w:val="FootnoteAnchor"/>
          <w:rtl w:val="true"/>
        </w:rPr>
        <w:footnoteReference w:id="683"/>
      </w:r>
      <w:r>
        <w:rPr>
          <w:rFonts w:ascii="IRNazanin" w:hAnsi="IRNazanin" w:eastAsia="IRNazanin"/>
          <w:color w:val="111111"/>
          <w:sz w:val="28"/>
          <w:sz w:val="28"/>
          <w:szCs w:val="28"/>
          <w:rtl w:val="true"/>
          <w:lang w:bidi="fa-IR"/>
        </w:rPr>
        <w:t>و کافران به سزای پاره ای از اعمال ننگینشان برسند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امکان رجعت را مورد تردید قرار داده و اعتقاد به آن را ناپسند قلمداد کرده اند؛ تا آنجا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رجعت، مذهب گروهی از اعراب جاهلی بوده است که برخی از فرق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گرویده اند</w:t>
      </w:r>
      <w:r>
        <w:rPr>
          <w:rFonts w:eastAsia="IRNazanin" w:cs="IRNazanin"/>
          <w:color w:val="111111"/>
          <w:sz w:val="28"/>
          <w:szCs w:val="28"/>
          <w:rtl w:val="true"/>
          <w:lang w:bidi="fa-IR"/>
        </w:rPr>
        <w:t>».</w:t>
      </w:r>
      <w:r>
        <w:rPr>
          <w:rStyle w:val="FootnoteAnchor"/>
          <w:rtl w:val="true"/>
        </w:rPr>
        <w:footnoteReference w:id="684"/>
      </w:r>
      <w:bookmarkStart w:id="579" w:name="pg14387_143791"/>
    </w:p>
    <w:p>
      <w:pPr>
        <w:pStyle w:val="BookText"/>
        <w:rPr/>
      </w:pPr>
      <w:bookmarkEnd w:id="579"/>
      <w:r>
        <w:rPr>
          <w:rFonts w:ascii="IRNazanin" w:hAnsi="IRNazanin" w:eastAsia="IRNazanin"/>
          <w:color w:val="111111"/>
          <w:sz w:val="28"/>
          <w:sz w:val="28"/>
          <w:szCs w:val="28"/>
          <w:rtl w:val="true"/>
          <w:lang w:bidi="fa-IR"/>
        </w:rPr>
        <w:t>تردید و مناقشات مخالفان در صحت رجعت از یک سو و پیچیدگی مسئله از سوی دیگر، پرسشهایی را برانگیخته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رجعت چیست؟ آیا رجعت به معنای بازگشت برخی از اموات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طلا و گروهی از مؤمنان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دنیاست و</w:t>
      </w:r>
    </w:p>
    <w:p>
      <w:pPr>
        <w:pStyle w:val="BookText"/>
        <w:rPr/>
      </w:pPr>
      <w:r>
        <w:rPr>
          <w:rFonts w:ascii="IRNazanin" w:hAnsi="IRNazanin" w:eastAsia="IRNazanin"/>
          <w:color w:val="111111"/>
          <w:sz w:val="28"/>
          <w:sz w:val="28"/>
          <w:szCs w:val="28"/>
          <w:rtl w:val="true"/>
          <w:lang w:bidi="fa-IR"/>
        </w:rPr>
        <w:t>یا به معنای بازگشت دولت و قدرت به خاندان رسالت؟ آیا رجعت به معنای نخست، ممکن است؟ آیا همانگونه که رجعت در امتهای پیشین واقع شده است، در امت اسلامی نیز واقع خواهد شد؟ آیا رجعت، اختصاصی است یا همگانی؟ چه کسانی رجعت می کنند؟ و بالاخره هدف و فلسفه رجعت چیست؟</w:t>
      </w:r>
    </w:p>
    <w:p>
      <w:pPr>
        <w:pStyle w:val="BookText"/>
        <w:rPr/>
      </w:pPr>
      <w:r>
        <w:rPr>
          <w:rFonts w:ascii="IRNazanin" w:hAnsi="IRNazanin" w:eastAsia="IRNazanin"/>
          <w:color w:val="111111"/>
          <w:sz w:val="28"/>
          <w:sz w:val="28"/>
          <w:szCs w:val="28"/>
          <w:rtl w:val="true"/>
          <w:lang w:bidi="fa-IR"/>
        </w:rPr>
        <w:t>پرسشهای یاد شده و نظایر آنها موجب شده است که دانشمندان شیعه برای توضیح و تبیین رجعت، کتابها و رساله های مستقلی بنویسند و یا در کتابهای کلامی، بابی را به این مهم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نیز بر آن است که ضمن تحلیل و بررسی مسئله</w:t>
      </w:r>
    </w:p>
    <w:p>
      <w:pPr>
        <w:pStyle w:val="BookText"/>
        <w:rPr/>
      </w:pPr>
      <w:r>
        <w:rPr>
          <w:rFonts w:ascii="IRNazanin" w:hAnsi="IRNazanin" w:eastAsia="IRNazanin"/>
          <w:color w:val="111111"/>
          <w:sz w:val="28"/>
          <w:sz w:val="28"/>
          <w:szCs w:val="28"/>
          <w:rtl w:val="true"/>
          <w:lang w:bidi="fa-IR"/>
        </w:rPr>
        <w:t>رجعت، دیدگاه شیخ طوسیله را در این زمینه بازگوید</w:t>
      </w:r>
      <w:r>
        <w:rPr>
          <w:rFonts w:eastAsia="IRNazanin" w:cs="IRNazanin"/>
          <w:color w:val="111111"/>
          <w:sz w:val="28"/>
          <w:szCs w:val="28"/>
          <w:rtl w:val="true"/>
          <w:lang w:bidi="fa-IR"/>
        </w:rPr>
        <w:t>.</w:t>
      </w:r>
    </w:p>
    <w:p>
      <w:pPr>
        <w:pStyle w:val="Heading3"/>
        <w:numPr>
          <w:ilvl w:val="2"/>
          <w:numId w:val="1"/>
        </w:numPr>
        <w:rPr/>
      </w:pPr>
      <w:bookmarkStart w:id="580" w:name="__RefHeading___Toc7812524_3381743652"/>
      <w:bookmarkStart w:id="581" w:name="_Toc221"/>
      <w:bookmarkEnd w:id="580"/>
      <w:r>
        <w:rPr>
          <w:rtl w:val="true"/>
        </w:rPr>
        <w:t>کلیات</w:t>
      </w:r>
      <w:bookmarkEnd w:id="581"/>
    </w:p>
    <w:p>
      <w:pPr>
        <w:pStyle w:val="Heading4"/>
        <w:numPr>
          <w:ilvl w:val="3"/>
          <w:numId w:val="1"/>
        </w:numPr>
        <w:rPr/>
      </w:pPr>
      <w:bookmarkStart w:id="582" w:name="__RefHeading___Toc7812526_3381743652"/>
      <w:bookmarkStart w:id="583" w:name="_Toc222"/>
      <w:bookmarkEnd w:id="582"/>
      <w:r>
        <w:rPr>
          <w:rtl w:val="true"/>
        </w:rPr>
        <w:t>مفهوم شناسی رجعت</w:t>
      </w:r>
      <w:bookmarkEnd w:id="583"/>
    </w:p>
    <w:p>
      <w:pPr>
        <w:pStyle w:val="Heading5"/>
        <w:numPr>
          <w:ilvl w:val="4"/>
          <w:numId w:val="1"/>
        </w:numPr>
        <w:rPr/>
      </w:pPr>
      <w:bookmarkStart w:id="584" w:name="__RefHeading___Toc7812528_3381743652"/>
      <w:bookmarkStart w:id="585" w:name="_Toc223"/>
      <w:bookmarkEnd w:id="584"/>
      <w:r>
        <w:rPr>
          <w:rtl w:val="true"/>
        </w:rPr>
        <w:t>رجعت در لغت</w:t>
      </w:r>
      <w:bookmarkEnd w:id="58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شناسان در توضیح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مصدر مرة از ماده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یک بار بازگشتن یا بازگردانیدن است</w:t>
      </w:r>
      <w:r>
        <w:rPr>
          <w:rFonts w:eastAsia="IRNazanin" w:cs="IRNazanin"/>
          <w:color w:val="111111"/>
          <w:sz w:val="28"/>
          <w:szCs w:val="28"/>
          <w:rtl w:val="true"/>
          <w:lang w:bidi="fa-IR"/>
        </w:rPr>
        <w:t>».</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بازگشتن و بازگردانیدن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و 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کار رفته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 موسی إلی قومه غضبان أسفا</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رجعک الله إلی طائفة منهم</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 xml:space="preserve">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نخست، لازم و در آیه دوم، متعدی می باشد</w:t>
      </w:r>
      <w:r>
        <w:rPr>
          <w:rFonts w:eastAsia="IRNazanin" w:cs="IRNazanin"/>
          <w:color w:val="111111"/>
          <w:sz w:val="28"/>
          <w:szCs w:val="28"/>
          <w:rtl w:val="true"/>
          <w:lang w:bidi="fa-IR"/>
        </w:rPr>
        <w:t xml:space="preserve">. </w:t>
      </w:r>
      <w:bookmarkStart w:id="586" w:name="pg14387_143792"/>
    </w:p>
    <w:p>
      <w:pPr>
        <w:pStyle w:val="BookText"/>
        <w:rPr/>
      </w:pPr>
      <w:bookmarkEnd w:id="586"/>
      <w:r>
        <w:rPr>
          <w:rFonts w:ascii="IRNazanin" w:hAnsi="IRNazanin" w:eastAsia="IRNazanin"/>
          <w:color w:val="111111"/>
          <w:sz w:val="28"/>
          <w:sz w:val="28"/>
          <w:szCs w:val="28"/>
          <w:rtl w:val="true"/>
          <w:lang w:bidi="fa-IR"/>
        </w:rPr>
        <w:t>شیخ طوسی نیز در تبیین اصل و ریشه رجعت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برگشتن به حال اول است، به دو صورت لازم و متعدی به کار می رود؛ چنان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رجعه</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که در صورت نخست، لازم و در صورت دوم، متعدی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مرة از ماده رجوع است، به معنای یکبار بازگشتن و یا بازگردانیدن به حال اول است</w:t>
      </w:r>
      <w:r>
        <w:rPr>
          <w:rFonts w:eastAsia="IRNazanin" w:cs="IRNazanin"/>
          <w:color w:val="111111"/>
          <w:sz w:val="28"/>
          <w:szCs w:val="28"/>
          <w:rtl w:val="true"/>
          <w:lang w:bidi="fa-IR"/>
        </w:rPr>
        <w:t>.</w:t>
      </w:r>
    </w:p>
    <w:p>
      <w:pPr>
        <w:pStyle w:val="Heading5"/>
        <w:numPr>
          <w:ilvl w:val="4"/>
          <w:numId w:val="1"/>
        </w:numPr>
        <w:rPr/>
      </w:pPr>
      <w:bookmarkStart w:id="587" w:name="__RefHeading___Toc7812530_3381743652"/>
      <w:bookmarkStart w:id="588" w:name="_Toc224"/>
      <w:bookmarkEnd w:id="587"/>
      <w:r>
        <w:rPr>
          <w:rtl w:val="true"/>
        </w:rPr>
        <w:t>رجعت در اصطلاح</w:t>
      </w:r>
      <w:bookmarkEnd w:id="588"/>
    </w:p>
    <w:p>
      <w:pPr>
        <w:pStyle w:val="BookText"/>
        <w:rPr/>
      </w:pPr>
      <w:r>
        <w:rPr>
          <w:rFonts w:ascii="IRNazanin" w:hAnsi="IRNazanin" w:eastAsia="IRNazanin"/>
          <w:color w:val="111111"/>
          <w:sz w:val="28"/>
          <w:sz w:val="28"/>
          <w:szCs w:val="28"/>
          <w:rtl w:val="true"/>
          <w:lang w:bidi="fa-IR"/>
        </w:rPr>
        <w:t>رجعت در اصطلاح متکلمان عبارت است از بازگشت برخی از اموات به دنیا بعد از ظهور حضرت مهدی علت و قبل از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یعنی این که خداوند، گروهی از اموات را با همان صورت که در دنیا بودند، در زمان ظهور حضرت مهدی طلا دوباره به دنیا برمی گرداند</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سید مرتضی در تعریف رجعت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عبارت است از این که خداوند در هنگام ظهور مهدی و گروهی از شیعیانش را که قبلا از دنیا رفته اند، دوباره زنده می کند تا به ثواب یاری آن حضرت نایل شوند و دولت او را مشاهده کنند و نیز جمعی از دشمنان آن حضرت را دوباره زنده می کند تا از آنان انتقام بگیرد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قاضی ابن براج در تعریف رجعت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رجعت این است که خداوند، هنگام ظهور حضرت قائم طلا دسته ای از دوستان و پیروان آن حضرت را که قبلا وفات نموده اند، دوباره زنده می کند تا به ثواب یاری و اطاعت آن حضرت و نیز به ثواب جنگ با دشمنانش نایل آیند</w:t>
      </w:r>
      <w:r>
        <w:rPr>
          <w:rFonts w:eastAsia="IRNazanin" w:cs="IRNazanin"/>
          <w:color w:val="111111"/>
          <w:sz w:val="28"/>
          <w:szCs w:val="28"/>
          <w:rtl w:val="true"/>
          <w:lang w:bidi="fa-IR"/>
        </w:rPr>
        <w:t>».</w:t>
      </w:r>
      <w:r>
        <w:rPr>
          <w:rStyle w:val="FootnoteAnchor"/>
          <w:rtl w:val="true"/>
        </w:rPr>
        <w:footnoteReference w:id="69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نیز رجعت را به معنای بازگشت برخی از اموات به دار دنیا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مردگان را به دار دنیا اثبات می کنند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bookmarkStart w:id="589" w:name="pg14387_143793"/>
    </w:p>
    <w:p>
      <w:pPr>
        <w:pStyle w:val="Heading4"/>
        <w:numPr>
          <w:ilvl w:val="3"/>
          <w:numId w:val="1"/>
        </w:numPr>
        <w:rPr/>
      </w:pPr>
      <w:bookmarkStart w:id="590" w:name="__RefHeading___Toc7812532_3381743652"/>
      <w:bookmarkStart w:id="591" w:name="_Toc225"/>
      <w:bookmarkEnd w:id="589"/>
      <w:bookmarkEnd w:id="590"/>
      <w:r>
        <w:rPr>
          <w:rtl w:val="true"/>
        </w:rPr>
        <w:t>امکان رجعت</w:t>
      </w:r>
      <w:bookmarkEnd w:id="591"/>
    </w:p>
    <w:p>
      <w:pPr>
        <w:pStyle w:val="BookText"/>
        <w:rPr/>
      </w:pPr>
      <w:r>
        <w:rPr>
          <w:rFonts w:ascii="IRNazanin" w:hAnsi="IRNazanin" w:eastAsia="IRNazanin"/>
          <w:color w:val="111111"/>
          <w:sz w:val="28"/>
          <w:sz w:val="28"/>
          <w:szCs w:val="28"/>
          <w:rtl w:val="true"/>
          <w:lang w:bidi="fa-IR"/>
        </w:rPr>
        <w:t>در بحث رجعت، سه پرسش اساسی در خور تحقیق و بررسی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رجعت، ذاتا یک امر ممکن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رجعت، امکان وقوعی دارد؟ به عبارت دقیقتر، آیا از وقوع رجعت در خارج محال لازم نمی آید؟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رجعت در خارج واقع شده است و یا واقع خواهد شد؟</w:t>
      </w:r>
    </w:p>
    <w:p>
      <w:pPr>
        <w:pStyle w:val="BookText"/>
        <w:rPr/>
      </w:pPr>
      <w:r>
        <w:rPr>
          <w:rFonts w:ascii="IRNazanin" w:hAnsi="IRNazanin" w:eastAsia="IRNazanin"/>
          <w:color w:val="111111"/>
          <w:sz w:val="28"/>
          <w:sz w:val="28"/>
          <w:szCs w:val="28"/>
          <w:rtl w:val="true"/>
          <w:lang w:bidi="fa-IR"/>
        </w:rPr>
        <w:t>با اندکی دقت در پرسشهای فوق، می توان دریافت که میان آنها نسبت عام و خاص و اخص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پرسش نخست، عام و پرسش دوم خاص و پرسش سوم اخص از هر دو می باشد و لازمه چنین رابطه ای این است که اگر پاسخ پرسش اخیر</w:t>
      </w:r>
    </w:p>
    <w:p>
      <w:pPr>
        <w:pStyle w:val="BookText"/>
        <w:rPr/>
      </w:pPr>
      <w:r>
        <w:rPr>
          <w:rFonts w:ascii="IRNazanin" w:hAnsi="IRNazanin" w:eastAsia="IRNazanin"/>
          <w:color w:val="111111"/>
          <w:sz w:val="28"/>
          <w:sz w:val="28"/>
          <w:szCs w:val="28"/>
          <w:rtl w:val="true"/>
          <w:lang w:bidi="fa-IR"/>
        </w:rPr>
        <w:t>مثبت باشد، پاسخ بقیه نیز مثبت خواهد بود؛ یعنی اگر اثبات شود که رجعت در خارج واقع شده است، دیگر جایی برای سؤال از امکان ذاتی یا وقوعی رجعت باقی نمی ماند؛ همانگونه که اگر پاسخ پرسش دوم مثبت باشد، دیگر جایی برای پرسش نخست باقی</w:t>
      </w:r>
    </w:p>
    <w:p>
      <w:pPr>
        <w:pStyle w:val="BookText"/>
        <w:rPr/>
      </w:pPr>
      <w:r>
        <w:rPr>
          <w:rFonts w:ascii="IRNazanin" w:hAnsi="IRNazanin" w:eastAsia="IRNazanin"/>
          <w:color w:val="111111"/>
          <w:sz w:val="28"/>
          <w:sz w:val="28"/>
          <w:szCs w:val="28"/>
          <w:rtl w:val="true"/>
          <w:lang w:bidi="fa-IR"/>
        </w:rPr>
        <w:t>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پاسخ سؤال اخیر، منفی باشد، نمی توان از آن، منفی بودن پاسخ سایر پرسشها را نتیجه گرفت؛ همان طور که اگر پاسخ پرسش دوم منفی باشد، از آن نمی توان منفی بودن پاسخ سؤال نخست را نتیجه گرفت</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بدین ترتیب، روشن می شود که پرسش سوم در بحث رجعت، نقش کلیدی دارد و اگر کسی بتواند بدان جواب مثبت دهد، در حقیقت با یک پاسخ، به هر سه سؤال فوق پاسخ داده است و از این رو، قائلان به رجعت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نه تنها ممکن است، بلکه در خارج نیز واقع شده است و بدین سان به همه سؤالهای یاد شده پاسخ داده اند</w:t>
      </w:r>
      <w:r>
        <w:rPr>
          <w:rFonts w:eastAsia="IRNazanin" w:cs="IRNazanin"/>
          <w:color w:val="111111"/>
          <w:sz w:val="28"/>
          <w:szCs w:val="28"/>
          <w:rtl w:val="true"/>
          <w:lang w:bidi="fa-IR"/>
        </w:rPr>
        <w:t>.</w:t>
      </w:r>
    </w:p>
    <w:p>
      <w:pPr>
        <w:pStyle w:val="Heading4"/>
        <w:numPr>
          <w:ilvl w:val="3"/>
          <w:numId w:val="1"/>
        </w:numPr>
        <w:rPr/>
      </w:pPr>
      <w:bookmarkStart w:id="592" w:name="__RefHeading___Toc7812534_3381743652"/>
      <w:bookmarkStart w:id="593" w:name="_Toc226"/>
      <w:bookmarkEnd w:id="592"/>
      <w:r>
        <w:rPr>
          <w:rtl w:val="true"/>
        </w:rPr>
        <w:t>ادله امکان رجعت</w:t>
      </w:r>
      <w:bookmarkEnd w:id="593"/>
    </w:p>
    <w:p>
      <w:pPr>
        <w:pStyle w:val="Heading5"/>
        <w:numPr>
          <w:ilvl w:val="4"/>
          <w:numId w:val="1"/>
        </w:numPr>
        <w:rPr/>
      </w:pPr>
      <w:bookmarkStart w:id="594" w:name="__RefHeading___Toc7812536_3381743652"/>
      <w:bookmarkStart w:id="595" w:name="_Toc227"/>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برای اثبات امکان رجعت، ادله ای اقامه شده است که عمده ترین آنها دلایل زیر است</w:t>
      </w:r>
      <w:r>
        <w:rPr>
          <w:rFonts w:eastAsia="IRNazanin" w:cs="IRNazanin"/>
          <w:color w:val="111111"/>
          <w:sz w:val="28"/>
          <w:szCs w:val="28"/>
          <w:rtl w:val="true"/>
          <w:lang w:bidi="fa-IR"/>
        </w:rPr>
        <w:t>:</w:t>
      </w:r>
    </w:p>
    <w:p>
      <w:pPr>
        <w:pStyle w:val="Heading5"/>
        <w:numPr>
          <w:ilvl w:val="4"/>
          <w:numId w:val="1"/>
        </w:numPr>
        <w:rPr/>
      </w:pPr>
      <w:bookmarkStart w:id="596" w:name="__RefHeading___Toc7812538_3381743652"/>
      <w:bookmarkStart w:id="597" w:name="_Toc228"/>
      <w:bookmarkEnd w:id="596"/>
      <w:r>
        <w:rPr/>
        <w:t>1</w:t>
      </w:r>
      <w:r>
        <w:rPr>
          <w:rtl w:val="true"/>
        </w:rPr>
        <w:t xml:space="preserve">. </w:t>
      </w:r>
      <w:r>
        <w:rPr>
          <w:rtl w:val="true"/>
        </w:rPr>
        <w:t>رجعت از سنخ معاد جسمانی است</w:t>
      </w:r>
      <w:bookmarkEnd w:id="59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دلیلی که برای اثبات امکان رجعت بدان تمسک شده است، هم سنخ بودن آن با </w:t>
      </w:r>
    </w:p>
    <w:p>
      <w:pPr>
        <w:pStyle w:val="BookText"/>
        <w:rPr/>
      </w:pP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همان ادله ای که معاد جسمانی اثبات می شود، امکان رجعت نیز قابل اثبات است</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توضیح این که رجعت و معاد جسمانی، دو مصداق یک حقیقتند که همان دوباره زنده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دوباره زنده شدن، امری ممکن باشد، رجعت نیز ممکن خواهد بود و اگر دوباره زنده شدن، امری محال باشد، معاد جسمانی نیز محال خواهد بود؛ زیرا همانگونه که در جای خود به اثبات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الأمثال فی ما یجوز و فیما الایجوز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اساس این قاعده، اگر معاد جسمانی ممکن باشد، رجعت که مثل آن است نیز ممکن خواهد بود</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از آنجا که در باب معاد، مسلمانان نه تنها امکان آن، بلکه وقوع آن را نیز امری مسلم می دانند، پس منطقا هیچ مسلمانی نمی تواند در امکان رجعت تردید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سید مرتضی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اختلافی، میان مسلمانان در امکان و مقدور بودن آنچه شیعه در مسئله رجعت می گوید، برای خدا نیست؛ اختلافی که هست، این است که آیا چنین چیزی در آینده واقع خواهد شد یا نه؟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نیز برخی از دانشمندان اهل سنت تصریح کرده اند که اصل احیای پس از مرگ و برگشتن به دنیا از اموری است که مقدور خداوند است و نمی توان در آن تردید کرد؛ اختلافی که هست، در وقوع آن است</w:t>
      </w:r>
      <w:r>
        <w:rPr>
          <w:rFonts w:eastAsia="IRNazanin" w:cs="IRNazanin"/>
          <w:color w:val="111111"/>
          <w:sz w:val="28"/>
          <w:szCs w:val="28"/>
          <w:rtl w:val="true"/>
          <w:lang w:bidi="fa-IR"/>
        </w:rPr>
        <w:t>.</w:t>
      </w:r>
      <w:r>
        <w:rPr>
          <w:rStyle w:val="FootnoteAnchor"/>
          <w:rtl w:val="true"/>
        </w:rPr>
        <w:footnoteReference w:id="69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برهان ذکر شده را به صورت زیر می توان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رجعت از سنخ معاد جسمانی است، هر چیزی که از سنخ معاد جسمانی باشد، ممکن است؛ پس رجعت نیز </w:t>
      </w:r>
      <w:bookmarkStart w:id="598" w:name="pg14387_143795"/>
    </w:p>
    <w:p>
      <w:pPr>
        <w:pStyle w:val="BookText"/>
        <w:rPr/>
      </w:pPr>
      <w:bookmarkEnd w:id="598"/>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p>
    <w:p>
      <w:pPr>
        <w:pStyle w:val="Heading5"/>
        <w:numPr>
          <w:ilvl w:val="4"/>
          <w:numId w:val="1"/>
        </w:numPr>
        <w:rPr/>
      </w:pPr>
      <w:bookmarkStart w:id="599" w:name="__RefHeading___Toc7812540_3381743652"/>
      <w:bookmarkStart w:id="600" w:name="_Toc229"/>
      <w:bookmarkEnd w:id="599"/>
      <w:r>
        <w:rPr/>
        <w:t>۲</w:t>
      </w:r>
      <w:r>
        <w:rPr>
          <w:rtl w:val="true"/>
        </w:rPr>
        <w:t xml:space="preserve">. </w:t>
      </w:r>
      <w:r>
        <w:rPr>
          <w:rtl w:val="true"/>
        </w:rPr>
        <w:t>وقوع رجعت در خارج</w:t>
      </w:r>
      <w:bookmarkEnd w:id="600"/>
    </w:p>
    <w:p>
      <w:pPr>
        <w:pStyle w:val="BookText"/>
        <w:rPr/>
      </w:pPr>
      <w:r>
        <w:rPr>
          <w:rFonts w:ascii="IRNazanin" w:hAnsi="IRNazanin" w:eastAsia="IRNazanin"/>
          <w:color w:val="111111"/>
          <w:sz w:val="28"/>
          <w:sz w:val="28"/>
          <w:szCs w:val="28"/>
          <w:rtl w:val="true"/>
          <w:lang w:bidi="fa-IR"/>
        </w:rPr>
        <w:t>دلیل دیگری که برای اثبات رجعت بدان تمسک شده، وقوع آن در خارج است؛ زیرا همانگونه که معروف است، بهترین دلیل برای امکان یک شیء واقع شدن آن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اثبات شود که حتی در یک مورد، رجعت اتفاق افتاده است، همین مقدار برای اثبات امکان رجعت کافی است و نیازی به دلیل دیگر ندارد؛ از این رو، قائلان به رجعت، با استناد به آیات متعدد قرآن مجید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نه یک بار، بلکه دهها بار در انتهای پیشین رخ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برخی از آنها در آینده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محال بودن رجعت، توهمی باطل است</w:t>
      </w:r>
      <w:r>
        <w:rPr>
          <w:rFonts w:eastAsia="IRNazanin" w:cs="IRNazanin"/>
          <w:color w:val="111111"/>
          <w:sz w:val="28"/>
          <w:szCs w:val="28"/>
          <w:rtl w:val="true"/>
          <w:lang w:bidi="fa-IR"/>
        </w:rPr>
        <w:t>.</w:t>
      </w:r>
    </w:p>
    <w:p>
      <w:pPr>
        <w:pStyle w:val="Heading4"/>
        <w:numPr>
          <w:ilvl w:val="3"/>
          <w:numId w:val="1"/>
        </w:numPr>
        <w:rPr/>
      </w:pPr>
      <w:bookmarkStart w:id="601" w:name="__RefHeading___Toc7812542_3381743652"/>
      <w:bookmarkStart w:id="602" w:name="_Toc230"/>
      <w:bookmarkEnd w:id="601"/>
      <w:r>
        <w:rPr>
          <w:rtl w:val="true"/>
        </w:rPr>
        <w:t>آیا رجعت از اصول دین است؟</w:t>
      </w:r>
      <w:bookmarkEnd w:id="602"/>
    </w:p>
    <w:p>
      <w:pPr>
        <w:pStyle w:val="BookText"/>
        <w:rPr/>
      </w:pPr>
      <w:r>
        <w:rPr>
          <w:rFonts w:ascii="IRNazanin" w:hAnsi="IRNazanin" w:eastAsia="IRNazanin"/>
          <w:color w:val="111111"/>
          <w:sz w:val="28"/>
          <w:sz w:val="28"/>
          <w:szCs w:val="28"/>
          <w:rtl w:val="true"/>
          <w:lang w:bidi="fa-IR"/>
        </w:rPr>
        <w:t>تردیدی نیست که مسئله رجعت، یک مسئله اعتقادی است، نه تاریخی، فقهی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رجعت از منظر مکتب تشیع، از اصول دین است یا از اصول مذهب و یا هیچ کدام، بلکه از ضروریات مذهب شیعه به شمار می رود؟</w:t>
      </w:r>
    </w:p>
    <w:p>
      <w:pPr>
        <w:pStyle w:val="BookText"/>
        <w:rPr/>
      </w:pPr>
      <w:r>
        <w:rPr>
          <w:rFonts w:ascii="IRNazanin" w:hAnsi="IRNazanin" w:eastAsia="IRNazanin"/>
          <w:color w:val="111111"/>
          <w:sz w:val="28"/>
          <w:sz w:val="28"/>
          <w:szCs w:val="28"/>
          <w:rtl w:val="true"/>
          <w:lang w:bidi="fa-IR"/>
        </w:rPr>
        <w:t>برخی آن را از اصول مذهب تشیع</w:t>
      </w:r>
      <w:r>
        <w:rPr>
          <w:rStyle w:val="FootnoteAnchor"/>
          <w:rtl w:val="true"/>
        </w:rPr>
        <w:footnoteReference w:id="697"/>
      </w:r>
      <w:r>
        <w:rPr>
          <w:rFonts w:ascii="IRNazanin" w:hAnsi="IRNazanin" w:eastAsia="IRNazanin"/>
          <w:color w:val="111111"/>
          <w:sz w:val="28"/>
          <w:sz w:val="28"/>
          <w:szCs w:val="28"/>
          <w:rtl w:val="true"/>
          <w:lang w:bidi="fa-IR"/>
        </w:rPr>
        <w:t>و عده ای از ضروریات آن می دانند</w:t>
      </w:r>
      <w:r>
        <w:rPr>
          <w:rStyle w:val="FootnoteAnchor"/>
          <w:rtl w:val="true"/>
        </w:rPr>
        <w:footnoteReference w:id="698"/>
      </w:r>
      <w:r>
        <w:rPr>
          <w:rFonts w:ascii="IRNazanin" w:hAnsi="IRNazanin" w:eastAsia="IRNazanin"/>
          <w:color w:val="111111"/>
          <w:sz w:val="28"/>
          <w:sz w:val="28"/>
          <w:szCs w:val="28"/>
          <w:rtl w:val="true"/>
          <w:lang w:bidi="fa-IR"/>
        </w:rPr>
        <w:t>و دسته سوم نیز بر این باورند که اعتقاد به رجعت، نه از اصول مذهب و نه از ضروریات آن، بلکه از اموری است که نزد اکثر شیعیان، پذیرفته شده است</w:t>
      </w:r>
      <w:r>
        <w:rPr>
          <w:rFonts w:eastAsia="IRNazanin" w:cs="IRNazanin"/>
          <w:color w:val="111111"/>
          <w:sz w:val="28"/>
          <w:szCs w:val="28"/>
          <w:rtl w:val="true"/>
          <w:lang w:bidi="fa-IR"/>
        </w:rPr>
        <w:t>.</w:t>
      </w:r>
      <w:r>
        <w:rPr>
          <w:rStyle w:val="FootnoteAnchor"/>
          <w:rtl w:val="true"/>
        </w:rPr>
        <w:footnoteReference w:id="69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طوسیله این بحث را در آثار خویش به تفصیل مطرح نکرده است، اما ایشان در کتاب عدة الاصول سخنی دارد که بر اساس آن می توان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اصول دین انگاری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یاد شده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سخنان کسانی که در اصول؛ یعنی در توحید، عدل، امامت و ارجاع و جز آن با ما مخالفند، اعتنا نمی کنیم</w:t>
      </w:r>
      <w:r>
        <w:rPr>
          <w:rFonts w:eastAsia="IRNazanin" w:cs="IRNazanin"/>
          <w:color w:val="111111"/>
          <w:sz w:val="28"/>
          <w:szCs w:val="28"/>
          <w:rtl w:val="true"/>
          <w:lang w:bidi="fa-IR"/>
        </w:rPr>
        <w:t>».</w:t>
      </w:r>
      <w:r>
        <w:rPr>
          <w:rStyle w:val="FootnoteAnchor"/>
          <w:rtl w:val="true"/>
        </w:rPr>
        <w:footnoteReference w:id="700"/>
      </w:r>
      <w:bookmarkStart w:id="603" w:name="pg14387_143796"/>
    </w:p>
    <w:p>
      <w:pPr>
        <w:pStyle w:val="BookText"/>
        <w:rPr/>
      </w:pPr>
      <w:bookmarkEnd w:id="603"/>
      <w:r>
        <w:rPr>
          <w:rFonts w:ascii="IRNazanin" w:hAnsi="IRNazanin" w:eastAsia="IRNazanin"/>
          <w:color w:val="111111"/>
          <w:sz w:val="28"/>
          <w:sz w:val="28"/>
          <w:szCs w:val="28"/>
          <w:rtl w:val="true"/>
          <w:lang w:bidi="fa-IR"/>
        </w:rPr>
        <w:t>معنای این سخن آن است که رجعت در ردیف اعتقاد به توحید، عدل و امامت است و از اصول دین به شمار می آید</w:t>
      </w:r>
      <w:r>
        <w:rPr>
          <w:rFonts w:eastAsia="IRNazanin" w:cs="IRNazanin"/>
          <w:color w:val="111111"/>
          <w:sz w:val="28"/>
          <w:szCs w:val="28"/>
          <w:rtl w:val="true"/>
          <w:lang w:bidi="fa-IR"/>
        </w:rPr>
        <w:t>.</w:t>
      </w:r>
    </w:p>
    <w:p>
      <w:pPr>
        <w:pStyle w:val="Heading3"/>
        <w:numPr>
          <w:ilvl w:val="2"/>
          <w:numId w:val="1"/>
        </w:numPr>
        <w:rPr/>
      </w:pPr>
      <w:bookmarkStart w:id="604" w:name="__RefHeading___Toc7812544_3381743652"/>
      <w:bookmarkStart w:id="605" w:name="_Toc231"/>
      <w:bookmarkEnd w:id="604"/>
      <w:r>
        <w:rPr>
          <w:rtl w:val="true"/>
        </w:rPr>
        <w:t>رجعت و دیدگاههای مختلف</w:t>
      </w:r>
      <w:bookmarkEnd w:id="605"/>
    </w:p>
    <w:p>
      <w:pPr>
        <w:pStyle w:val="Heading4"/>
        <w:numPr>
          <w:ilvl w:val="3"/>
          <w:numId w:val="1"/>
        </w:numPr>
        <w:rPr/>
      </w:pPr>
      <w:bookmarkStart w:id="606" w:name="__RefHeading___Toc7812546_3381743652"/>
      <w:bookmarkStart w:id="607" w:name="_Toc232"/>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 xml:space="preserve">در پاسخ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رجعت به معنای بازگشت برخی از اموات به دنیا، در این امت نیز واقع خواهد 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اندیشمندان اسلامی، اختلاف نظر است؛ برخی به این پرسش پاسخ مثبت و برخی دیگر، پاسخ منفی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اختلاف در دو سطح کاملا متفاوت صورت گرفته است؛ گاهی این اختلاف، بیرون مذهبی است و زمانی هم درون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اختلاف نخست، اطراف دعوا را دانشمندان اهل سنت از یک سو و اندیشمندان شیعه از سوی دیگر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به سبب اختلاف مبنایی که با شیعیان دارند، مسئله رجعت را از اساس، انکار کرده اند؛ بر خلاف شیعه که وقوع چنین حادثه ای را امری مسلم می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اختلاف درون مذهبی، اطراف دعوا را خود شیعیان تشکیل می دهند؛ زیرا آنها هرچند در اصل وقوع رجعت، با هم توافق کامل دارند، اما در تفسیر و حقیقت رجعت اختلاف نظر دارند؛ برخی رجعت را به بازگشت دولت و قدرت اهل بیت عل تفسیر کرده اند، اما اکثر شیعیان و از جمله شیخ طوسیله آن را به معنای بازگشت اعیان و اشخاص امامان و بعضی از دوستان و دشمنانشان به دنیا در زمان ظهور قائم عل یا پس از آن می دانند و بدین سان دو رویکرد عمده در میان شیعیان در مسئله رجعت پدید آمد که</w:t>
      </w:r>
    </w:p>
    <w:p>
      <w:pPr>
        <w:pStyle w:val="BookText"/>
        <w:rPr/>
      </w:pPr>
      <w:r>
        <w:rPr>
          <w:rFonts w:ascii="IRNazanin" w:hAnsi="IRNazanin" w:eastAsia="IRNazanin"/>
          <w:color w:val="111111"/>
          <w:sz w:val="28"/>
          <w:sz w:val="28"/>
          <w:szCs w:val="28"/>
          <w:rtl w:val="true"/>
          <w:lang w:bidi="fa-IR"/>
        </w:rPr>
        <w:t>در ادامه، مورد بحث و بررسی قرار خواهد گرفت</w:t>
      </w:r>
      <w:r>
        <w:rPr>
          <w:rFonts w:eastAsia="IRNazanin" w:cs="IRNazanin"/>
          <w:color w:val="111111"/>
          <w:sz w:val="28"/>
          <w:szCs w:val="28"/>
          <w:rtl w:val="true"/>
          <w:lang w:bidi="fa-IR"/>
        </w:rPr>
        <w:t>.</w:t>
      </w:r>
    </w:p>
    <w:p>
      <w:pPr>
        <w:pStyle w:val="Heading4"/>
        <w:numPr>
          <w:ilvl w:val="3"/>
          <w:numId w:val="1"/>
        </w:numPr>
        <w:rPr/>
      </w:pPr>
      <w:bookmarkStart w:id="608" w:name="__RefHeading___Toc7812548_3381743652"/>
      <w:bookmarkStart w:id="609" w:name="_Toc233"/>
      <w:bookmarkEnd w:id="608"/>
      <w:r>
        <w:rPr/>
        <w:t>1</w:t>
      </w:r>
      <w:r>
        <w:rPr>
          <w:rtl w:val="true"/>
        </w:rPr>
        <w:t xml:space="preserve">. </w:t>
      </w:r>
      <w:r>
        <w:rPr>
          <w:rtl w:val="true"/>
        </w:rPr>
        <w:t>رجعت، بازگشت دولت است، نه اشخاص</w:t>
      </w:r>
      <w:bookmarkEnd w:id="60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اشاره شد، رجعت از نظر گروه اندکی از شیعیان متقدم، عبارت است از بازگشت دولت و قدرت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بازگشت اعیان و اشخاص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در هنگام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دولت و قدرت او سراسر عالم را فراگرفته، عدالت واقعی که امامان پیشین، هماره در </w:t>
      </w:r>
      <w:bookmarkStart w:id="610" w:name="pg14387_143797"/>
    </w:p>
    <w:p>
      <w:pPr>
        <w:pStyle w:val="BookText"/>
        <w:rPr/>
      </w:pPr>
      <w:bookmarkEnd w:id="610"/>
      <w:r>
        <w:rPr>
          <w:rFonts w:ascii="IRNazanin" w:hAnsi="IRNazanin" w:eastAsia="IRNazanin"/>
          <w:color w:val="111111"/>
          <w:sz w:val="28"/>
          <w:sz w:val="28"/>
          <w:szCs w:val="28"/>
          <w:rtl w:val="true"/>
          <w:lang w:bidi="fa-IR"/>
        </w:rPr>
        <w:t>صدد تحقق بخشیدن آن بوده اند، در زمان ظهور آن حضرت و به دست مبارک ایشان محقق خواهد شد و چون چنین قدرت و دولتی مورد خواست و تمنای همه امامان معصوم علی و از جمله،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 بوده است، می توان آن را دولت همه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مراد از رجعت، بازگشت قدرت، دولت و سیطره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نه بازگشت اشخاص و اعیان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701"/>
      </w:r>
    </w:p>
    <w:p>
      <w:pPr>
        <w:pStyle w:val="Heading4"/>
        <w:numPr>
          <w:ilvl w:val="3"/>
          <w:numId w:val="1"/>
        </w:numPr>
        <w:rPr/>
      </w:pPr>
      <w:bookmarkStart w:id="611" w:name="__RefHeading___Toc7812550_3381743652"/>
      <w:bookmarkStart w:id="612" w:name="_Toc234"/>
      <w:bookmarkEnd w:id="611"/>
      <w:r>
        <w:rPr/>
        <w:t>۲</w:t>
      </w:r>
      <w:r>
        <w:rPr>
          <w:rtl w:val="true"/>
        </w:rPr>
        <w:t xml:space="preserve">. </w:t>
      </w:r>
      <w:r>
        <w:rPr>
          <w:rtl w:val="true"/>
        </w:rPr>
        <w:t>رجعت یا بازگشت دوباره امامان به دنیا</w:t>
      </w:r>
      <w:bookmarkEnd w:id="612"/>
    </w:p>
    <w:p>
      <w:pPr>
        <w:pStyle w:val="BookText"/>
        <w:rPr/>
      </w:pPr>
      <w:r>
        <w:rPr>
          <w:rFonts w:ascii="IRNazanin" w:hAnsi="IRNazanin" w:eastAsia="IRNazanin"/>
          <w:color w:val="111111"/>
          <w:sz w:val="28"/>
          <w:sz w:val="28"/>
          <w:szCs w:val="28"/>
          <w:rtl w:val="true"/>
          <w:lang w:bidi="fa-IR"/>
        </w:rPr>
        <w:t xml:space="preserve">رویکرد رایج در مسئله رجعت که اکثر شیعیان بدان باور دارند، رجعت به معنای بازگشت اعیان و اشخاص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پیروان و دشمنانشان، هنگام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 از آن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طرز تفکر، امامان معصوم شیعه و تعدادی از دوستان و پیروان صالح آنها با همان اجساد و بدنهای مادی و طبیعی، به دنیا باز می گردند و زمام امور جهان را به دست گرفته، سالیان سال، حکومت می کنند و نیز برخی از دشمنان بدکردار آنها به دنیا بازگردانده می شوند تا به جزای پاره ای از اعمال ننگین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آثار و افکار اندیشمندان شیعه در گذشته و حال، اندک آشنایی دارند، به خوبی می دانند که رجعت به معنای یادشده، در طول تاریخ، از عقاید مسلم شیعه بوده و جز گروهی اندک، کسی با آن مخالفت نکرده است</w:t>
      </w:r>
      <w:r>
        <w:rPr>
          <w:rFonts w:eastAsia="IRNazanin" w:cs="IRNazanin"/>
          <w:color w:val="111111"/>
          <w:sz w:val="28"/>
          <w:szCs w:val="28"/>
          <w:rtl w:val="true"/>
          <w:lang w:bidi="fa-IR"/>
        </w:rPr>
        <w:t>.</w:t>
      </w:r>
    </w:p>
    <w:p>
      <w:pPr>
        <w:pStyle w:val="Heading3"/>
        <w:numPr>
          <w:ilvl w:val="2"/>
          <w:numId w:val="1"/>
        </w:numPr>
        <w:rPr/>
      </w:pPr>
      <w:bookmarkStart w:id="613" w:name="__RefHeading___Toc7812552_3381743652"/>
      <w:bookmarkStart w:id="614" w:name="_Toc235"/>
      <w:bookmarkEnd w:id="613"/>
      <w:r>
        <w:rPr>
          <w:rtl w:val="true"/>
        </w:rPr>
        <w:t>دلایل وقوع رجعت در امت اسلامی</w:t>
      </w:r>
      <w:bookmarkEnd w:id="614"/>
    </w:p>
    <w:p>
      <w:pPr>
        <w:pStyle w:val="Heading4"/>
        <w:numPr>
          <w:ilvl w:val="3"/>
          <w:numId w:val="1"/>
        </w:numPr>
        <w:rPr/>
      </w:pPr>
      <w:bookmarkStart w:id="615" w:name="__RefHeading___Toc7812554_3381743652"/>
      <w:bookmarkStart w:id="616" w:name="_Toc236"/>
      <w:bookmarkEnd w:id="615"/>
      <w:r>
        <w:rPr>
          <w:rtl w:val="true"/>
        </w:rPr>
        <w:t>اشاره</w:t>
      </w:r>
      <w:bookmarkEnd w:id="61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صحت اعتقاد به رجعت به معنای معروف آن، ادله فراوانی ارائه شده است؛ تا آنجا که برخی از اندیشمندان شیعه</w:t>
      </w:r>
      <w:r>
        <w:rPr>
          <w:rStyle w:val="FootnoteAnchor"/>
          <w:rtl w:val="true"/>
        </w:rPr>
        <w:footnoteReference w:id="702"/>
      </w:r>
      <w:r>
        <w:rPr>
          <w:rFonts w:ascii="IRNazanin" w:hAnsi="IRNazanin" w:eastAsia="IRNazanin"/>
          <w:color w:val="111111"/>
          <w:sz w:val="28"/>
          <w:sz w:val="28"/>
          <w:szCs w:val="28"/>
          <w:rtl w:val="true"/>
          <w:lang w:bidi="fa-IR"/>
        </w:rPr>
        <w:t>، بیش از ده دلیل بر آن اقامه کرده اند و ما مهمترین آنها را که عبارتند از اجماع، ضرورت و پاره ای از آیات و روایات، به اختصار مورد بررسی قرار می دهیم</w:t>
      </w:r>
      <w:r>
        <w:rPr>
          <w:rFonts w:eastAsia="IRNazanin" w:cs="IRNazanin"/>
          <w:color w:val="111111"/>
          <w:sz w:val="28"/>
          <w:szCs w:val="28"/>
          <w:rtl w:val="true"/>
          <w:lang w:bidi="fa-IR"/>
        </w:rPr>
        <w:t xml:space="preserve">. </w:t>
      </w:r>
      <w:bookmarkStart w:id="617" w:name="pg14387_143798"/>
    </w:p>
    <w:p>
      <w:pPr>
        <w:pStyle w:val="Heading4"/>
        <w:numPr>
          <w:ilvl w:val="3"/>
          <w:numId w:val="1"/>
        </w:numPr>
        <w:rPr/>
      </w:pPr>
      <w:bookmarkStart w:id="618" w:name="__RefHeading___Toc7812556_3381743652"/>
      <w:bookmarkStart w:id="619" w:name="_Toc237"/>
      <w:bookmarkEnd w:id="617"/>
      <w:bookmarkEnd w:id="618"/>
      <w:r>
        <w:rPr/>
        <w:t>١</w:t>
      </w:r>
      <w:r>
        <w:rPr>
          <w:rtl w:val="true"/>
        </w:rPr>
        <w:t xml:space="preserve">. </w:t>
      </w:r>
      <w:r>
        <w:rPr>
          <w:rtl w:val="true"/>
        </w:rPr>
        <w:t>اجماع</w:t>
      </w:r>
      <w:bookmarkEnd w:id="619"/>
    </w:p>
    <w:p>
      <w:pPr>
        <w:pStyle w:val="BookText"/>
        <w:rPr/>
      </w:pPr>
      <w:r>
        <w:rPr>
          <w:rFonts w:ascii="IRNazanin" w:hAnsi="IRNazanin" w:eastAsia="IRNazanin"/>
          <w:color w:val="111111"/>
          <w:sz w:val="28"/>
          <w:sz w:val="28"/>
          <w:szCs w:val="28"/>
          <w:rtl w:val="true"/>
          <w:lang w:bidi="fa-IR"/>
        </w:rPr>
        <w:t xml:space="preserve">عمده ترین دلیل قائلان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اجماع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بسیاری از اندیشمندان شیعه و از جمله شیخ طوسیله برای اثبات صحت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اجماع 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کتاب اعتقادات، مسئله رجعت را یک مسئله اجماعی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این است که آن، حق است</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شیخ مفید نیز به اجماعی بودن مسئله رجعت تصریح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به بازگشت بعضی از اموات، قبل از قیامت اتفاق نظر دارند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سید مرتضی در آثارش، چندین بار به اجماعی بودن مسئله رجعت اشاره کرده است؛ از جمله در رساله دمشقیات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اجماع دارند که خداوند، هنگام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دوستان آن حضرت را برای یاری او و جمعی از دشمنانشان را برای عذاب، به دنیا باز می گرداند</w:t>
      </w:r>
      <w:r>
        <w:rPr>
          <w:rFonts w:eastAsia="IRNazanin" w:cs="IRNazanin"/>
          <w:color w:val="111111"/>
          <w:sz w:val="28"/>
          <w:szCs w:val="28"/>
          <w:rtl w:val="true"/>
          <w:lang w:bidi="fa-IR"/>
        </w:rPr>
        <w:t>...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و نیز در پاسخ پرسشهایی که اهل ری از ایشان کردند،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اثبات رجعت، اجماع امامیه بر وقوع آن است و اجماع این طایفه، چنان که بارها گفته ایم، حجت است؛ زیرا چنین اجماعی مشتمل بر معصوم است، پس وقوع رجعت، امری قطعی است</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مرحوم طبرسی در مجمع البیان در پاسخ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به معنای بازگشت دولت است، نه اعیان اشخاص،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با ظواهر اخبار که در این زمینه وارد شده است، اثبات نشده تا تأویل در آن راه داشته باشد، بلکه مستند رجعت، اجماع امامیه است؛ هرچند اخبار نیز مؤید آن است</w:t>
      </w:r>
      <w:r>
        <w:rPr>
          <w:rFonts w:eastAsia="IRNazanin" w:cs="IRNazanin"/>
          <w:color w:val="111111"/>
          <w:sz w:val="28"/>
          <w:szCs w:val="28"/>
          <w:rtl w:val="true"/>
          <w:lang w:bidi="fa-IR"/>
        </w:rPr>
        <w:t>.</w:t>
      </w:r>
      <w:r>
        <w:rPr>
          <w:rStyle w:val="FootnoteAnchor"/>
          <w:rtl w:val="true"/>
        </w:rPr>
        <w:footnoteReference w:id="70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اندیشمندان متأخر امامیه نیز به اجماعی بودن رجعت اشاره کرده اند که </w:t>
      </w:r>
      <w:bookmarkStart w:id="620" w:name="pg14387_143799"/>
    </w:p>
    <w:p>
      <w:pPr>
        <w:pStyle w:val="BookText"/>
        <w:rPr/>
      </w:pPr>
      <w:bookmarkEnd w:id="620"/>
      <w:r>
        <w:rPr>
          <w:rFonts w:ascii="IRNazanin" w:hAnsi="IRNazanin" w:eastAsia="IRNazanin"/>
          <w:color w:val="111111"/>
          <w:sz w:val="28"/>
          <w:sz w:val="28"/>
          <w:szCs w:val="28"/>
          <w:rtl w:val="true"/>
          <w:lang w:bidi="fa-IR"/>
        </w:rPr>
        <w:t>برای مثال می توان از علامه مجلسی</w:t>
      </w:r>
      <w:r>
        <w:rPr>
          <w:rStyle w:val="FootnoteAnchor"/>
          <w:rtl w:val="true"/>
        </w:rPr>
        <w:footnoteReference w:id="708"/>
      </w:r>
      <w:r>
        <w:rPr>
          <w:rFonts w:ascii="IRNazanin" w:hAnsi="IRNazanin" w:eastAsia="IRNazanin"/>
          <w:color w:val="111111"/>
          <w:sz w:val="28"/>
          <w:sz w:val="28"/>
          <w:szCs w:val="28"/>
          <w:rtl w:val="true"/>
          <w:lang w:bidi="fa-IR"/>
        </w:rPr>
        <w:t>، شیخ حر عاملی</w:t>
      </w:r>
      <w:r>
        <w:rPr>
          <w:rStyle w:val="FootnoteAnchor"/>
          <w:rtl w:val="true"/>
        </w:rPr>
        <w:footnoteReference w:id="709"/>
      </w:r>
      <w:r>
        <w:rPr>
          <w:rFonts w:ascii="IRNazanin" w:hAnsi="IRNazanin" w:eastAsia="IRNazanin"/>
          <w:color w:val="111111"/>
          <w:sz w:val="28"/>
          <w:sz w:val="28"/>
          <w:szCs w:val="28"/>
          <w:rtl w:val="true"/>
          <w:lang w:bidi="fa-IR"/>
        </w:rPr>
        <w:t>و محمدرضا مظفر</w:t>
      </w:r>
      <w:r>
        <w:rPr>
          <w:rStyle w:val="FootnoteAnchor"/>
          <w:rtl w:val="true"/>
        </w:rPr>
        <w:footnoteReference w:id="710"/>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اعتقاد به رجعت را یک مسئله اجماعی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رد نظر کسانی که برای اثبات عذاب قبر،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 بار میراندی و دو بار زنده ساختی</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استناد کرده اند،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اثبات عذاب قبر، نمی توان به این آیه استدلال کرد؛ زیرا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بسیاری از مردگان را اثبات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مرگ در قبر، دو مرگ و دو حیات را اثبات می کنند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و همانگونه که می دانیم،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اجماع دارد</w:t>
      </w:r>
      <w:r>
        <w:rPr>
          <w:rFonts w:eastAsia="IRNazanin" w:cs="IRNazanin"/>
          <w:color w:val="111111"/>
          <w:sz w:val="28"/>
          <w:szCs w:val="28"/>
          <w:rtl w:val="true"/>
          <w:lang w:bidi="fa-IR"/>
        </w:rPr>
        <w:t>.</w:t>
      </w:r>
    </w:p>
    <w:p>
      <w:pPr>
        <w:pStyle w:val="Heading4"/>
        <w:numPr>
          <w:ilvl w:val="3"/>
          <w:numId w:val="1"/>
        </w:numPr>
        <w:rPr/>
      </w:pPr>
      <w:bookmarkStart w:id="621" w:name="__RefHeading___Toc7812558_3381743652"/>
      <w:bookmarkStart w:id="622" w:name="_Toc238"/>
      <w:bookmarkEnd w:id="621"/>
      <w:r>
        <w:rPr/>
        <w:t>۲</w:t>
      </w:r>
      <w:r>
        <w:rPr>
          <w:rtl w:val="true"/>
        </w:rPr>
        <w:t xml:space="preserve">. </w:t>
      </w:r>
      <w:r>
        <w:rPr>
          <w:rtl w:val="true"/>
        </w:rPr>
        <w:t>ضرورت</w:t>
      </w:r>
      <w:bookmarkEnd w:id="622"/>
    </w:p>
    <w:p>
      <w:pPr>
        <w:pStyle w:val="BookText"/>
        <w:rPr/>
      </w:pPr>
      <w:r>
        <w:rPr>
          <w:rFonts w:ascii="IRNazanin" w:hAnsi="IRNazanin" w:eastAsia="IRNazanin"/>
          <w:color w:val="111111"/>
          <w:sz w:val="28"/>
          <w:sz w:val="28"/>
          <w:szCs w:val="28"/>
          <w:rtl w:val="true"/>
          <w:lang w:bidi="fa-IR"/>
        </w:rPr>
        <w:t>یکی از دلایلی که طرفداران رجعت بدان تمسک کرده اند، ادعای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به معنایی که گذشت، نه تنها اجماعی است، بلکه از ضروریات مذهب شیعه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علامه محمدباقر مجلسی 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از جمله اجماعیات، بلکه از ضروریات مذهب فریقه محقه، حقیت رجعت است</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از دیگر کسانی که در باب رجعت ادعای ضرورت کرده اند، می توان شیخ حر عاملی</w:t>
      </w:r>
      <w:r>
        <w:rPr>
          <w:rStyle w:val="FootnoteAnchor"/>
          <w:rtl w:val="true"/>
        </w:rPr>
        <w:footnoteReference w:id="714"/>
      </w:r>
      <w:r>
        <w:rPr>
          <w:rFonts w:ascii="IRNazanin" w:hAnsi="IRNazanin" w:eastAsia="IRNazanin"/>
          <w:color w:val="111111"/>
          <w:sz w:val="28"/>
          <w:sz w:val="28"/>
          <w:szCs w:val="28"/>
          <w:rtl w:val="true"/>
          <w:lang w:bidi="fa-IR"/>
        </w:rPr>
        <w:t>، سیدعبدالله شبر</w:t>
      </w:r>
      <w:r>
        <w:rPr>
          <w:rStyle w:val="FootnoteAnchor"/>
          <w:rtl w:val="true"/>
        </w:rPr>
        <w:footnoteReference w:id="715"/>
      </w:r>
      <w:r>
        <w:rPr>
          <w:rFonts w:ascii="IRNazanin" w:hAnsi="IRNazanin" w:eastAsia="IRNazanin"/>
          <w:color w:val="111111"/>
          <w:sz w:val="28"/>
          <w:sz w:val="28"/>
          <w:szCs w:val="28"/>
          <w:rtl w:val="true"/>
          <w:lang w:bidi="fa-IR"/>
        </w:rPr>
        <w:t xml:space="preserve">، محمدحسین میلانی </w:t>
      </w:r>
      <w:r>
        <w:rPr>
          <w:rStyle w:val="FootnoteAnchor"/>
          <w:rtl w:val="true"/>
        </w:rPr>
        <w:footnoteReference w:id="716"/>
      </w:r>
      <w:r>
        <w:rPr>
          <w:rFonts w:ascii="IRNazanin" w:hAnsi="IRNazanin" w:eastAsia="IRNazanin"/>
          <w:color w:val="111111"/>
          <w:sz w:val="28"/>
          <w:sz w:val="28"/>
          <w:szCs w:val="28"/>
          <w:rtl w:val="true"/>
          <w:lang w:bidi="fa-IR"/>
        </w:rPr>
        <w:t xml:space="preserve">و محمدرضا طبسی </w:t>
      </w:r>
      <w:r>
        <w:rPr>
          <w:rStyle w:val="FootnoteAnchor"/>
          <w:rtl w:val="true"/>
        </w:rPr>
        <w:footnoteReference w:id="717"/>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آثار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نگارنده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صریحی در این زمینه دیده نشده است، اما از آنجا که وی رجعت را از اصول اعتقادی شیعه میداند</w:t>
      </w:r>
      <w:r>
        <w:rPr>
          <w:rStyle w:val="FootnoteAnchor"/>
          <w:rtl w:val="true"/>
        </w:rPr>
        <w:footnoteReference w:id="718"/>
      </w:r>
      <w:r>
        <w:rPr>
          <w:rFonts w:ascii="IRNazanin" w:hAnsi="IRNazanin" w:eastAsia="IRNazanin"/>
          <w:color w:val="111111"/>
          <w:sz w:val="28"/>
          <w:sz w:val="28"/>
          <w:szCs w:val="28"/>
          <w:rtl w:val="true"/>
          <w:lang w:bidi="fa-IR"/>
        </w:rPr>
        <w:t xml:space="preserve">و اصول اعتقادی، از ضروریات است، پس می توان نتیجه گرفت که رجعت از نظر شیخ </w:t>
      </w:r>
      <w:bookmarkStart w:id="623" w:name="pg14387_143800"/>
    </w:p>
    <w:p>
      <w:pPr>
        <w:pStyle w:val="BookText"/>
        <w:rPr/>
      </w:pPr>
      <w:bookmarkEnd w:id="623"/>
      <w:r>
        <w:rPr>
          <w:rFonts w:ascii="IRNazanin" w:hAnsi="IRNazanin" w:eastAsia="IRNazanin"/>
          <w:color w:val="111111"/>
          <w:sz w:val="28"/>
          <w:sz w:val="28"/>
          <w:szCs w:val="28"/>
          <w:rtl w:val="true"/>
          <w:lang w:bidi="fa-IR"/>
        </w:rPr>
        <w:t>طوسی نیز امری ضروری تلقی می شود</w:t>
      </w:r>
      <w:r>
        <w:rPr>
          <w:rFonts w:eastAsia="IRNazanin" w:cs="IRNazanin"/>
          <w:color w:val="111111"/>
          <w:sz w:val="28"/>
          <w:szCs w:val="28"/>
          <w:rtl w:val="true"/>
          <w:lang w:bidi="fa-IR"/>
        </w:rPr>
        <w:t>.</w:t>
      </w:r>
    </w:p>
    <w:p>
      <w:pPr>
        <w:pStyle w:val="Heading4"/>
        <w:numPr>
          <w:ilvl w:val="3"/>
          <w:numId w:val="1"/>
        </w:numPr>
        <w:rPr/>
      </w:pPr>
      <w:bookmarkStart w:id="624" w:name="__RefHeading___Toc7812560_3381743652"/>
      <w:bookmarkStart w:id="625" w:name="_Toc239"/>
      <w:bookmarkEnd w:id="624"/>
      <w:r>
        <w:rPr/>
        <w:t>3</w:t>
      </w:r>
      <w:r>
        <w:rPr>
          <w:rtl w:val="true"/>
        </w:rPr>
        <w:t xml:space="preserve">. </w:t>
      </w:r>
      <w:r>
        <w:rPr>
          <w:rtl w:val="true"/>
        </w:rPr>
        <w:t>رجعت در قرآن</w:t>
      </w:r>
      <w:bookmarkEnd w:id="625"/>
    </w:p>
    <w:p>
      <w:pPr>
        <w:pStyle w:val="Heading5"/>
        <w:numPr>
          <w:ilvl w:val="4"/>
          <w:numId w:val="1"/>
        </w:numPr>
        <w:rPr/>
      </w:pPr>
      <w:bookmarkStart w:id="626" w:name="__RefHeading___Toc7812562_3381743652"/>
      <w:bookmarkStart w:id="627" w:name="_Toc240"/>
      <w:bookmarkEnd w:id="626"/>
      <w:r>
        <w:rPr>
          <w:rtl w:val="true"/>
        </w:rPr>
        <w:t>اشاره</w:t>
      </w:r>
      <w:bookmarkEnd w:id="627"/>
    </w:p>
    <w:p>
      <w:pPr>
        <w:pStyle w:val="BookText"/>
        <w:rPr/>
      </w:pPr>
      <w:r>
        <w:rPr>
          <w:rFonts w:ascii="IRNazanin" w:hAnsi="IRNazanin" w:eastAsia="IRNazanin"/>
          <w:color w:val="111111"/>
          <w:sz w:val="28"/>
          <w:sz w:val="28"/>
          <w:szCs w:val="28"/>
          <w:rtl w:val="true"/>
          <w:lang w:bidi="fa-IR"/>
        </w:rPr>
        <w:t>برخی برای اثبات رجعت، به آیات قرآن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آیاتی را که در این زمینه بدان تمسک شده است می توان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که بر وقوع رجعت در امتهای پیشین دلالت دارد و دسته ای که بر وقوع آن در آینده دلالت میکند</w:t>
      </w:r>
      <w:r>
        <w:rPr>
          <w:rFonts w:eastAsia="IRNazanin" w:cs="IRNazanin"/>
          <w:color w:val="111111"/>
          <w:sz w:val="28"/>
          <w:szCs w:val="28"/>
          <w:rtl w:val="true"/>
          <w:lang w:bidi="fa-IR"/>
        </w:rPr>
        <w:t>.</w:t>
      </w:r>
    </w:p>
    <w:p>
      <w:pPr>
        <w:pStyle w:val="Heading5"/>
        <w:numPr>
          <w:ilvl w:val="4"/>
          <w:numId w:val="1"/>
        </w:numPr>
        <w:rPr/>
      </w:pPr>
      <w:bookmarkStart w:id="628" w:name="__RefHeading___Toc7812564_3381743652"/>
      <w:bookmarkStart w:id="629" w:name="_Toc241"/>
      <w:bookmarkEnd w:id="628"/>
      <w:r>
        <w:rPr>
          <w:rtl w:val="true"/>
        </w:rPr>
        <w:t>وقوع رجعت در امتهای گذشته</w:t>
      </w:r>
      <w:bookmarkEnd w:id="629"/>
    </w:p>
    <w:p>
      <w:pPr>
        <w:pStyle w:val="BookText"/>
        <w:rPr/>
      </w:pPr>
      <w:r>
        <w:rPr>
          <w:rFonts w:ascii="IRNazanin" w:hAnsi="IRNazanin" w:eastAsia="IRNazanin"/>
          <w:color w:val="111111"/>
          <w:sz w:val="28"/>
          <w:sz w:val="28"/>
          <w:szCs w:val="28"/>
          <w:rtl w:val="true"/>
          <w:lang w:bidi="fa-IR"/>
        </w:rPr>
        <w:t>استدلال به آیاتی را که حکایت از وقوع رجعت در امتهای گذشته دارد می توان در قالب یک قیاس منطقی به صورت زیر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امری است که بارها در انتهای پیشین رخ داده است و هر امری که در امتهای گذشته رخ داده باشد، در این امت نیز واقع خواهد شد؛ پس نتیجه می گیریم که رجعت در این امت نیز واقع خواهد شد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توضیح این که همانگونه که ملاحظه می شود، استدلال مزبور به صورت شکل اول از اشکال چهارگانه استدلال منطقی است که در صورت تمام بودن مقدمات آن، در صحت نتیجه آن نمی توان تردید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اکنون باید دید آیا مقدمات آن تمام است یا خیر؟ برای اثبات مقدمۀ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زیر که همگی دلالت بر وقوع رجعت در امتهای گذشته دارد، تمسک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گروهی از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زنده شدن این جمع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کسانی را که هزاران هزار بودند و از بیم مرگ، از خانه و کاشانه خود به در رفتند، ندانسته ای؟ که خداوند به آنان گفت بمیرید او مردند سپس آنان را زنده</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72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روایاتی که در تفسیر این آیه شریفه وارد شده است، گروهی از بنی اسرائیل </w:t>
      </w:r>
    </w:p>
    <w:p>
      <w:pPr>
        <w:pStyle w:val="BookText"/>
        <w:rPr/>
      </w:pPr>
      <w:r>
        <w:rPr>
          <w:rFonts w:ascii="IRNazanin" w:hAnsi="IRNazanin" w:eastAsia="IRNazanin"/>
          <w:color w:val="111111"/>
          <w:sz w:val="28"/>
          <w:sz w:val="28"/>
          <w:szCs w:val="28"/>
          <w:rtl w:val="true"/>
          <w:lang w:bidi="fa-IR"/>
        </w:rPr>
        <w:t xml:space="preserve">که بالغ بر هفتاد هزار نفر بودند، از ترس طاعون فرار کرده و در کنار ساحلی گرد آمده بودند که ناگاه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صادر شد و همگی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طولانی بدین منوال گذشت تا این که روزی گذر یکی از پیامبران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جا افتاد و از خداوند درخواست کرد تا آنها را زنده کند و خداوند نیز چنین فرمود و آنها بعد از مدتی طولانی، دوباره زنده شدند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هفتاد نفر از قوم موسی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خطاب به آن عده از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دوباره زنده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پس از مردنتان شما را دیگربارا زنده کردیم تا سپاس بگزارید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بر اساس این آیه و آیه قبلی، جمعی از اصحاب موسی که در میعادگاه، همراه آن حضرت حضور یافته بودند، در اثر صاعقه ای جان باختند و خداوند، آنها را بار دیگر به صحنه حیات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موارد رجعت که در امتهای گذشته رخ داده است، می توان به رجعت عزیر 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صد سال به دنیا</w:t>
      </w:r>
      <w:r>
        <w:rPr>
          <w:rStyle w:val="FootnoteAnchor"/>
          <w:rtl w:val="true"/>
        </w:rPr>
        <w:footnoteReference w:id="723"/>
      </w:r>
      <w:r>
        <w:rPr>
          <w:rFonts w:ascii="IRNazanin" w:hAnsi="IRNazanin" w:eastAsia="IRNazanin"/>
          <w:color w:val="111111"/>
          <w:sz w:val="28"/>
          <w:sz w:val="28"/>
          <w:szCs w:val="28"/>
          <w:rtl w:val="true"/>
          <w:lang w:bidi="fa-IR"/>
        </w:rPr>
        <w:t>و رجعت اصحاب کهف</w:t>
      </w:r>
      <w:r>
        <w:rPr>
          <w:rStyle w:val="FootnoteAnchor"/>
          <w:rtl w:val="true"/>
        </w:rPr>
        <w:footnoteReference w:id="724"/>
      </w:r>
      <w:r>
        <w:rPr>
          <w:rFonts w:ascii="IRNazanin" w:hAnsi="IRNazanin" w:eastAsia="IRNazanin"/>
          <w:color w:val="111111"/>
          <w:sz w:val="28"/>
          <w:sz w:val="28"/>
          <w:szCs w:val="28"/>
          <w:rtl w:val="true"/>
          <w:lang w:bidi="fa-IR"/>
        </w:rPr>
        <w:t>و برگشت اهل ایوب</w:t>
      </w:r>
      <w:r>
        <w:rPr>
          <w:rStyle w:val="FootnoteAnchor"/>
          <w:rtl w:val="true"/>
        </w:rPr>
        <w:footnoteReference w:id="725"/>
      </w:r>
      <w:r>
        <w:rPr>
          <w:rFonts w:ascii="IRNazanin" w:hAnsi="IRNazanin" w:eastAsia="IRNazanin"/>
          <w:color w:val="111111"/>
          <w:sz w:val="28"/>
          <w:sz w:val="28"/>
          <w:szCs w:val="28"/>
          <w:rtl w:val="true"/>
          <w:lang w:bidi="fa-IR"/>
        </w:rPr>
        <w:t>و رجعت ذی القرنین</w:t>
      </w:r>
      <w:r>
        <w:rPr>
          <w:rStyle w:val="FootnoteAnchor"/>
          <w:rtl w:val="true"/>
        </w:rPr>
        <w:footnoteReference w:id="72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اذعان به وقوع رجعت در امتهای گذشته، اختصاص به قرآن ندارد، بلکه در برخی کتب ادیان آسمانی دیگر نیز اشاراتی بدان رفته است؛ برای مثال، زنده شدن شماری از مردگان با معجزه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انجیلهای چهارگانه به شمار می رود</w:t>
      </w:r>
      <w:r>
        <w:rPr>
          <w:rFonts w:eastAsia="IRNazanin" w:cs="IRNazanin"/>
          <w:color w:val="111111"/>
          <w:sz w:val="28"/>
          <w:szCs w:val="28"/>
          <w:rtl w:val="true"/>
          <w:lang w:bidi="fa-IR"/>
        </w:rPr>
        <w:t>.</w:t>
      </w:r>
      <w:r>
        <w:rPr>
          <w:rStyle w:val="FootnoteAnchor"/>
          <w:rtl w:val="true"/>
        </w:rPr>
        <w:footnoteReference w:id="727"/>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تردیدی در تمام بودن مقدمۀ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رجعت در امتهای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هر چیزی که در انتهای پیشین واقع شده باشد، در این امت نیز رخ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bookmarkStart w:id="630" w:name="pg14387_143802"/>
    </w:p>
    <w:p>
      <w:pPr>
        <w:pStyle w:val="BookText"/>
        <w:rPr/>
      </w:pPr>
      <w:bookmarkEnd w:id="630"/>
      <w:r>
        <w:rPr>
          <w:rFonts w:ascii="IRNazanin" w:hAnsi="IRNazanin" w:eastAsia="IRNazanin"/>
          <w:color w:val="111111"/>
          <w:sz w:val="28"/>
          <w:sz w:val="28"/>
          <w:szCs w:val="28"/>
          <w:rtl w:val="true"/>
          <w:lang w:bidi="fa-IR"/>
        </w:rPr>
        <w:t>برای اثبات این مقدمه به حدیث نبوی مورد قبول شیعه و اهل سنت تمسک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حدیث که با تعابیر مختلف روایت شده، چنین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که در امتهای پیشین رخ داده باشد، در این امت نیز رخ خواهد داد</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بدین سان مقدمه دوم قیاس که برگرفته شده از حدیث نبوی است نیز اثبات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نتیجه آن نباید تردید کرد و آن این که رجعت در این امت نیز واقع خواهد شد</w:t>
      </w:r>
      <w:r>
        <w:rPr>
          <w:rFonts w:eastAsia="IRNazanin" w:cs="IRNazanin"/>
          <w:color w:val="111111"/>
          <w:sz w:val="28"/>
          <w:szCs w:val="28"/>
          <w:rtl w:val="true"/>
          <w:lang w:bidi="fa-IR"/>
        </w:rPr>
        <w:t>.</w:t>
      </w:r>
    </w:p>
    <w:p>
      <w:pPr>
        <w:pStyle w:val="Heading5"/>
        <w:numPr>
          <w:ilvl w:val="4"/>
          <w:numId w:val="1"/>
        </w:numPr>
        <w:rPr/>
      </w:pPr>
      <w:bookmarkStart w:id="631" w:name="__RefHeading___Toc7812566_3381743652"/>
      <w:bookmarkStart w:id="632" w:name="_Toc242"/>
      <w:bookmarkEnd w:id="631"/>
      <w:r>
        <w:rPr>
          <w:rtl w:val="true"/>
        </w:rPr>
        <w:t>شیخ طوسی و استدلال به آیات</w:t>
      </w:r>
      <w:bookmarkEnd w:id="632"/>
    </w:p>
    <w:p>
      <w:pPr>
        <w:pStyle w:val="BookText"/>
        <w:rPr/>
      </w:pPr>
      <w:r>
        <w:rPr>
          <w:rFonts w:ascii="IRNazanin" w:hAnsi="IRNazanin" w:eastAsia="IRNazanin"/>
          <w:color w:val="111111"/>
          <w:sz w:val="28"/>
          <w:sz w:val="28"/>
          <w:szCs w:val="28"/>
          <w:rtl w:val="true"/>
          <w:lang w:bidi="fa-IR"/>
        </w:rPr>
        <w:t>اکنون باید دید که نظر شیخ در این زمینه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نیز استدلال گذشته را می پذیرد یا خیر؟ در صورتی که پاسخ منفی باشد، دلیل ایشان بر رد این استدلال چیست؟</w:t>
      </w:r>
    </w:p>
    <w:p>
      <w:pPr>
        <w:pStyle w:val="BookText"/>
        <w:rPr/>
      </w:pPr>
      <w:r>
        <w:rPr>
          <w:rFonts w:ascii="IRNazanin" w:hAnsi="IRNazanin" w:eastAsia="IRNazanin"/>
          <w:color w:val="111111"/>
          <w:sz w:val="28"/>
          <w:sz w:val="28"/>
          <w:szCs w:val="28"/>
          <w:rtl w:val="true"/>
          <w:lang w:bidi="fa-IR"/>
        </w:rPr>
        <w:t xml:space="preserve">شیخ به هرچند در تک تک آیاتی که دال بر وقوع رجعت در امتهای پیشین است، بحث رجعت را مطرح نکرده است، در ذیل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پس از مردن، زنده ساختیم، شاید سپاسگزار شوید</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 سخنی دارد که موضع وی را در برابر استدلال به تمام آیات یاد شده،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ذیل تفسیر آیه مزبور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نمی توان برای اثبات رجعت استدلال کرد؛ زیرا احیای گروهی در وقتی، بر احیای دیگران در وقتی دیگر دلالت نمی کند، بلکه اثبات این مطلب، نیازمند دلیلی دیگر است</w:t>
      </w:r>
      <w:r>
        <w:rPr>
          <w:rFonts w:eastAsia="IRNazanin" w:cs="IRNazanin"/>
          <w:color w:val="111111"/>
          <w:sz w:val="28"/>
          <w:szCs w:val="28"/>
          <w:rtl w:val="true"/>
          <w:lang w:bidi="fa-IR"/>
        </w:rPr>
        <w:t>.</w:t>
      </w:r>
      <w:r>
        <w:rPr>
          <w:rStyle w:val="FootnoteAnchor"/>
          <w:rtl w:val="true"/>
        </w:rPr>
        <w:footnoteReference w:id="73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ملاحظه می شود، دلیل شیخ بر عدم صحت استدلال به آیات یاد شده، عام است و همه آیاتی را که دال بر وقوع رجعت در امم سابق است، فرامی گیرد؛ زیرا با استدلالی که ایشان کرده، معلوم می شود که از نظر وی استدلال به تمام آیات یاد شده، استدلال از احیای گروهی برای احیای گروهی در وقتی دیگر است؛ بنابراین، از نظر شیخ برای اثبات رجعت نمی توان به آیات یاد شده تمسک جست</w:t>
      </w:r>
      <w:r>
        <w:rPr>
          <w:rFonts w:eastAsia="IRNazanin" w:cs="IRNazanin"/>
          <w:color w:val="111111"/>
          <w:sz w:val="28"/>
          <w:szCs w:val="28"/>
          <w:rtl w:val="true"/>
          <w:lang w:bidi="fa-IR"/>
        </w:rPr>
        <w:t xml:space="preserve">. </w:t>
      </w:r>
      <w:bookmarkStart w:id="633" w:name="pg14387_143803"/>
    </w:p>
    <w:p>
      <w:pPr>
        <w:pStyle w:val="Heading5"/>
        <w:numPr>
          <w:ilvl w:val="4"/>
          <w:numId w:val="1"/>
        </w:numPr>
        <w:rPr/>
      </w:pPr>
      <w:bookmarkStart w:id="634" w:name="__RefHeading___Toc7812568_3381743652"/>
      <w:bookmarkStart w:id="635" w:name="_Toc243"/>
      <w:bookmarkEnd w:id="633"/>
      <w:bookmarkEnd w:id="634"/>
      <w:r>
        <w:rPr>
          <w:rtl w:val="true"/>
        </w:rPr>
        <w:t>وقوع رجعت در آینده</w:t>
      </w:r>
      <w:bookmarkEnd w:id="635"/>
    </w:p>
    <w:p>
      <w:pPr>
        <w:pStyle w:val="BookText"/>
        <w:rPr/>
      </w:pPr>
      <w:r>
        <w:rPr>
          <w:rFonts w:ascii="IRNazanin" w:hAnsi="IRNazanin" w:eastAsia="IRNazanin"/>
          <w:color w:val="111111"/>
          <w:sz w:val="28"/>
          <w:sz w:val="28"/>
          <w:szCs w:val="28"/>
          <w:rtl w:val="true"/>
          <w:lang w:bidi="fa-IR"/>
        </w:rPr>
        <w:t>چنان که اشاره شد، دسته ای از آیات قرآن مجید بر وقوع رجعت در آینده و قبل از قیامت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آیات، هرچند به تنهایی صریح در رجعت نیست، اما با کمک روایاتی که از ائمه طلا در ذیل تفسیر آنها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می توان دریافت که این آیات، بیانگر رجعت به همان معنایی است که شیعیان بدان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آیات نیز فراوان است، لیکن به اختصار، تنها به آیاتی که شیخ طوسی و بحث رجعت را در ذیل تفسیر آنها مطرح کرده است،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آیه ای که بیش از دیگر آیات قرآنی برای اثبات رجعت بدان تمسک شده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 من کل أمة فوجة ممن یکذب بآیاتنا فهم یوزعون</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برای بیان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آیه، روزی فرا خواهد رسید که خداوند از هر امتی، جمعی را محشور می گرداند و از آنجا که خداوند در وصف قیامت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همه را محشور می کنیم و احدی را فروگذار نخواهیم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 معلوم می شود که این روز، غیر از روز قیامت است</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و آن همان روزی است که شیعیان از آن به روز رجعت تعبیر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به این آیه شریفه برای اثبات رجعت، بدانگونه که گذشت، مورد توجه و تأیید ائمه اهل بیت و نیز بوده است؛ زیرا بر اساس روایات زیادی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اثبات رجعت، به این آیه شریفه استدلال می کردند؛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باقر علیه السلام روایت کرده است که امام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عراق منکر رجعتند؟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قرآن نخوانده اند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روزی که از هر امتی گروهی از دروغ انگاران آیات خود را محشور گردانیم</w:t>
      </w:r>
      <w:r>
        <w:rPr>
          <w:rFonts w:eastAsia="IRNazanin" w:cs="IRNazanin"/>
          <w:color w:val="111111"/>
          <w:sz w:val="28"/>
          <w:szCs w:val="28"/>
          <w:rtl w:val="true"/>
          <w:lang w:bidi="fa-IR"/>
        </w:rPr>
        <w:t>...».</w:t>
      </w:r>
      <w:r>
        <w:rPr>
          <w:rStyle w:val="FootnoteAnchor"/>
          <w:rtl w:val="true"/>
        </w:rPr>
        <w:footnoteReference w:id="73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علی بن ابراهیم در تفسیرش از حماد از امام صادق لا روایت می کند که فرمود</w:t>
      </w:r>
      <w:r>
        <w:rPr>
          <w:rFonts w:eastAsia="IRNazanin" w:cs="IRNazanin"/>
          <w:color w:val="111111"/>
          <w:sz w:val="28"/>
          <w:szCs w:val="28"/>
          <w:rtl w:val="true"/>
          <w:lang w:bidi="fa-IR"/>
        </w:rPr>
        <w:t xml:space="preserve">: </w:t>
      </w:r>
      <w:bookmarkStart w:id="636" w:name="pg14387_143804"/>
    </w:p>
    <w:p>
      <w:pPr>
        <w:pStyle w:val="BookText"/>
        <w:rPr/>
      </w:pPr>
      <w:bookmarkEnd w:id="636"/>
      <w:r>
        <w:rPr>
          <w:rFonts w:ascii="IRNazanin" w:hAnsi="IRNazanin" w:eastAsia="IRNazanin"/>
          <w:color w:val="111111"/>
          <w:sz w:val="28"/>
          <w:sz w:val="28"/>
          <w:szCs w:val="28"/>
          <w:rtl w:val="true"/>
          <w:lang w:bidi="fa-IR"/>
        </w:rPr>
        <w:t xml:space="preserve">مردم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 من کل أمة فوجة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آیه شریفه درباره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می گویند، بلکه این آیه درباره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قیامت برخی را حشر می کند و دیگران را وامی گذارد؟ و همانا آیه قیامت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أحدأ</w:t>
      </w:r>
      <w:r>
        <w:rPr>
          <w:rFonts w:eastAsia="IRNazanin" w:cs="IRNazanin"/>
          <w:color w:val="111111"/>
          <w:sz w:val="28"/>
          <w:szCs w:val="28"/>
          <w:rtl w:val="true"/>
          <w:lang w:bidi="fa-IR"/>
        </w:rPr>
        <w:t>».</w:t>
      </w:r>
      <w:r>
        <w:rPr>
          <w:rStyle w:val="FootnoteAnchor"/>
          <w:rtl w:val="true"/>
        </w:rPr>
        <w:footnoteReference w:id="735"/>
      </w:r>
    </w:p>
    <w:p>
      <w:pPr>
        <w:pStyle w:val="Heading5"/>
        <w:numPr>
          <w:ilvl w:val="4"/>
          <w:numId w:val="1"/>
        </w:numPr>
        <w:rPr/>
      </w:pPr>
      <w:bookmarkStart w:id="637" w:name="__RefHeading___Toc7812570_3381743652"/>
      <w:bookmarkStart w:id="638" w:name="_Toc244"/>
      <w:bookmarkEnd w:id="637"/>
      <w:r>
        <w:rPr>
          <w:rtl w:val="true"/>
        </w:rPr>
        <w:t>استدلال دانشمندان شیعه به آیه فوق</w:t>
      </w:r>
      <w:bookmarkEnd w:id="638"/>
    </w:p>
    <w:p>
      <w:pPr>
        <w:pStyle w:val="BookText"/>
        <w:rPr/>
      </w:pPr>
      <w:r>
        <w:rPr>
          <w:rFonts w:ascii="IRNazanin" w:hAnsi="IRNazanin" w:eastAsia="IRNazanin"/>
          <w:color w:val="111111"/>
          <w:sz w:val="28"/>
          <w:sz w:val="28"/>
          <w:szCs w:val="28"/>
          <w:rtl w:val="true"/>
          <w:lang w:bidi="fa-IR"/>
        </w:rPr>
        <w:t xml:space="preserve">جمع زیادی از بزرگان و صاحب نظران شیعه نیز به پیروی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رجعت، به آیه یادشده استدلال کرده اند؛ 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گروهی از امت محمد ان را بعد از مرگ و قبل از قیامت، زنده می کند و این مذهبی است که به آل محمد اختصاص دارد و خداوند از حشر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حشرناهم فلم نغادر منهم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حشر رجعت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دو حشر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حشر خاص و دیگری حشر عام</w:t>
      </w:r>
      <w:r>
        <w:rPr>
          <w:rFonts w:eastAsia="IRNazanin" w:cs="IRNazanin"/>
          <w:color w:val="111111"/>
          <w:sz w:val="28"/>
          <w:szCs w:val="28"/>
          <w:rtl w:val="true"/>
          <w:lang w:bidi="fa-IR"/>
        </w:rPr>
        <w:t>.</w:t>
      </w:r>
      <w:r>
        <w:rPr>
          <w:rStyle w:val="FootnoteAnchor"/>
          <w:rtl w:val="true"/>
        </w:rPr>
        <w:footnoteReference w:id="73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اندیشمندان شیعه که به این آیه برای اثبات رجعت استدلال کرده اند، می توان علی بن ابراهیم قمی</w:t>
      </w:r>
      <w:r>
        <w:rPr>
          <w:rStyle w:val="FootnoteAnchor"/>
          <w:rtl w:val="true"/>
        </w:rPr>
        <w:footnoteReference w:id="737"/>
      </w:r>
      <w:r>
        <w:rPr>
          <w:rFonts w:ascii="IRNazanin" w:hAnsi="IRNazanin" w:eastAsia="IRNazanin"/>
          <w:color w:val="111111"/>
          <w:sz w:val="28"/>
          <w:sz w:val="28"/>
          <w:szCs w:val="28"/>
          <w:rtl w:val="true"/>
          <w:lang w:bidi="fa-IR"/>
        </w:rPr>
        <w:t>، ملامحسن فیض کاشانی</w:t>
      </w:r>
      <w:r>
        <w:rPr>
          <w:rStyle w:val="FootnoteAnchor"/>
          <w:rtl w:val="true"/>
        </w:rPr>
        <w:footnoteReference w:id="738"/>
      </w:r>
      <w:r>
        <w:rPr>
          <w:rFonts w:ascii="IRNazanin" w:hAnsi="IRNazanin" w:eastAsia="IRNazanin"/>
          <w:color w:val="111111"/>
          <w:sz w:val="28"/>
          <w:sz w:val="28"/>
          <w:szCs w:val="28"/>
          <w:rtl w:val="true"/>
          <w:lang w:bidi="fa-IR"/>
        </w:rPr>
        <w:t>، قاضی ابن براج</w:t>
      </w:r>
      <w:r>
        <w:rPr>
          <w:rStyle w:val="FootnoteAnchor"/>
          <w:rtl w:val="true"/>
        </w:rPr>
        <w:footnoteReference w:id="739"/>
      </w:r>
      <w:r>
        <w:rPr>
          <w:rFonts w:ascii="IRNazanin" w:hAnsi="IRNazanin" w:eastAsia="IRNazanin"/>
          <w:color w:val="111111"/>
          <w:sz w:val="28"/>
          <w:sz w:val="28"/>
          <w:szCs w:val="28"/>
          <w:rtl w:val="true"/>
          <w:lang w:bidi="fa-IR"/>
        </w:rPr>
        <w:t>، امین الاسلام فضل بن حسن طبرسی</w:t>
      </w:r>
      <w:r>
        <w:rPr>
          <w:rStyle w:val="FootnoteAnchor"/>
          <w:rtl w:val="true"/>
        </w:rPr>
        <w:footnoteReference w:id="740"/>
      </w:r>
      <w:r>
        <w:rPr>
          <w:rFonts w:ascii="IRNazanin" w:hAnsi="IRNazanin" w:eastAsia="IRNazanin"/>
          <w:color w:val="111111"/>
          <w:sz w:val="28"/>
          <w:sz w:val="28"/>
          <w:szCs w:val="28"/>
          <w:rtl w:val="true"/>
          <w:lang w:bidi="fa-IR"/>
        </w:rPr>
        <w:t>، حسن بن سلیمان حلی</w:t>
      </w:r>
      <w:r>
        <w:rPr>
          <w:rStyle w:val="FootnoteAnchor"/>
          <w:rtl w:val="true"/>
        </w:rPr>
        <w:footnoteReference w:id="741"/>
      </w:r>
      <w:r>
        <w:rPr>
          <w:rFonts w:ascii="IRNazanin" w:hAnsi="IRNazanin" w:eastAsia="IRNazanin"/>
          <w:color w:val="111111"/>
          <w:sz w:val="28"/>
          <w:sz w:val="28"/>
          <w:szCs w:val="28"/>
          <w:rtl w:val="true"/>
          <w:lang w:bidi="fa-IR"/>
        </w:rPr>
        <w:t>، شیخ حر عاملی</w:t>
      </w:r>
      <w:r>
        <w:rPr>
          <w:rStyle w:val="FootnoteAnchor"/>
          <w:rtl w:val="true"/>
        </w:rPr>
        <w:footnoteReference w:id="742"/>
      </w:r>
      <w:r>
        <w:rPr>
          <w:rFonts w:ascii="IRNazanin" w:hAnsi="IRNazanin" w:eastAsia="IRNazanin"/>
          <w:color w:val="111111"/>
          <w:sz w:val="28"/>
          <w:sz w:val="28"/>
          <w:szCs w:val="28"/>
          <w:rtl w:val="true"/>
          <w:lang w:bidi="fa-IR"/>
        </w:rPr>
        <w:t>، سیدهاشم بحرانی</w:t>
      </w:r>
      <w:r>
        <w:rPr>
          <w:rStyle w:val="FootnoteAnchor"/>
          <w:rtl w:val="true"/>
        </w:rPr>
        <w:footnoteReference w:id="743"/>
      </w:r>
      <w:r>
        <w:rPr>
          <w:rFonts w:ascii="IRNazanin" w:hAnsi="IRNazanin" w:eastAsia="IRNazanin"/>
          <w:color w:val="111111"/>
          <w:sz w:val="28"/>
          <w:sz w:val="28"/>
          <w:szCs w:val="28"/>
          <w:rtl w:val="true"/>
          <w:lang w:bidi="fa-IR"/>
        </w:rPr>
        <w:t xml:space="preserve">و سید محمد حسین طباطبایی </w:t>
      </w:r>
      <w:r>
        <w:rPr>
          <w:rStyle w:val="FootnoteAnchor"/>
          <w:rtl w:val="true"/>
        </w:rPr>
        <w:footnoteReference w:id="744"/>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آیاتی که برای اثبات رجعت بدان استدلال شده،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أمتنا اثنتین و أحییتنا اثنتین</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تقریب استدلال به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برای صحت رجعت، به این آیه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مراد از میراندن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 دنیا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رجعت است و نیز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رجعت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گفته اند که آیه شریفه، دلالت بر رجعت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طوسیله در صدد رد استدلال فوق برآمده،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نمی توان بر صحت رجعت استدلال کرد؛ زیرا آیه مزبور دو احتمال را بر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یک احتمال، منظور از مرگ و حیات دوم، مرگ و حیات در عالم برزخ است و بر طبق احتمال</w:t>
      </w:r>
    </w:p>
    <w:p>
      <w:pPr>
        <w:pStyle w:val="BookText"/>
        <w:rPr/>
      </w:pPr>
      <w:r>
        <w:rPr>
          <w:rFonts w:ascii="IRNazanin" w:hAnsi="IRNazanin" w:eastAsia="IRNazanin"/>
          <w:color w:val="111111"/>
          <w:sz w:val="28"/>
          <w:sz w:val="28"/>
          <w:szCs w:val="28"/>
          <w:rtl w:val="true"/>
          <w:lang w:bidi="fa-IR"/>
        </w:rPr>
        <w:t>دیگر، مراد از مرگ و حیات دوم، مرگ و حیات در زمان رجعت است و از آنجا که هیچ یک از دو احتمال، قطعی نیست، نمی توان گفت که کدام یک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از این نظر مجمل است و نمی توان بدان استدلال کرد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دیگری که برای اثبات رجعت مورد استدلال قرار گرفته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یبدو الخلق ثم یعیده ثم إلیه ترجعون</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شیخ طوسی، جمعی برای اثبات رجعت، به این آیه تمسک جسته، چنین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یبدؤ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آغاز آفرینش انسانهاست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زنده گردانیدن در زمان رجعت است و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إلیه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شریفه دال بر صحت رجعت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این آیه شریفه برای اثبات رجعت نیز کارساز نیست؛ زیرا این احتمال وجود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زنده گردانیدن در قبر برای سؤال کردن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إلیه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رستاخیز باشد و با وجود چنین احتمالی، نمی توان به </w:t>
      </w:r>
      <w:bookmarkStart w:id="639" w:name="pg14387_143806"/>
    </w:p>
    <w:p>
      <w:pPr>
        <w:pStyle w:val="BookText"/>
        <w:rPr/>
      </w:pPr>
      <w:bookmarkEnd w:id="639"/>
      <w:r>
        <w:rPr>
          <w:rFonts w:ascii="IRNazanin" w:hAnsi="IRNazanin" w:eastAsia="IRNazanin"/>
          <w:color w:val="111111"/>
          <w:sz w:val="28"/>
          <w:sz w:val="28"/>
          <w:szCs w:val="28"/>
          <w:rtl w:val="true"/>
          <w:lang w:bidi="fa-IR"/>
        </w:rPr>
        <w:t>استدلال فوق اعتماد کرد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آیه ای که شیخ طوسی در باب رجعت مطرح کرده است،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لاتحسبن الذین قتلوا فی سبیل الله أمواتا بل أحیاء عند ربهم یرزقون</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تنها آیه ای است که مرحوم شیخ دلالت آن را بر رجعت پذیرفته و بدان استدلال کرده است و تا آنجا که نگارنده اطلاع دارد، کسی جز وی برای اثبات رجعت بدین آیه به صراحت تمسک نجسته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استدلال به آیه یاد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دارد بر این که بازگشت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از گروههای مخصوص جایز است؛ زیرا خداوند خبر داده است که گروهی که در راه خدا کشته شده اند، خداوند آنها را بر می گرداند و دوباره آنها را زنده</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این همان است که از آن در اصطلاح متکلمان شیعه، به رجعت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روشن می شود که شیخ طوسیله از میان آیات فراوانی که برای اثبات رجعت بدانها تمسک شده است، تنها دلالت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الذین قتلوا فی سبیل الله 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 دلالت سایر آیات بر مدعا را قابل مناقشه میداند</w:t>
      </w:r>
      <w:r>
        <w:rPr>
          <w:rFonts w:eastAsia="IRNazanin" w:cs="IRNazanin"/>
          <w:color w:val="111111"/>
          <w:sz w:val="28"/>
          <w:szCs w:val="28"/>
          <w:rtl w:val="true"/>
          <w:lang w:bidi="fa-IR"/>
        </w:rPr>
        <w:t>.</w:t>
      </w:r>
    </w:p>
    <w:p>
      <w:pPr>
        <w:pStyle w:val="Heading5"/>
        <w:numPr>
          <w:ilvl w:val="4"/>
          <w:numId w:val="1"/>
        </w:numPr>
        <w:rPr/>
      </w:pPr>
      <w:bookmarkStart w:id="640" w:name="__RefHeading___Toc7812572_3381743652"/>
      <w:bookmarkStart w:id="641" w:name="_Toc245"/>
      <w:bookmarkEnd w:id="640"/>
      <w:r>
        <w:rPr>
          <w:rtl w:val="true"/>
        </w:rPr>
        <w:t>تحلیل و بررسی</w:t>
      </w:r>
      <w:bookmarkEnd w:id="64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لاتحسبن الذین قتلوا فی سبیل الله أمواتا</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 xml:space="preserve">نیز با مبنایی که شیخ در نقد استدلال به پاره ای از آیات برگزیده است، ناسازگار است؛ زیرا ایشان استدلال به برخی از آیات را به خاطر ذواحتمال بودن، مورد انتقاد قرار داد، در حالی که استدلال به آیه یاد شده نیز از این نقیصه خالی نیست؛ چون این آیه شریفه هم احتمالات متعددی را برمی تابد؛ از جمله این که 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مزبور، این باشد که نام نیک و یاد آنها زنده است و هرگز از خاطره ها نمی رود و یا این که آنها زنده اند به سبب طاعت و هدایت؛ نظیر این قول خدای سبحان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أومن کان میتا فأحییناه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ضلالت، به موت و از هدایت، به حیات تعبیر شده است</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 xml:space="preserve">بنابراین، با وجود چنین احتمالاتی، </w:t>
      </w:r>
      <w:bookmarkStart w:id="642" w:name="pg14387_143807"/>
    </w:p>
    <w:p>
      <w:pPr>
        <w:pStyle w:val="BookText"/>
        <w:rPr/>
      </w:pPr>
      <w:bookmarkEnd w:id="642"/>
      <w:r>
        <w:rPr>
          <w:rFonts w:ascii="IRNazanin" w:hAnsi="IRNazanin" w:eastAsia="IRNazanin"/>
          <w:color w:val="111111"/>
          <w:sz w:val="28"/>
          <w:sz w:val="28"/>
          <w:szCs w:val="28"/>
          <w:rtl w:val="true"/>
          <w:lang w:bidi="fa-IR"/>
        </w:rPr>
        <w:t>چگونه می توان برای اثبات رجعت، بدان استدلال کرد؟</w:t>
      </w:r>
    </w:p>
    <w:p>
      <w:pPr>
        <w:pStyle w:val="Heading4"/>
        <w:numPr>
          <w:ilvl w:val="3"/>
          <w:numId w:val="1"/>
        </w:numPr>
        <w:rPr/>
      </w:pPr>
      <w:bookmarkStart w:id="643" w:name="__RefHeading___Toc7812574_3381743652"/>
      <w:bookmarkStart w:id="644" w:name="_Toc246"/>
      <w:bookmarkEnd w:id="643"/>
      <w:r>
        <w:rPr/>
        <w:t>۴</w:t>
      </w:r>
      <w:r>
        <w:rPr>
          <w:rtl w:val="true"/>
        </w:rPr>
        <w:t xml:space="preserve">. </w:t>
      </w:r>
      <w:r>
        <w:rPr>
          <w:rtl w:val="true"/>
        </w:rPr>
        <w:t>رجعت در روایات</w:t>
      </w:r>
      <w:bookmarkEnd w:id="644"/>
    </w:p>
    <w:p>
      <w:pPr>
        <w:pStyle w:val="BookText"/>
        <w:rPr/>
      </w:pPr>
      <w:r>
        <w:rPr>
          <w:rFonts w:ascii="IRNazanin" w:hAnsi="IRNazanin" w:eastAsia="IRNazanin"/>
          <w:color w:val="111111"/>
          <w:sz w:val="28"/>
          <w:sz w:val="28"/>
          <w:szCs w:val="28"/>
          <w:rtl w:val="true"/>
          <w:lang w:bidi="fa-IR"/>
        </w:rPr>
        <w:t>از دیگر دلایلی که حکما و متکلمان شیعه برای اثبات صحت رجعت بدان تمسک کرده اند، روایات و احادیث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فراوانی که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رجعت وارد شده است، رجعت در امت اسلامی نیز قطعة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هرچند به لحاظ لفظ، متواتر نیست، اما از جهت معنی به حدی است که نمی توان تواتر معنوی آنها را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در کتاب الایقاظ بیش از پانصد حدیث را که همه صریح در رجعتند، از هفتاد کتاب از آثار بزرگان و دانشمندان شیعه استخراج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صدور احادیث رجعت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زیرا این احادیث در کتب چهارگانه و دیگر کتابهای معتبر وجود دارد و قراین فراوان قطعی نیز بر صحت اعتقاد به رجعت و صحت روایات آن دلالت میکند؛ به گونه ای که هر یک از این احادیث با قراینی که اشاره شد، مفید علم است و مجالی برای تردید باقی نمی گذارد، چه رسد به این که همه این احادیث، مجتمع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صحت روایات رجعت نیازی به قرینه ندارد؛ زیرا این اخبار به حد تواتر معنوی رسیده و حتی از آن هم فراتر رفته است؛ چه این که اخبار یاد شده برای کسانی که قلب خود را از هرگونه شبهه و تقلید پاک کنند؛ موجب یقین می شود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علامه مجلسی در کتاب ارزشمند بحارالانوار درباره رجعت و احادیثی که در این زمینه وارد شده است، می گوید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ممکن است کسی حقانیت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کند، ولی در آنچه از آنان به صورت متواتر رسیده و بیش از دویست حدیث صریح در بیش از پنجاه کتاب که حدود چهل نفر از بزرگان و اندیشمندان، آن را نقل کرده اند، تردید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اخبار رجعت متواتر نباشد، پس در چه چیزی می توان ادعای تواتر کرد</w:t>
      </w:r>
      <w:r>
        <w:rPr>
          <w:rFonts w:eastAsia="IRNazanin" w:cs="IRNazanin"/>
          <w:color w:val="111111"/>
          <w:sz w:val="28"/>
          <w:szCs w:val="28"/>
          <w:rtl w:val="true"/>
          <w:lang w:bidi="fa-IR"/>
        </w:rPr>
        <w:t>.</w:t>
      </w:r>
      <w:r>
        <w:rPr>
          <w:rStyle w:val="FootnoteAnchor"/>
          <w:rtl w:val="true"/>
        </w:rPr>
        <w:footnoteReference w:id="754"/>
      </w:r>
      <w:bookmarkStart w:id="645" w:name="pg14387_143808"/>
    </w:p>
    <w:p>
      <w:pPr>
        <w:pStyle w:val="Heading4"/>
        <w:numPr>
          <w:ilvl w:val="3"/>
          <w:numId w:val="1"/>
        </w:numPr>
        <w:rPr/>
      </w:pPr>
      <w:bookmarkStart w:id="646" w:name="__RefHeading___Toc7812576_3381743652"/>
      <w:bookmarkStart w:id="647" w:name="_Toc247"/>
      <w:bookmarkEnd w:id="645"/>
      <w:bookmarkEnd w:id="646"/>
      <w:r>
        <w:rPr>
          <w:rtl w:val="true"/>
        </w:rPr>
        <w:t>اخبار رجعت از منظر شیخ طوسی</w:t>
      </w:r>
      <w:bookmarkEnd w:id="647"/>
    </w:p>
    <w:p>
      <w:pPr>
        <w:pStyle w:val="BookText"/>
        <w:rPr/>
      </w:pPr>
      <w:r>
        <w:rPr>
          <w:rFonts w:ascii="IRNazanin" w:hAnsi="IRNazanin" w:eastAsia="IRNazanin"/>
          <w:color w:val="111111"/>
          <w:sz w:val="28"/>
          <w:sz w:val="28"/>
          <w:szCs w:val="28"/>
          <w:rtl w:val="true"/>
          <w:lang w:bidi="fa-IR"/>
        </w:rPr>
        <w:t>شیخ طوسی که خود یکی از حدیث شناسان معروف شیعه است، اگرچه از تواتر یا عدم تواتر اخبار رجعت به طور صریح سخنی به میان نیاورده است، اما از لحن سخن گفتن ایشان در گزارش اخبار یاد شده می توان دریافت که وی دست کم برخی از اخبار رجعت را مفروض و مسلم می انگارد؛ برای مثال به چند حدیث زیر که شیخ طوسی آنها را در آثار خویش آورده و مسلم انگاشته است،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کتاب الغیبة از 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قائم ما ظهور کند، نزد قبر هر مؤمنی ملکی ندا کند که 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 امام تو ظاهر شد، اگر می خواهی به او ملحق شوی، ملحق شو و اگر خواهی در کرامت و نعمت حق باشی، همان 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بیرون آیند و بعضی در نعیم الهی بمانند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نیز در کتاب تهذیب الاحکام از حضرت صادق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و شبها به پایان نرسد تا خدا مرده ها را زنده کند و زنده ها را بمیراند و حق را به اهلش برگرداند و برپا دارد دینی را که پسندیده اوست</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شیخ الطایفه در مصباح المتهجد برای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از دور نقل کرده است که در آن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قائلان به فضل شمایم و به رجعت شما معترف بوده و قدرت خدا را بر هیچ چیز انکار نمی کنم</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نیز در همان کتاب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وارث را نقل کرده که در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پیامبران و ملائک را شاهد میگیرم که من نسبت به شما مؤمن بوده و به رجعت شما یقین دارم</w:t>
      </w:r>
      <w:r>
        <w:rPr>
          <w:rFonts w:eastAsia="IRNazanin" w:cs="IRNazanin"/>
          <w:color w:val="111111"/>
          <w:sz w:val="28"/>
          <w:szCs w:val="28"/>
          <w:rtl w:val="true"/>
          <w:lang w:bidi="fa-IR"/>
        </w:rPr>
        <w:t>.</w:t>
      </w:r>
      <w:r>
        <w:rPr>
          <w:rStyle w:val="FootnoteAnchor"/>
          <w:rtl w:val="true"/>
        </w:rPr>
        <w:footnoteReference w:id="75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زیارت رجبیه که شیخ طوسیله آن را از حسین بن روح، نایب خاص صاحب الامر روایت کرده، چنین می خوانیم</w:t>
      </w:r>
      <w:r>
        <w:rPr>
          <w:rFonts w:eastAsia="IRNazanin" w:cs="IRNazanin"/>
          <w:color w:val="111111"/>
          <w:sz w:val="28"/>
          <w:szCs w:val="28"/>
          <w:rtl w:val="true"/>
          <w:lang w:bidi="fa-IR"/>
        </w:rPr>
        <w:t xml:space="preserve">: </w:t>
      </w:r>
      <w:bookmarkStart w:id="648" w:name="pg14387_143809"/>
    </w:p>
    <w:p>
      <w:pPr>
        <w:pStyle w:val="BookText"/>
        <w:rPr/>
      </w:pPr>
      <w:bookmarkEnd w:id="648"/>
      <w:r>
        <w:rPr>
          <w:rFonts w:ascii="IRNazanin" w:hAnsi="IRNazanin" w:eastAsia="IRNazanin"/>
          <w:color w:val="111111"/>
          <w:sz w:val="28"/>
          <w:sz w:val="28"/>
          <w:szCs w:val="28"/>
          <w:rtl w:val="true"/>
          <w:lang w:bidi="fa-IR"/>
        </w:rPr>
        <w:t>سلام من و رحمت و برکات خداوند بر شما باد تا بازگشت به سوی شما و رستگاری در رجعت شما</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در زیارت عاشورا که شیخ آن را در مصباح از امام باقر روایت کرده،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فرمای که خونخواهی کنم در خدمت امام هادی و ظاهر و ناطق به حق از شما</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نیز در دعایی که شیخ به آن را از قاسم بن علاء، وکیل حضرت عسکری علیه السلام نقل کرده که روز سوم شعبان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حق مولودی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رجعت یاری می شود و به عوض شهادتش امامان از نسل او قرار داده شده اند کسی که تربت او مایه شفا و رستگاری و همراهی با اوست</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همچنین در زیارت اربعین که شیخ الطایفه آن را در مصباح و تهذیب روایت کرده است، این گونه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بکم مؤمن و بابابکم موقن</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ا آن را در مصباح المتهجد آورده،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فرست بر حضرت مهدی علیه السلام و بر همه پدرانش و قرار ده ما را از اصحاب و اهل او و برانگیزان ما را در رجعت او</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به هر حال، هر کس که به کتابهای یادشده مراجعه کند، از لحن کلام شیخ طوسی در نقل روایات فوق به خوبی در خواهد یافت که ایشان اخبار مزبور را مسلم دانسته و اعتقاد به رجعت را خدشه ناپذیر می داند</w:t>
      </w:r>
      <w:r>
        <w:rPr>
          <w:rFonts w:eastAsia="IRNazanin" w:cs="IRNazanin"/>
          <w:color w:val="111111"/>
          <w:sz w:val="28"/>
          <w:szCs w:val="28"/>
          <w:rtl w:val="true"/>
          <w:lang w:bidi="fa-IR"/>
        </w:rPr>
        <w:t>.</w:t>
      </w:r>
    </w:p>
    <w:p>
      <w:pPr>
        <w:pStyle w:val="Heading3"/>
        <w:numPr>
          <w:ilvl w:val="2"/>
          <w:numId w:val="1"/>
        </w:numPr>
        <w:rPr/>
      </w:pPr>
      <w:bookmarkStart w:id="649" w:name="__RefHeading___Toc7812578_3381743652"/>
      <w:bookmarkStart w:id="650" w:name="_Toc248"/>
      <w:bookmarkEnd w:id="649"/>
      <w:r>
        <w:rPr>
          <w:rtl w:val="true"/>
        </w:rPr>
        <w:t>رجعت؛ اختصاصی یا عمومی؟</w:t>
      </w:r>
      <w:bookmarkEnd w:id="650"/>
    </w:p>
    <w:p>
      <w:pPr>
        <w:pStyle w:val="Heading4"/>
        <w:numPr>
          <w:ilvl w:val="3"/>
          <w:numId w:val="1"/>
        </w:numPr>
        <w:rPr/>
      </w:pPr>
      <w:bookmarkStart w:id="651" w:name="__RefHeading___Toc7812580_3381743652"/>
      <w:bookmarkStart w:id="652" w:name="_Toc249"/>
      <w:bookmarkEnd w:id="651"/>
      <w:r>
        <w:rPr>
          <w:rtl w:val="true"/>
        </w:rPr>
        <w:t>اشاره</w:t>
      </w:r>
      <w:bookmarkEnd w:id="65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روشن شد که وقوع رجعت در امت اسلامی از دیدگاه دانشمندان شیعه و از جمله شیخ طوسی یک امر مسلم و قطعی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پرسش </w:t>
      </w:r>
      <w:bookmarkStart w:id="653" w:name="pg14387_143810"/>
    </w:p>
    <w:p>
      <w:pPr>
        <w:pStyle w:val="BookText"/>
        <w:rPr/>
      </w:pPr>
      <w:bookmarkEnd w:id="653"/>
      <w:r>
        <w:rPr>
          <w:rFonts w:ascii="IRNazanin" w:hAnsi="IRNazanin" w:eastAsia="IRNazanin"/>
          <w:color w:val="111111"/>
          <w:sz w:val="28"/>
          <w:sz w:val="28"/>
          <w:szCs w:val="28"/>
          <w:rtl w:val="true"/>
          <w:lang w:bidi="fa-IR"/>
        </w:rPr>
        <w:t>مطرح می شود که آیا رجعت، اختصاصی است یا عمومی؟ به عبارت روشنتر، آیا هنگام رجعت، همه مؤمنان و معاندان تاریخ به دنیا باز می گردند یا بعضی از گروهها رجعت می کنند؟</w:t>
      </w:r>
    </w:p>
    <w:p>
      <w:pPr>
        <w:pStyle w:val="BookText"/>
        <w:rPr/>
      </w:pPr>
      <w:r>
        <w:rPr>
          <w:rFonts w:ascii="IRNazanin" w:hAnsi="IRNazanin" w:eastAsia="IRNazanin"/>
          <w:color w:val="111111"/>
          <w:sz w:val="28"/>
          <w:sz w:val="28"/>
          <w:szCs w:val="28"/>
          <w:rtl w:val="true"/>
          <w:lang w:bidi="fa-IR"/>
        </w:rPr>
        <w:t>پاسخی را که دانشمندان شیعه بالاتفاق به این پرسش داده اند، این است که رجعت، اختصاصی است، نه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شیخ مفید در پاسخ پرسش فوق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رجعت ویژه کسانی است که یا متمحض در ایمان بوده اند و یا غرق در کفر و عناد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و نیز سید مرتضی در پاسخ کسانی که از حقیقت رجعت پرسیده اند،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شیعیان بدان باور دارند، این است که خداوند هنگام ظهور مهدی علی جمعی از شیعیانش را که قبلا از دنیا رفته اند، زنده می کند تا به ثواب یاری آن حضرت نایل شوند و دولت او را مشاهده کنند و نیز گروهی از دشمنان آن حضرت را زنده می کند تا از آنان انتقام بگیرد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از مجموع سخنان شیخ الطایفه استفاده می شود که ایشان نیز رجعت را اختصاصی می دانند؛ از جمله وی در ذیل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لاتحسبن الذین قتلوا فی سبیل الله أموات بل أحیاء عند ربهم یرزقون</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بر این که رجعت به دنیا برای برخی از گروههای خاص جایز است؛ زیرا خداوند در این آیه خبر داده است که گروهی که در راه خدا کشته شده اند،</w:t>
      </w:r>
    </w:p>
    <w:p>
      <w:pPr>
        <w:pStyle w:val="BookText"/>
        <w:rPr/>
      </w:pPr>
      <w:r>
        <w:rPr>
          <w:rFonts w:ascii="IRNazanin" w:hAnsi="IRNazanin" w:eastAsia="IRNazanin"/>
          <w:color w:val="111111"/>
          <w:sz w:val="28"/>
          <w:sz w:val="28"/>
          <w:szCs w:val="28"/>
          <w:rtl w:val="true"/>
          <w:lang w:bidi="fa-IR"/>
        </w:rPr>
        <w:t>خداوند آنها را بر می گرداند و دوباره زنده میکند</w:t>
      </w:r>
      <w:r>
        <w:rPr>
          <w:rFonts w:eastAsia="IRNazanin" w:cs="IRNazanin"/>
          <w:color w:val="111111"/>
          <w:sz w:val="28"/>
          <w:szCs w:val="28"/>
          <w:rtl w:val="true"/>
          <w:lang w:bidi="fa-IR"/>
        </w:rPr>
        <w:t>.</w:t>
      </w:r>
      <w:r>
        <w:rPr>
          <w:rStyle w:val="FootnoteAnchor"/>
          <w:rtl w:val="true"/>
        </w:rPr>
        <w:footnoteReference w:id="767"/>
      </w:r>
    </w:p>
    <w:p>
      <w:pPr>
        <w:pStyle w:val="Heading4"/>
        <w:numPr>
          <w:ilvl w:val="3"/>
          <w:numId w:val="1"/>
        </w:numPr>
        <w:rPr/>
      </w:pPr>
      <w:bookmarkStart w:id="654" w:name="__RefHeading___Toc7812582_3381743652"/>
      <w:bookmarkStart w:id="655" w:name="_Toc250"/>
      <w:bookmarkEnd w:id="654"/>
      <w:r>
        <w:rPr>
          <w:rtl w:val="true"/>
        </w:rPr>
        <w:t>چه کسانی رجعت می کنند؟</w:t>
      </w:r>
      <w:bookmarkEnd w:id="655"/>
    </w:p>
    <w:p>
      <w:pPr>
        <w:pStyle w:val="Heading5"/>
        <w:numPr>
          <w:ilvl w:val="4"/>
          <w:numId w:val="1"/>
        </w:numPr>
        <w:rPr/>
      </w:pPr>
      <w:bookmarkStart w:id="656" w:name="__RefHeading___Toc7812584_3381743652"/>
      <w:bookmarkStart w:id="657" w:name="_Toc251"/>
      <w:bookmarkEnd w:id="656"/>
      <w:r>
        <w:rPr>
          <w:rtl w:val="true"/>
        </w:rPr>
        <w:t>اشاره</w:t>
      </w:r>
      <w:bookmarkEnd w:id="65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پرسش که چه کسانی به دنیا بازمی گردند، نمی توان به طور دقیق سخن گفت؛ زیرا روایاتی که در این زمینه وارد شده،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به ذکر ملاک رجعت کنندگان بسنده نموده، آن را ایمان یا کفر محض</w:t>
      </w:r>
      <w:r>
        <w:rPr>
          <w:rStyle w:val="FootnoteAnchor"/>
          <w:rtl w:val="true"/>
        </w:rPr>
        <w:footnoteReference w:id="768"/>
      </w:r>
      <w:r>
        <w:rPr>
          <w:rFonts w:ascii="IRNazanin" w:hAnsi="IRNazanin" w:eastAsia="IRNazanin"/>
          <w:color w:val="111111"/>
          <w:sz w:val="28"/>
          <w:sz w:val="28"/>
          <w:szCs w:val="28"/>
          <w:rtl w:val="true"/>
          <w:lang w:bidi="fa-IR"/>
        </w:rPr>
        <w:t xml:space="preserve">معرفی می کنند و در برخی </w:t>
      </w:r>
      <w:bookmarkStart w:id="658" w:name="pg14387_143811"/>
    </w:p>
    <w:p>
      <w:pPr>
        <w:pStyle w:val="BookText"/>
        <w:rPr/>
      </w:pPr>
      <w:bookmarkEnd w:id="658"/>
      <w:r>
        <w:rPr>
          <w:rFonts w:ascii="IRNazanin" w:hAnsi="IRNazanin" w:eastAsia="IRNazanin"/>
          <w:color w:val="111111"/>
          <w:sz w:val="28"/>
          <w:sz w:val="28"/>
          <w:szCs w:val="28"/>
          <w:rtl w:val="true"/>
          <w:lang w:bidi="fa-IR"/>
        </w:rPr>
        <w:t>دیگر، اشاره به بعضی مصادیق رجعت کنندگان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روایات نیز مختلف است؛ در پاره ای از آنها سخن از رجعت همه پیامبران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است و در برخی نیز از رجعت حسین بن علی علیه السلام و اصحاب گرانقدر آن حضرت سخن رفته است و بالاخره در بعضی از روایات از رجعت پیامبر گرامی اسلام و ائمه اهل بیت عالی و دشمنان آنان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از مجموع روایاتی که در این باب وارد شده است، استفاده می شود که افراد و گروههای زیر از رجعت کنندگان به شمار می آیند</w:t>
      </w:r>
      <w:r>
        <w:rPr>
          <w:rFonts w:eastAsia="IRNazanin" w:cs="IRNazanin"/>
          <w:color w:val="111111"/>
          <w:sz w:val="28"/>
          <w:szCs w:val="28"/>
          <w:rtl w:val="true"/>
          <w:lang w:bidi="fa-IR"/>
        </w:rPr>
        <w:t>:</w:t>
      </w:r>
    </w:p>
    <w:p>
      <w:pPr>
        <w:pStyle w:val="Heading5"/>
        <w:numPr>
          <w:ilvl w:val="4"/>
          <w:numId w:val="1"/>
        </w:numPr>
        <w:rPr/>
      </w:pPr>
      <w:bookmarkStart w:id="659" w:name="__RefHeading___Toc7812586_3381743652"/>
      <w:bookmarkStart w:id="660" w:name="_Toc252"/>
      <w:bookmarkEnd w:id="659"/>
      <w:r>
        <w:rPr/>
        <w:t>1</w:t>
      </w:r>
      <w:r>
        <w:rPr>
          <w:rtl w:val="true"/>
        </w:rPr>
        <w:t xml:space="preserve">. </w:t>
      </w:r>
      <w:r>
        <w:rPr>
          <w:rtl w:val="true"/>
        </w:rPr>
        <w:t>شهدای کربلا</w:t>
      </w:r>
      <w:bookmarkEnd w:id="660"/>
    </w:p>
    <w:p>
      <w:pPr>
        <w:pStyle w:val="BookText"/>
        <w:rPr/>
      </w:pPr>
      <w:r>
        <w:rPr>
          <w:rFonts w:ascii="IRNazanin" w:hAnsi="IRNazanin" w:eastAsia="IRNazanin"/>
          <w:color w:val="111111"/>
          <w:sz w:val="28"/>
          <w:sz w:val="28"/>
          <w:szCs w:val="28"/>
          <w:rtl w:val="true"/>
          <w:lang w:bidi="fa-IR"/>
        </w:rPr>
        <w:t>بر اساس برخی روایات، نخستین کسی که رجعت نموده، به دنیا باز می گردد، 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هنگام رجعت بر می گردد، 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 چهل سال می ماند تا آن که ابروهایش بر چشمانش می افتد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و نیز از امام باقر علیه السلام روایت شده که ایشان درباره رجعت شهدای کربلا، بویژه سالار شهیدان، حسین بن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شهید شود،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 که اگر کشته شویم، به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که خداوند بخواهد، در قبر خواهیم ماند و من اولین کسی خواهم بود که رجعت می کند؛ پس خروج می کنم مانند خروج امیرالمؤمنین علیه السلام</w:t>
      </w:r>
      <w:r>
        <w:rPr>
          <w:rFonts w:eastAsia="IRNazanin" w:cs="IRNazanin"/>
          <w:color w:val="111111"/>
          <w:sz w:val="28"/>
          <w:szCs w:val="28"/>
          <w:rtl w:val="true"/>
          <w:lang w:bidi="fa-IR"/>
        </w:rPr>
        <w:t>....</w:t>
      </w:r>
      <w:r>
        <w:rPr>
          <w:rStyle w:val="FootnoteAnchor"/>
          <w:rtl w:val="true"/>
        </w:rPr>
        <w:footnoteReference w:id="770"/>
      </w:r>
    </w:p>
    <w:p>
      <w:pPr>
        <w:pStyle w:val="Heading5"/>
        <w:numPr>
          <w:ilvl w:val="4"/>
          <w:numId w:val="1"/>
        </w:numPr>
        <w:rPr/>
      </w:pPr>
      <w:bookmarkStart w:id="661" w:name="__RefHeading___Toc7812588_3381743652"/>
      <w:bookmarkStart w:id="662" w:name="_Toc253"/>
      <w:bookmarkEnd w:id="661"/>
      <w:r>
        <w:rPr/>
        <w:t>۲</w:t>
      </w:r>
      <w:r>
        <w:rPr>
          <w:rtl w:val="true"/>
        </w:rPr>
        <w:t xml:space="preserve">. </w:t>
      </w:r>
      <w:r>
        <w:rPr>
          <w:rtl w:val="true"/>
        </w:rPr>
        <w:t>همه پیامبران</w:t>
      </w:r>
      <w:bookmarkEnd w:id="662"/>
    </w:p>
    <w:p>
      <w:pPr>
        <w:pStyle w:val="BookText"/>
        <w:rPr/>
      </w:pPr>
      <w:r>
        <w:rPr>
          <w:rFonts w:ascii="IRNazanin" w:hAnsi="IRNazanin" w:eastAsia="IRNazanin"/>
          <w:color w:val="111111"/>
          <w:sz w:val="28"/>
          <w:sz w:val="28"/>
          <w:szCs w:val="28"/>
          <w:rtl w:val="true"/>
          <w:lang w:bidi="fa-IR"/>
        </w:rPr>
        <w:t>برخی از روایات اشاره به رجعت همه پیامبران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امام صادق علیه السلام می فرماید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هیچ پیامبری را برنینگیخت جز آن که همه آنان را بار دیگر به دنیا برمی گرداند تا در رکاب علی بن ابی طالب علیه السلام جنگ کنند</w:t>
      </w:r>
      <w:r>
        <w:rPr>
          <w:rFonts w:eastAsia="IRNazanin" w:cs="IRNazanin"/>
          <w:color w:val="111111"/>
          <w:sz w:val="28"/>
          <w:szCs w:val="28"/>
          <w:rtl w:val="true"/>
          <w:lang w:bidi="fa-IR"/>
        </w:rPr>
        <w:t>.</w:t>
      </w:r>
      <w:r>
        <w:rPr>
          <w:rStyle w:val="FootnoteAnchor"/>
          <w:rtl w:val="true"/>
        </w:rPr>
        <w:footnoteReference w:id="771"/>
      </w:r>
      <w:bookmarkStart w:id="663" w:name="pg14387_143812"/>
    </w:p>
    <w:p>
      <w:pPr>
        <w:pStyle w:val="Heading5"/>
        <w:numPr>
          <w:ilvl w:val="4"/>
          <w:numId w:val="1"/>
        </w:numPr>
        <w:rPr/>
      </w:pPr>
      <w:bookmarkStart w:id="664" w:name="__RefHeading___Toc7812590_3381743652"/>
      <w:bookmarkStart w:id="665" w:name="_Toc254"/>
      <w:bookmarkEnd w:id="663"/>
      <w:bookmarkEnd w:id="664"/>
      <w:r>
        <w:rPr/>
        <w:t>٣</w:t>
      </w:r>
      <w:r>
        <w:rPr>
          <w:rtl w:val="true"/>
        </w:rPr>
        <w:t xml:space="preserve">. </w:t>
      </w:r>
      <w:r>
        <w:rPr>
          <w:rtl w:val="true"/>
        </w:rPr>
        <w:t>پیامبر اسلام و ائمه اطهار</w:t>
      </w:r>
      <w:r>
        <w:rPr>
          <w:rtl w:val="true"/>
        </w:rPr>
        <w:t>(</w:t>
      </w:r>
      <w:r>
        <w:rPr>
          <w:rtl w:val="true"/>
        </w:rPr>
        <w:t>علیهم السلام</w:t>
      </w:r>
      <w:r>
        <w:rPr>
          <w:rtl w:val="true"/>
        </w:rPr>
        <w:t>)</w:t>
      </w:r>
      <w:bookmarkEnd w:id="665"/>
    </w:p>
    <w:p>
      <w:pPr>
        <w:pStyle w:val="BookText"/>
        <w:rPr/>
      </w:pPr>
      <w:r>
        <w:rPr>
          <w:rFonts w:ascii="IRNazanin" w:hAnsi="IRNazanin" w:eastAsia="IRNazanin"/>
          <w:color w:val="111111"/>
          <w:sz w:val="28"/>
          <w:sz w:val="28"/>
          <w:szCs w:val="28"/>
          <w:rtl w:val="true"/>
          <w:lang w:bidi="fa-IR"/>
        </w:rPr>
        <w:t>برخی از روایات بیانگر آن است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ائمه اهل بیت علیهم السلام به دنیا باز می گردند و سالیان سال بر جهانیان حکومت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ابوخالد کابلی از علی بن الحسین علیه السلام روایت می کند که امام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پیامبرتان و امیر مؤمنان و سایر ائمه علیهم السلام بار دیگر به سوی شما بر می گردند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افزون بر روایاتی که در این باب وارد شده، در برخی از ادعیه و زیارات نیز به رجعت ائمه هدی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فرازی از زیارت اربعین و زیارت وارث که شیخ طوسیله آن را در کتابهایش نقل نموده است،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انبیا و ملائک را شاهد می گیرم که من نسبت به شما مؤمن بوده و به رجعت شما یقین دارم</w:t>
      </w:r>
      <w:r>
        <w:rPr>
          <w:rFonts w:eastAsia="IRNazanin" w:cs="IRNazanin"/>
          <w:color w:val="111111"/>
          <w:sz w:val="28"/>
          <w:szCs w:val="28"/>
          <w:rtl w:val="true"/>
          <w:lang w:bidi="fa-IR"/>
        </w:rPr>
        <w:t xml:space="preserve">.» </w:t>
      </w:r>
      <w:r>
        <w:rPr>
          <w:rStyle w:val="FootnoteAnchor"/>
          <w:rtl w:val="true"/>
        </w:rPr>
        <w:footnoteReference w:id="774"/>
      </w:r>
    </w:p>
    <w:p>
      <w:pPr>
        <w:pStyle w:val="Heading5"/>
        <w:numPr>
          <w:ilvl w:val="4"/>
          <w:numId w:val="1"/>
        </w:numPr>
        <w:rPr/>
      </w:pPr>
      <w:bookmarkStart w:id="666" w:name="__RefHeading___Toc7812592_3381743652"/>
      <w:bookmarkStart w:id="667" w:name="_Toc255"/>
      <w:bookmarkEnd w:id="666"/>
      <w:r>
        <w:rPr/>
        <w:t>۴</w:t>
      </w:r>
      <w:r>
        <w:rPr>
          <w:rtl w:val="true"/>
        </w:rPr>
        <w:t xml:space="preserve">. </w:t>
      </w:r>
      <w:r>
        <w:rPr>
          <w:rtl w:val="true"/>
        </w:rPr>
        <w:t>اصحاب پیامبران</w:t>
      </w:r>
      <w:bookmarkEnd w:id="667"/>
    </w:p>
    <w:p>
      <w:pPr>
        <w:pStyle w:val="BookText"/>
        <w:rPr/>
      </w:pPr>
      <w:r>
        <w:rPr>
          <w:rFonts w:ascii="IRNazanin" w:hAnsi="IRNazanin" w:eastAsia="IRNazanin"/>
          <w:color w:val="111111"/>
          <w:sz w:val="28"/>
          <w:sz w:val="28"/>
          <w:szCs w:val="28"/>
          <w:rtl w:val="true"/>
          <w:lang w:bidi="fa-IR"/>
        </w:rPr>
        <w:t xml:space="preserve">در برخی روایات، سخن از رجعت جمعی از اصحاب پیامبران، بویژه اصحاب پیامبر اسلام او به میان آمده است؛ مثلا در روایتی که 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آمده است که پانزده نفر از اصحاب حضرت موسی علیه السلام هفت نفر از اصحاب کهف و نیز یوشع بن نون و سلمان، ابودجانه انصاری، مقداد و مالک اشتر از رجعت کنندگان به شمار می آیند</w:t>
      </w:r>
      <w:r>
        <w:rPr>
          <w:rFonts w:eastAsia="IRNazanin" w:cs="IRNazanin"/>
          <w:color w:val="111111"/>
          <w:sz w:val="28"/>
          <w:szCs w:val="28"/>
          <w:rtl w:val="true"/>
          <w:lang w:bidi="fa-IR"/>
        </w:rPr>
        <w:t>.</w:t>
      </w:r>
      <w:r>
        <w:rPr>
          <w:rStyle w:val="FootnoteAnchor"/>
          <w:rtl w:val="true"/>
        </w:rPr>
        <w:footnoteReference w:id="775"/>
      </w:r>
    </w:p>
    <w:p>
      <w:pPr>
        <w:pStyle w:val="Heading5"/>
        <w:numPr>
          <w:ilvl w:val="4"/>
          <w:numId w:val="1"/>
        </w:numPr>
        <w:rPr/>
      </w:pPr>
      <w:bookmarkStart w:id="668" w:name="__RefHeading___Toc7812594_3381743652"/>
      <w:bookmarkStart w:id="669" w:name="_Toc256"/>
      <w:bookmarkEnd w:id="668"/>
      <w:r>
        <w:rPr/>
        <w:t>۵</w:t>
      </w:r>
      <w:r>
        <w:rPr>
          <w:rtl w:val="true"/>
        </w:rPr>
        <w:t xml:space="preserve">. </w:t>
      </w:r>
      <w:r>
        <w:rPr>
          <w:rtl w:val="true"/>
        </w:rPr>
        <w:t>دشمنان اهل بیت</w:t>
      </w:r>
      <w:bookmarkEnd w:id="66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زیادی، تصریح به رجعت دشمنان اهل بیت، بویژه دشمنان سالار شهیدان، حسین بن علی علیه السلام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تفسیر عیاشی از رفاعة بن موسی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امام علیه السلام فرمود</w:t>
      </w:r>
      <w:r>
        <w:rPr>
          <w:rFonts w:eastAsia="IRNazanin" w:cs="IRNazanin"/>
          <w:color w:val="111111"/>
          <w:sz w:val="28"/>
          <w:szCs w:val="28"/>
          <w:rtl w:val="true"/>
          <w:lang w:bidi="fa-IR"/>
        </w:rPr>
        <w:t xml:space="preserve">: </w:t>
      </w:r>
      <w:bookmarkStart w:id="670" w:name="pg14387_143813"/>
    </w:p>
    <w:p>
      <w:pPr>
        <w:pStyle w:val="BookText"/>
        <w:rPr/>
      </w:pPr>
      <w:bookmarkEnd w:id="670"/>
      <w:r>
        <w:rPr>
          <w:rFonts w:ascii="IRNazanin" w:hAnsi="IRNazanin" w:eastAsia="IRNazanin"/>
          <w:color w:val="111111"/>
          <w:sz w:val="28"/>
          <w:sz w:val="28"/>
          <w:szCs w:val="28"/>
          <w:rtl w:val="true"/>
          <w:lang w:bidi="fa-IR"/>
        </w:rPr>
        <w:t>نخستین کسی که به دنیا بازمی گردد، حسین بن علی علیه السلام و اصحاب باوفایش و یزید بن معاویه و یاران نابکارش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با اصحاب خویش، یزیدیان را قصاص میکند</w:t>
      </w:r>
      <w:r>
        <w:rPr>
          <w:rFonts w:eastAsia="IRNazanin" w:cs="IRNazanin"/>
          <w:color w:val="111111"/>
          <w:sz w:val="28"/>
          <w:szCs w:val="28"/>
          <w:rtl w:val="true"/>
          <w:lang w:bidi="fa-IR"/>
        </w:rPr>
        <w:t>.</w:t>
      </w:r>
      <w:r>
        <w:rPr>
          <w:rStyle w:val="FootnoteAnchor"/>
          <w:rtl w:val="true"/>
        </w:rPr>
        <w:footnoteReference w:id="776"/>
      </w:r>
    </w:p>
    <w:p>
      <w:pPr>
        <w:pStyle w:val="Heading3"/>
        <w:numPr>
          <w:ilvl w:val="2"/>
          <w:numId w:val="1"/>
        </w:numPr>
        <w:rPr/>
      </w:pPr>
      <w:bookmarkStart w:id="671" w:name="__RefHeading___Toc7812596_3381743652"/>
      <w:bookmarkStart w:id="672" w:name="_Toc257"/>
      <w:bookmarkEnd w:id="671"/>
      <w:r>
        <w:rPr>
          <w:rtl w:val="true"/>
        </w:rPr>
        <w:t>فلسفه و اهداف رجعت</w:t>
      </w:r>
      <w:bookmarkEnd w:id="672"/>
    </w:p>
    <w:p>
      <w:pPr>
        <w:pStyle w:val="Heading4"/>
        <w:numPr>
          <w:ilvl w:val="3"/>
          <w:numId w:val="1"/>
        </w:numPr>
        <w:rPr/>
      </w:pPr>
      <w:bookmarkStart w:id="673" w:name="__RefHeading___Toc7812598_3381743652"/>
      <w:bookmarkStart w:id="674" w:name="_Toc258"/>
      <w:bookmarkEnd w:id="673"/>
      <w:r>
        <w:rPr>
          <w:rtl w:val="true"/>
        </w:rPr>
        <w:t>اشاره</w:t>
      </w:r>
      <w:bookmarkEnd w:id="674"/>
    </w:p>
    <w:p>
      <w:pPr>
        <w:pStyle w:val="BookText"/>
        <w:rPr/>
      </w:pPr>
      <w:r>
        <w:rPr>
          <w:rFonts w:ascii="IRNazanin" w:hAnsi="IRNazanin" w:eastAsia="IRNazanin"/>
          <w:color w:val="111111"/>
          <w:sz w:val="28"/>
          <w:sz w:val="28"/>
          <w:szCs w:val="28"/>
          <w:rtl w:val="true"/>
          <w:lang w:bidi="fa-IR"/>
        </w:rPr>
        <w:t xml:space="preserve">مهمترین پرسشی که در مسئله رجعت، اذهان را به خود جلب می کند، چرایی و فلسفه رجعت است؛ چرا خداوند در آن مقطع خاص تاریخی، عده ای از مؤمنان و کافران را بر می انگیزد؟ هدف از چنین رستاخیزی قبل از رستاخیز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از روایات و سخنان دانشمندان اسلامی به دست می آید که رجعت به منظور تحقق بخشیدن به اهداف زیر صورت می گیرد</w:t>
      </w:r>
      <w:r>
        <w:rPr>
          <w:rFonts w:eastAsia="IRNazanin" w:cs="IRNazanin"/>
          <w:color w:val="111111"/>
          <w:sz w:val="28"/>
          <w:szCs w:val="28"/>
          <w:rtl w:val="true"/>
          <w:lang w:bidi="fa-IR"/>
        </w:rPr>
        <w:t>:</w:t>
      </w:r>
    </w:p>
    <w:p>
      <w:pPr>
        <w:pStyle w:val="Heading4"/>
        <w:numPr>
          <w:ilvl w:val="3"/>
          <w:numId w:val="1"/>
        </w:numPr>
        <w:rPr/>
      </w:pPr>
      <w:bookmarkStart w:id="675" w:name="__RefHeading___Toc7812600_3381743652"/>
      <w:bookmarkStart w:id="676" w:name="_Toc259"/>
      <w:bookmarkEnd w:id="675"/>
      <w:r>
        <w:rPr/>
        <w:t>1</w:t>
      </w:r>
      <w:r>
        <w:rPr>
          <w:rtl w:val="true"/>
        </w:rPr>
        <w:t xml:space="preserve">. </w:t>
      </w:r>
      <w:r>
        <w:rPr>
          <w:rtl w:val="true"/>
        </w:rPr>
        <w:t>تشکیل حکومت واحد جهانی بر پایه عدل</w:t>
      </w:r>
      <w:bookmarkEnd w:id="676"/>
    </w:p>
    <w:p>
      <w:pPr>
        <w:pStyle w:val="BookText"/>
        <w:rPr/>
      </w:pPr>
      <w:r>
        <w:rPr>
          <w:rFonts w:ascii="IRNazanin" w:hAnsi="IRNazanin" w:eastAsia="IRNazanin"/>
          <w:color w:val="111111"/>
          <w:sz w:val="28"/>
          <w:sz w:val="28"/>
          <w:szCs w:val="28"/>
          <w:rtl w:val="true"/>
          <w:lang w:bidi="fa-IR"/>
        </w:rPr>
        <w:t>بر اساس برخی آیات قرآن مجید، روزگاری فراخواهد رسید که دین اسلام بر همه ادیان و مکاتب دیگر غلبه پیدا می کند</w:t>
      </w:r>
      <w:r>
        <w:rPr>
          <w:rStyle w:val="FootnoteAnchor"/>
          <w:rtl w:val="true"/>
        </w:rPr>
        <w:footnoteReference w:id="777"/>
      </w:r>
      <w:r>
        <w:rPr>
          <w:rFonts w:ascii="IRNazanin" w:hAnsi="IRNazanin" w:eastAsia="IRNazanin"/>
          <w:color w:val="111111"/>
          <w:sz w:val="28"/>
          <w:sz w:val="28"/>
          <w:szCs w:val="28"/>
          <w:rtl w:val="true"/>
          <w:lang w:bidi="fa-IR"/>
        </w:rPr>
        <w:t>و به عنوان یگانه دین جهانی به رسمیت شناخته می شود و حکومت زمین از آن مؤمنان و صالحان می گردد</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از سوی دیگر، بر پایه روایاتی که در تفسیر آیات مزبور وارد شده است، غلبه و تسلط جهانی اسلام بر سایر ادیان، همزمان با ظهور حضرت مهدی عالی و به دست آن حضرت صورت می گیرد</w:t>
      </w:r>
      <w:r>
        <w:rPr>
          <w:rFonts w:eastAsia="IRNazanin" w:cs="IRNazanin"/>
          <w:color w:val="111111"/>
          <w:sz w:val="28"/>
          <w:szCs w:val="28"/>
          <w:rtl w:val="true"/>
          <w:lang w:bidi="fa-IR"/>
        </w:rPr>
        <w:t>.</w:t>
      </w:r>
      <w:r>
        <w:rPr>
          <w:rStyle w:val="FootnoteAnchor"/>
          <w:rtl w:val="true"/>
        </w:rPr>
        <w:footnoteReference w:id="77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روزی فرا خواهد رسید که حاکمیت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جهان به رهبری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مسلمانان افتاده، دولت و حکومت اسلامی، سراسر کره خاکی را فراخواهد گرفت و روشن است که تشکیل چنین حکومتی و استمرار آن، نیازمند یاری کسانی است که از بوته آزمایش، سرافراز بیرون آمده و به بالاترین درجه </w:t>
      </w:r>
      <w:bookmarkStart w:id="677" w:name="pg14387_143814"/>
    </w:p>
    <w:p>
      <w:pPr>
        <w:pStyle w:val="BookText"/>
        <w:rPr/>
      </w:pPr>
      <w:bookmarkEnd w:id="677"/>
      <w:r>
        <w:rPr>
          <w:rFonts w:ascii="IRNazanin" w:hAnsi="IRNazanin" w:eastAsia="IRNazanin"/>
          <w:color w:val="111111"/>
          <w:sz w:val="28"/>
          <w:sz w:val="28"/>
          <w:szCs w:val="28"/>
          <w:rtl w:val="true"/>
          <w:lang w:bidi="fa-IR"/>
        </w:rPr>
        <w:t>ایمان رسیده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مؤمنان خالصی که در روایات از آنان به عنوان رجعت کنندگان یاد شده است، از چنین ویژگیهایی در حد اعلا برخوردارند؛ پس آنان به دنیا برمی گردند تا حضرت قائم علی را در تشکیل حکومت واحد جهانی و برقراری عدالت فراگیر،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مطلب، روایاتی است که در این زمینه وارد شده است؛ مثلا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خارج کوفه همراه قائم خروج می کنند که همگی از یاران و کارگزاران آن حضرت به شمار می آیند و ایشان را در اداره امور، یاری می رسانند</w:t>
      </w:r>
      <w:r>
        <w:rPr>
          <w:rFonts w:eastAsia="IRNazanin" w:cs="IRNazanin"/>
          <w:color w:val="111111"/>
          <w:sz w:val="28"/>
          <w:szCs w:val="28"/>
          <w:rtl w:val="true"/>
          <w:lang w:bidi="fa-IR"/>
        </w:rPr>
        <w:t>.</w:t>
      </w:r>
      <w:r>
        <w:rPr>
          <w:rStyle w:val="FootnoteAnchor"/>
          <w:rtl w:val="true"/>
        </w:rPr>
        <w:footnoteReference w:id="780"/>
      </w:r>
    </w:p>
    <w:p>
      <w:pPr>
        <w:pStyle w:val="Heading4"/>
        <w:numPr>
          <w:ilvl w:val="3"/>
          <w:numId w:val="1"/>
        </w:numPr>
        <w:rPr/>
      </w:pPr>
      <w:bookmarkStart w:id="678" w:name="__RefHeading___Toc7812602_3381743652"/>
      <w:bookmarkStart w:id="679" w:name="_Toc260"/>
      <w:bookmarkEnd w:id="678"/>
      <w:r>
        <w:rPr/>
        <w:t>۲</w:t>
      </w:r>
      <w:r>
        <w:rPr>
          <w:rtl w:val="true"/>
        </w:rPr>
        <w:t xml:space="preserve">. </w:t>
      </w:r>
      <w:r>
        <w:rPr>
          <w:rtl w:val="true"/>
        </w:rPr>
        <w:t>خالی نماندن زمین از حجت</w:t>
      </w:r>
      <w:bookmarkEnd w:id="679"/>
    </w:p>
    <w:p>
      <w:pPr>
        <w:pStyle w:val="BookText"/>
        <w:rPr/>
      </w:pPr>
      <w:r>
        <w:rPr>
          <w:rFonts w:ascii="IRNazanin" w:hAnsi="IRNazanin" w:eastAsia="IRNazanin"/>
          <w:color w:val="111111"/>
          <w:sz w:val="28"/>
          <w:sz w:val="28"/>
          <w:szCs w:val="28"/>
          <w:rtl w:val="true"/>
          <w:lang w:bidi="fa-IR"/>
        </w:rPr>
        <w:t>بر اساس تعالیم و آموزه های مکتب تشیع، زمین هیچگاه از حجت خالی نمی ماند و امام و حجت خدا آخرین شخصی است که از دنیا می رود</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از سوی دیگر، چنان که از روایات استفاده می شود، حضرت قائم عل تا ابد زنده نمی ماند، بلکه بر اساس برخی روایات، فاصله میان ظهور و وفات آن حضرت، کمتر از بیست سال است</w:t>
      </w:r>
      <w:r>
        <w:rPr>
          <w:rStyle w:val="FootnoteAnchor"/>
          <w:rtl w:val="true"/>
        </w:rPr>
        <w:footnoteReference w:id="782"/>
      </w:r>
      <w:r>
        <w:rPr>
          <w:rFonts w:ascii="IRNazanin" w:hAnsi="IRNazanin" w:eastAsia="IRNazanin"/>
          <w:color w:val="111111"/>
          <w:sz w:val="28"/>
          <w:sz w:val="28"/>
          <w:szCs w:val="28"/>
          <w:rtl w:val="true"/>
          <w:lang w:bidi="fa-IR"/>
        </w:rPr>
        <w:t>؛ بنابراین، اگر امامان دیگری به دنیا بازنگردند و زمام امامت و رهبری را پس از آن حضرت به دست نگیرند، زمین خالی از حجت می ماند و این مخالف آموزه های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اهداف رجعت را می توان خالی نماندن زمین از حجت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رجعت را می توان یکی از نشانه های عظمت و قدرت الهی و یکی از علائم رستاخیز عمومی انسانها دانست که با وقوع آن، قلبهای مؤمنان از هر شک و شائبهای پاک و حجت بر کافران و معاندان تمام می شود</w:t>
      </w:r>
      <w:r>
        <w:rPr>
          <w:rFonts w:eastAsia="IRNazanin" w:cs="IRNazanin"/>
          <w:color w:val="111111"/>
          <w:sz w:val="28"/>
          <w:szCs w:val="28"/>
          <w:rtl w:val="true"/>
          <w:lang w:bidi="fa-IR"/>
        </w:rPr>
        <w:t>.</w:t>
      </w:r>
    </w:p>
    <w:p>
      <w:pPr>
        <w:pStyle w:val="Heading4"/>
        <w:numPr>
          <w:ilvl w:val="3"/>
          <w:numId w:val="1"/>
        </w:numPr>
        <w:rPr/>
      </w:pPr>
      <w:bookmarkStart w:id="680" w:name="__RefHeading___Toc7812604_3381743652"/>
      <w:bookmarkStart w:id="681" w:name="_Toc261"/>
      <w:bookmarkEnd w:id="680"/>
      <w:r>
        <w:rPr/>
        <w:t>٣</w:t>
      </w:r>
      <w:r>
        <w:rPr>
          <w:rtl w:val="true"/>
        </w:rPr>
        <w:t xml:space="preserve">. </w:t>
      </w:r>
      <w:r>
        <w:rPr>
          <w:rtl w:val="true"/>
        </w:rPr>
        <w:t>انتقام از ستمگران</w:t>
      </w:r>
      <w:bookmarkEnd w:id="68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اشاره شد، هنگام رجعت، گروهی از کافران و معاندان نیز به دنیا بازگردانده می شوند تا از آنان انتقام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آمده است که هنگام رجعت، از دشمنان اهل بیت علیهم السلام بویژه از دشمنان حسین بن علی علیه السلام و یاران باوفای آن حضرت </w:t>
      </w:r>
      <w:bookmarkStart w:id="682" w:name="pg14387_143815"/>
    </w:p>
    <w:p>
      <w:pPr>
        <w:pStyle w:val="BookText"/>
        <w:rPr/>
      </w:pPr>
      <w:bookmarkEnd w:id="682"/>
      <w:r>
        <w:rPr>
          <w:rFonts w:ascii="IRNazanin" w:hAnsi="IRNazanin" w:eastAsia="IRNazanin"/>
          <w:color w:val="111111"/>
          <w:sz w:val="28"/>
          <w:sz w:val="28"/>
          <w:szCs w:val="28"/>
          <w:rtl w:val="true"/>
          <w:lang w:bidi="fa-IR"/>
        </w:rPr>
        <w:t>انتقام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شیعه نیز با الهام از روایاتی که در این باب وارد شده است، به تبیین و توضیح فلسفه رجعت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هنگام ظهور حضرت قائم عطل گروهی از مردگان را با همان صورتی که در دنیا بوده اند، دوباره به دنیا بازمی گرداند تا عده ای را عزیز و عده ای را خوار گرداند و اهل حق را بر باطل و مظلومان را بر ظالمان پیروز گرداند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سید مرتضی نیز در توضیح فلسفه رجعت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هنگام ظهور حضرت قائم علیه السلام گروهی از شیعیانش را که قبلا از دنیا رفته اند، زنده می گرداند تا به ثواب یاری آن حضرت نایل شده، از مشاهده دولت او و ظهور حق، لذت ببرند و نیز گروهی از دشمنان آن حضرت را دوباره زنده می کند تا از آنان انتقام بگیرد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شیخ الطایفه در این زمینه به صراحت سخن نگفته است، اما با توجه به برخی روایات، ادعیه و زیاراتی که ایشان در آثار خود بدانها اشاره کرده و مشتمل بر پاره ای اهداف رجعت است، می توان گفت که فلسفه رجعت از نظر ایشان نیز یاری حضرت مهدی طلا در تشکیل حکومت واحد جهانی بر اساس عدل </w:t>
      </w:r>
      <w:r>
        <w:rPr>
          <w:rStyle w:val="FootnoteAnchor"/>
          <w:rtl w:val="true"/>
        </w:rPr>
        <w:footnoteReference w:id="785"/>
      </w:r>
      <w:r>
        <w:rPr>
          <w:rFonts w:ascii="IRNazanin" w:hAnsi="IRNazanin" w:eastAsia="IRNazanin"/>
          <w:color w:val="111111"/>
          <w:sz w:val="28"/>
          <w:sz w:val="28"/>
          <w:szCs w:val="28"/>
          <w:rtl w:val="true"/>
          <w:lang w:bidi="fa-IR"/>
        </w:rPr>
        <w:t>و انتقام از ستمگران می باشد</w:t>
      </w:r>
      <w:r>
        <w:rPr>
          <w:rFonts w:eastAsia="IRNazanin" w:cs="IRNazanin"/>
          <w:color w:val="111111"/>
          <w:sz w:val="28"/>
          <w:szCs w:val="28"/>
          <w:rtl w:val="true"/>
          <w:lang w:bidi="fa-IR"/>
        </w:rPr>
        <w:t>.</w:t>
      </w:r>
      <w:r>
        <w:rPr>
          <w:rStyle w:val="FootnoteAnchor"/>
          <w:rtl w:val="true"/>
        </w:rPr>
        <w:footnoteReference w:id="786"/>
      </w:r>
    </w:p>
    <w:p>
      <w:pPr>
        <w:pStyle w:val="Heading3"/>
        <w:numPr>
          <w:ilvl w:val="2"/>
          <w:numId w:val="1"/>
        </w:numPr>
        <w:rPr/>
      </w:pPr>
      <w:bookmarkStart w:id="683" w:name="__RefHeading___Toc7812606_3381743652"/>
      <w:bookmarkStart w:id="684" w:name="_Toc262"/>
      <w:bookmarkEnd w:id="683"/>
      <w:r>
        <w:rPr>
          <w:rtl w:val="true"/>
        </w:rPr>
        <w:t>پاسخ به شبهات</w:t>
      </w:r>
      <w:bookmarkEnd w:id="684"/>
    </w:p>
    <w:p>
      <w:pPr>
        <w:pStyle w:val="Heading4"/>
        <w:numPr>
          <w:ilvl w:val="3"/>
          <w:numId w:val="1"/>
        </w:numPr>
        <w:rPr/>
      </w:pPr>
      <w:bookmarkStart w:id="685" w:name="__RefHeading___Toc7812608_3381743652"/>
      <w:bookmarkStart w:id="686" w:name="_Toc263"/>
      <w:bookmarkEnd w:id="685"/>
      <w:r>
        <w:rPr>
          <w:rtl w:val="true"/>
        </w:rPr>
        <w:t>اشاره</w:t>
      </w:r>
      <w:bookmarkEnd w:id="686"/>
    </w:p>
    <w:p>
      <w:pPr>
        <w:pStyle w:val="BookText"/>
        <w:rPr/>
      </w:pPr>
      <w:r>
        <w:rPr>
          <w:rFonts w:ascii="IRNazanin" w:hAnsi="IRNazanin" w:eastAsia="IRNazanin"/>
          <w:color w:val="111111"/>
          <w:sz w:val="28"/>
          <w:sz w:val="28"/>
          <w:szCs w:val="28"/>
          <w:rtl w:val="true"/>
          <w:lang w:bidi="fa-IR"/>
        </w:rPr>
        <w:t>در مسئله رجعت، شبهات فراوانی مطرح شده است، اما در این جا به اختصار، به ذکر چند شبهه عمده بسنده می شود</w:t>
      </w:r>
    </w:p>
    <w:p>
      <w:pPr>
        <w:pStyle w:val="Heading4"/>
        <w:numPr>
          <w:ilvl w:val="3"/>
          <w:numId w:val="1"/>
        </w:numPr>
        <w:rPr/>
      </w:pPr>
      <w:bookmarkStart w:id="687" w:name="__RefHeading___Toc7812610_3381743652"/>
      <w:bookmarkStart w:id="688" w:name="_Toc264"/>
      <w:bookmarkEnd w:id="687"/>
      <w:r>
        <w:rPr/>
        <w:t>1</w:t>
      </w:r>
      <w:r>
        <w:rPr>
          <w:rtl w:val="true"/>
        </w:rPr>
        <w:t xml:space="preserve">. </w:t>
      </w:r>
      <w:r>
        <w:rPr>
          <w:rtl w:val="true"/>
        </w:rPr>
        <w:t>شبهه تناسخ انگاری رجعت</w:t>
      </w:r>
      <w:bookmarkEnd w:id="68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اشکالاتی که منکران، بر آموزه رجعت وارد کرده اند، این است که رجعت، نوعی </w:t>
      </w:r>
      <w:bookmarkStart w:id="689" w:name="pg14387_143816"/>
    </w:p>
    <w:p>
      <w:pPr>
        <w:pStyle w:val="BookText"/>
        <w:rPr/>
      </w:pPr>
      <w:bookmarkEnd w:id="689"/>
      <w:r>
        <w:rPr>
          <w:rFonts w:ascii="IRNazanin" w:hAnsi="IRNazanin" w:eastAsia="IRNazanin"/>
          <w:color w:val="111111"/>
          <w:sz w:val="28"/>
          <w:sz w:val="28"/>
          <w:szCs w:val="28"/>
          <w:rtl w:val="true"/>
          <w:lang w:bidi="fa-IR"/>
        </w:rPr>
        <w:t>تناسخ است و تناسخ</w:t>
      </w:r>
      <w:r>
        <w:rPr>
          <w:rStyle w:val="FootnoteAnchor"/>
          <w:rtl w:val="true"/>
        </w:rPr>
        <w:footnoteReference w:id="787"/>
      </w:r>
      <w:r>
        <w:rPr>
          <w:rFonts w:ascii="IRNazanin" w:hAnsi="IRNazanin" w:eastAsia="IRNazanin"/>
          <w:color w:val="111111"/>
          <w:sz w:val="28"/>
          <w:sz w:val="28"/>
          <w:szCs w:val="28"/>
          <w:rtl w:val="true"/>
          <w:lang w:bidi="fa-IR"/>
        </w:rPr>
        <w:t>به اتفاق همه مسلمانان، باطل است، پس رجعت،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رجعت، پاسخ این شبهه را چنین بیان می کنند که میان رجعت و تناسخ، فرق است؛ زیرا بر اساس قول به تناسخ، ارواح پس از جدایی از بدنهای خویش به بدنهای دیگری منتقل می شوند تا بدین وسیله به تکامل لایقشان ادامه دهند و یا کیفر کردار خویش را ببینند و این سیر تبدل بدنها پیوسته ادامه دارد و دیگر نیازی به قیامت و سرای دیگر که در آن به اعمال آنها رسیدگی شود، نیست اما در رجعت، ارواح رجعت کنندگان به همان بدنهای نخستین باز می گردد؛ پس رجعت، غیر از تناسخ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رجعت به معنای تناسخ را مردود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تفسیر وزین التبیان پس از استدلال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لاتحسبن الذین قتلوا فی سبیل الله أمواتا </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برای اثبات رجعت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رجعتی که اهل تناسخ بدان قائلند، باطل است</w:t>
      </w:r>
      <w:r>
        <w:rPr>
          <w:rFonts w:eastAsia="IRNazanin" w:cs="IRNazanin"/>
          <w:color w:val="111111"/>
          <w:sz w:val="28"/>
          <w:szCs w:val="28"/>
          <w:rtl w:val="true"/>
          <w:lang w:bidi="fa-IR"/>
        </w:rPr>
        <w:t>.»</w:t>
      </w:r>
      <w:r>
        <w:rPr>
          <w:rStyle w:val="FootnoteAnchor"/>
          <w:rtl w:val="true"/>
        </w:rPr>
        <w:footnoteReference w:id="789"/>
      </w:r>
    </w:p>
    <w:p>
      <w:pPr>
        <w:pStyle w:val="Heading4"/>
        <w:numPr>
          <w:ilvl w:val="3"/>
          <w:numId w:val="1"/>
        </w:numPr>
        <w:rPr/>
      </w:pPr>
      <w:bookmarkStart w:id="690" w:name="__RefHeading___Toc7812612_3381743652"/>
      <w:bookmarkStart w:id="691" w:name="_Toc265"/>
      <w:bookmarkEnd w:id="690"/>
      <w:r>
        <w:rPr/>
        <w:t>۲</w:t>
      </w:r>
      <w:r>
        <w:rPr>
          <w:rtl w:val="true"/>
        </w:rPr>
        <w:t xml:space="preserve">. </w:t>
      </w:r>
      <w:r>
        <w:rPr>
          <w:rtl w:val="true"/>
        </w:rPr>
        <w:t>شبهه ناسازگاری رجعت با آیات قرآنی و پاسخ آن</w:t>
      </w:r>
      <w:bookmarkEnd w:id="691"/>
    </w:p>
    <w:p>
      <w:pPr>
        <w:pStyle w:val="BookText"/>
        <w:rPr/>
      </w:pPr>
      <w:r>
        <w:rPr>
          <w:rFonts w:ascii="IRNazanin" w:hAnsi="IRNazanin" w:eastAsia="IRNazanin"/>
          <w:color w:val="111111"/>
          <w:sz w:val="28"/>
          <w:sz w:val="28"/>
          <w:szCs w:val="28"/>
          <w:rtl w:val="true"/>
          <w:lang w:bidi="fa-IR"/>
        </w:rPr>
        <w:t xml:space="preserve">برخی مفسران اهل سنت، رجعت را با بعضی آیات قرآن مجید ناسازگار تلقی کرده اند؛ مثلا زمخشری در تفسیر کشاف رجعت را منافی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یروا کم أهلکنا قبلهم من القرون أنهم إلیهم لایرجعون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جمله آیاتی است که قول به رجعت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برای تأیید مدعایش روایتی را از ابن عباس نقل می کند؛ بدین مضمون که شخصی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می کنند که علی قبل از قیامت به دنیا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گمان کرده اند، ما زنان آن حضرت را نکاح و میراث او را تقسیم کرده ایم</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ناسازگاری رجعت با آیات قرآنی و پاسخ آن برخی مفسران اهل سنت، رجعت را با بعضی آیات قرآن مجید ناسازگار تلقی کرده اند؛ مثلا زمخشری در تفسیر کشاف رجعت را منافی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یروا کم أهلکنا قبلهم من القرون أنهم إلیهم لایرجعون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ج</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نکردن برخی از کفار که به صورت ابدی هلاک شده اند، بر عدم رجعت انسانهای کاملی که دارای زندگی علمی و عرفانی بوده اند، دلالت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مانعی نیست که برخی از ارواح با اذن و قدرت پروردگار، به این دنیا نازل شوند تا دیگران را که در بند قیود و تعلقات دنیوی زندانی شده اند، آزاد </w:t>
      </w:r>
      <w:bookmarkStart w:id="692" w:name="pg14387_143817"/>
    </w:p>
    <w:p>
      <w:pPr>
        <w:pStyle w:val="BookText"/>
        <w:rPr/>
      </w:pPr>
      <w:bookmarkEnd w:id="692"/>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ملاصدرا در رد روایتی که زمخشری برای تأیید مدعا آورده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روایت، صرف نقل داستانی است که معلوم نیست صحیح باشد و بر فرض که صحیح باشد، مضمون آن قابل پذیرش نیست؛ زیرا آنچه در امور اعتقادی معتبر است، یا برهان است و یا نقل صحیح قطعی که از اهل بیت عصمت و ولایت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روایات فراوانی به طریق صحیح از اهل بیت نبوت درباره حقانیت رجعت وارد شده است و عقل نیز آن را منع نمی کند؛ زیرا نظیر آن در امتهای گذشته زیاد واقع شده است</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پس رجعت، هیچگونه ناسازگاری با آیه شریفه ندارد</w:t>
      </w:r>
      <w:r>
        <w:rPr>
          <w:rFonts w:eastAsia="IRNazanin" w:cs="IRNazanin"/>
          <w:color w:val="111111"/>
          <w:sz w:val="28"/>
          <w:szCs w:val="28"/>
          <w:rtl w:val="true"/>
          <w:lang w:bidi="fa-IR"/>
        </w:rPr>
        <w:t>.</w:t>
      </w:r>
    </w:p>
    <w:p>
      <w:pPr>
        <w:pStyle w:val="Heading4"/>
        <w:numPr>
          <w:ilvl w:val="3"/>
          <w:numId w:val="1"/>
        </w:numPr>
        <w:rPr/>
      </w:pPr>
      <w:bookmarkStart w:id="693" w:name="__RefHeading___Toc7812614_3381743652"/>
      <w:bookmarkStart w:id="694" w:name="_Toc266"/>
      <w:bookmarkEnd w:id="693"/>
      <w:r>
        <w:rPr/>
        <w:t>٣</w:t>
      </w:r>
      <w:r>
        <w:rPr>
          <w:rtl w:val="true"/>
        </w:rPr>
        <w:t xml:space="preserve">. </w:t>
      </w:r>
      <w:r>
        <w:rPr>
          <w:rtl w:val="true"/>
        </w:rPr>
        <w:t>آیا رجعت مستلزم خروج از فعلیت به قوه است؟</w:t>
      </w:r>
      <w:bookmarkEnd w:id="694"/>
    </w:p>
    <w:p>
      <w:pPr>
        <w:pStyle w:val="BookText"/>
        <w:rPr/>
      </w:pPr>
      <w:r>
        <w:rPr>
          <w:rFonts w:ascii="IRNazanin" w:hAnsi="IRNazanin" w:eastAsia="IRNazanin"/>
          <w:color w:val="111111"/>
          <w:sz w:val="28"/>
          <w:sz w:val="28"/>
          <w:szCs w:val="28"/>
          <w:rtl w:val="true"/>
          <w:lang w:bidi="fa-IR"/>
        </w:rPr>
        <w:t>برخی بر این باورند که رجعت، مستلزم خروج از فعلیت به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مرگ، زمانی بر یک موجود زنده عارض می شود که عمرش تمام شده، همه استعدادهایش به فعلیت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پس از مرگ، دوباره زنده شود و به دنیا بازگردد، لازمه آن این است که بعد از رسیدن به مرحله فعلیت، دوباره به مرتبه قوه و استعداد بازگردد و این محال است</w:t>
      </w:r>
      <w:r>
        <w:rPr>
          <w:rFonts w:eastAsia="IRNazanin" w:cs="IRNazanin"/>
          <w:color w:val="111111"/>
          <w:sz w:val="28"/>
          <w:szCs w:val="28"/>
          <w:rtl w:val="true"/>
          <w:lang w:bidi="fa-IR"/>
        </w:rPr>
        <w:t>.</w:t>
      </w:r>
      <w:r>
        <w:rPr>
          <w:rStyle w:val="FootnoteAnchor"/>
          <w:rtl w:val="true"/>
        </w:rPr>
        <w:footnoteReference w:id="792"/>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تفسیر شریف المیزان اشکال بالا را مطرح کرده در پاسخ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این مطلب که هرگاه چیزی به فعلیت برسد، برگشتن آن به حال قوه، محال است، تردیدی نیست، ولی مورد بحث ما از آن موارد نیست؛ زیرا انسان وقتی از قوه خارج می شود و به فعلیت می رسد که واجد هر کمالی که برایش ممکن است، بشود و جدایی روح او از بدن، به مرگ طبیعی باشد؛ یعنی روح انسانی دوره تکامل خود را پیموده و نهایت استفاده اش را از بدن کرده باشد؛ به گونه ای که استعداد هیچ کمالی برایش باقی نماند، اما در مرگ احترامی که مفارقت روح از بدن، به واسطه عارضه ای مانند بیماری یا قتل و جز آن است، بازگشت به دنیا هیچ محذوری ندارد؛ زیرا ممکن است انسان، استعداد کمالی را در زمانی داشته باشد و بعد بمیرد و مجددا در زمان ثانی، </w:t>
      </w:r>
      <w:bookmarkStart w:id="695" w:name="pg14387_143818"/>
    </w:p>
    <w:p>
      <w:pPr>
        <w:pStyle w:val="BookText"/>
        <w:rPr/>
      </w:pPr>
      <w:bookmarkEnd w:id="695"/>
      <w:r>
        <w:rPr>
          <w:rFonts w:ascii="IRNazanin" w:hAnsi="IRNazanin" w:eastAsia="IRNazanin"/>
          <w:color w:val="111111"/>
          <w:sz w:val="28"/>
          <w:sz w:val="28"/>
          <w:szCs w:val="28"/>
          <w:rtl w:val="true"/>
          <w:lang w:bidi="fa-IR"/>
        </w:rPr>
        <w:t>برای کمال دیگری مستعد شود و برای استیفای آن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استعداد کمالی را مشروط به این که بعد از زندگی برزخی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 و بعد از تحقق آن شرط، زنده شود و به دنیا بازگردد تا آن کمال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رجعت، هیچ گونه محذوری ندارد</w:t>
      </w:r>
      <w:r>
        <w:rPr>
          <w:rFonts w:eastAsia="IRNazanin" w:cs="IRNazanin"/>
          <w:color w:val="111111"/>
          <w:sz w:val="28"/>
          <w:szCs w:val="28"/>
          <w:rtl w:val="true"/>
          <w:lang w:bidi="fa-IR"/>
        </w:rPr>
        <w:t>.</w:t>
      </w:r>
      <w:r>
        <w:rPr>
          <w:rStyle w:val="FootnoteAnchor"/>
          <w:rtl w:val="true"/>
        </w:rPr>
        <w:footnoteReference w:id="793"/>
      </w:r>
    </w:p>
    <w:p>
      <w:pPr>
        <w:pStyle w:val="Heading4"/>
        <w:numPr>
          <w:ilvl w:val="3"/>
          <w:numId w:val="1"/>
        </w:numPr>
        <w:rPr/>
      </w:pPr>
      <w:bookmarkStart w:id="696" w:name="__RefHeading___Toc7812616_3381743652"/>
      <w:bookmarkStart w:id="697" w:name="_Toc267"/>
      <w:bookmarkEnd w:id="696"/>
      <w:r>
        <w:rPr/>
        <w:t>۴</w:t>
      </w:r>
      <w:r>
        <w:rPr>
          <w:rtl w:val="true"/>
        </w:rPr>
        <w:t xml:space="preserve">. </w:t>
      </w:r>
      <w:r>
        <w:rPr>
          <w:rtl w:val="true"/>
        </w:rPr>
        <w:t>آیا رجعت مستلزم تشویق به گناه است؟</w:t>
      </w:r>
      <w:bookmarkEnd w:id="697"/>
    </w:p>
    <w:p>
      <w:pPr>
        <w:pStyle w:val="BookText"/>
        <w:rPr/>
      </w:pPr>
      <w:r>
        <w:rPr>
          <w:rFonts w:ascii="IRNazanin" w:hAnsi="IRNazanin" w:eastAsia="IRNazanin"/>
          <w:color w:val="111111"/>
          <w:sz w:val="28"/>
          <w:sz w:val="28"/>
          <w:szCs w:val="28"/>
          <w:rtl w:val="true"/>
          <w:lang w:bidi="fa-IR"/>
        </w:rPr>
        <w:t>برخی از منکران رجعت، ادعا کرده اند که اعتقاد به رجعت، موجب تشویق به گناه می شود؛ زیرا ممکن است کسی با این گمان که هنگام رجعت توبه خواهد کرد، مرتکب گناه شود و یا به گناه خویش ادامه دهد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به این شبهه نیز پاسخهایی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را که شیخ طوسی به آن می دهد، این است که اشکال مزبور در صورتی وارد است که رجعت، عمومی و همگانی باشد، اما اگر رجعت، اختصاصی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ادعا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مجالی برای ایراد فوق باقی نخواهد ماند؛ زیرا در این صورت، نه تنها کسی قطع به رجعت خویش ندارد، بلکه احتمال می دهد که اصلا رجعت نکند و همین مقدار در عدم تشویق به گناه کفایت می کند</w:t>
      </w:r>
      <w:r>
        <w:rPr>
          <w:rFonts w:eastAsia="IRNazanin" w:cs="IRNazanin"/>
          <w:color w:val="111111"/>
          <w:sz w:val="28"/>
          <w:szCs w:val="28"/>
          <w:rtl w:val="true"/>
          <w:lang w:bidi="fa-IR"/>
        </w:rPr>
        <w:t>.</w:t>
      </w:r>
      <w:r>
        <w:rPr>
          <w:rStyle w:val="FootnoteAnchor"/>
          <w:rtl w:val="true"/>
        </w:rPr>
        <w:footnoteReference w:id="795"/>
      </w:r>
    </w:p>
    <w:p>
      <w:pPr>
        <w:pStyle w:val="Heading3"/>
        <w:numPr>
          <w:ilvl w:val="2"/>
          <w:numId w:val="1"/>
        </w:numPr>
        <w:rPr/>
      </w:pPr>
      <w:bookmarkStart w:id="698" w:name="__RefHeading___Toc7812618_3381743652"/>
      <w:bookmarkStart w:id="699" w:name="_Toc268"/>
      <w:bookmarkEnd w:id="698"/>
      <w:r>
        <w:rPr>
          <w:rtl w:val="true"/>
        </w:rPr>
        <w:t>چکیده</w:t>
      </w:r>
      <w:bookmarkEnd w:id="699"/>
    </w:p>
    <w:p>
      <w:pPr>
        <w:pStyle w:val="BookText"/>
        <w:rPr/>
      </w:pPr>
      <w:r>
        <w:rPr>
          <w:rFonts w:ascii="IRNazanin" w:hAnsi="IRNazanin" w:eastAsia="IRNazanin"/>
          <w:color w:val="111111"/>
          <w:sz w:val="28"/>
          <w:sz w:val="28"/>
          <w:szCs w:val="28"/>
          <w:rtl w:val="true"/>
          <w:lang w:bidi="fa-IR"/>
        </w:rPr>
        <w:t>رجعت در اصطلاح متکلمان عبارت از بازگشت برخی از اموات به دنیا هنگام ظهور حضرت مهدی طلا و قبل از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رجعت، اختلاف نظر است و در آن، دو رویکرد عمده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یک رویکرد که اکثر دانشمندان شیعه و از جمله شیخ طوسی برآنند، رجعت به معنای بازگشت ائمه اطهار و گروهی از مؤمنان و کافران به دنیا با همان بدنهای مادی و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رویکرد دوم که تعداد اندکی از شیعیان متقدم بدان باور داشتند، رجعت عبارت است از بازگشت قدرت و دولت به خاندان رسالت، نه بازگشت اشخاص</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جایگاه رجعت نیز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نظیر شیخ طوسی به آن را از </w:t>
      </w:r>
    </w:p>
    <w:p>
      <w:pPr>
        <w:pStyle w:val="BookText"/>
        <w:rPr/>
      </w:pPr>
      <w:r>
        <w:rPr>
          <w:rFonts w:ascii="IRNazanin" w:hAnsi="IRNazanin" w:eastAsia="IRNazanin"/>
          <w:color w:val="111111"/>
          <w:sz w:val="28"/>
          <w:sz w:val="28"/>
          <w:szCs w:val="28"/>
          <w:rtl w:val="true"/>
          <w:lang w:bidi="fa-IR"/>
        </w:rPr>
        <w:t>اصول دین و برخی آن را از اصول مذهب و یا از ضروریات آن می دانند و دسته ای دیگر بر این باورند که اعتقاد به رجعت، نه از اصول دین است و نه از اصول مذهب و نه از ضروریات آن، بلکه از اموری است که نزد اکثر شیعیان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اصل امکان رجعت تردید کرده اند و اعتقاد به آن را ناپسند تلقی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اندیشه وران شیعه و از جمله شیخ طوسی با استناد به آیات و روایات، نه تنها آن را ممکن می دانند، بلکه به وقوع حتمی آن در آینده نیز اذعان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رجعت کنندگان دقیقا چه کسانی هستند، دلیل روشنی در دست نیست و در روایات، تنها به اختصاصی بودن رجعت، ملاک رجعت کنندگان و اسامی برخی از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مجموع روایاتی که در این زمینه وارد شده است، استفاده می شود که پیامبر اسلام و ائمه اطهار و نیز گروهی از مؤمنان راستین و کافران بدسرشت، از رجعت کنندگان می باشند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رجعت نیز یاری حضرت مهدی طلا در تشکیل حکومت واحد جهانی بر پایه عدل و خالی نماندن زمین از حجت است</w:t>
      </w:r>
      <w:r>
        <w:rPr>
          <w:rFonts w:eastAsia="IRNazanin" w:cs="IRNazanin"/>
          <w:color w:val="111111"/>
          <w:sz w:val="28"/>
          <w:szCs w:val="28"/>
          <w:rtl w:val="true"/>
          <w:lang w:bidi="fa-IR"/>
        </w:rPr>
        <w:t xml:space="preserve">. </w:t>
      </w:r>
      <w:bookmarkStart w:id="700" w:name="pg14387_143820"/>
    </w:p>
    <w:p>
      <w:pPr>
        <w:pStyle w:val="Heading2"/>
        <w:numPr>
          <w:ilvl w:val="1"/>
          <w:numId w:val="1"/>
        </w:numPr>
        <w:rPr/>
      </w:pPr>
      <w:bookmarkStart w:id="701" w:name="__RefHeading___Toc7812620_3381743652"/>
      <w:bookmarkStart w:id="702" w:name="_Toc269"/>
      <w:bookmarkEnd w:id="700"/>
      <w:bookmarkEnd w:id="701"/>
      <w:r>
        <w:rPr>
          <w:rtl w:val="true"/>
        </w:rPr>
        <w:t>تناسخ</w:t>
      </w:r>
      <w:bookmarkEnd w:id="702"/>
    </w:p>
    <w:p>
      <w:pPr>
        <w:pStyle w:val="Heading3"/>
        <w:numPr>
          <w:ilvl w:val="2"/>
          <w:numId w:val="1"/>
        </w:numPr>
        <w:rPr/>
      </w:pPr>
      <w:bookmarkStart w:id="703" w:name="__RefHeading___Toc7812622_3381743652"/>
      <w:bookmarkStart w:id="704" w:name="_Toc270"/>
      <w:bookmarkEnd w:id="703"/>
      <w:r>
        <w:rPr>
          <w:rtl w:val="true"/>
        </w:rPr>
        <w:t>مقدمه</w:t>
      </w:r>
      <w:bookmarkEnd w:id="704"/>
    </w:p>
    <w:p>
      <w:pPr>
        <w:pStyle w:val="BookText"/>
        <w:rPr/>
      </w:pPr>
      <w:r>
        <w:rPr>
          <w:rFonts w:ascii="IRNazanin" w:hAnsi="IRNazanin" w:eastAsia="IRNazanin"/>
          <w:color w:val="111111"/>
          <w:sz w:val="28"/>
          <w:sz w:val="28"/>
          <w:szCs w:val="28"/>
          <w:rtl w:val="true"/>
          <w:lang w:bidi="fa-IR"/>
        </w:rPr>
        <w:t>تناسخ، از مسائلی است که باعث تمایز متکلمان شیعه امامیه از دیگران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کنار موضوعاتی از قبیل امامت، رجعت، بداء، تقیه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شیعه را از معتزله نیز جدا ساخته است</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تناسخ، اکنون نیز از طرفدارانی برخوردار است،</w:t>
      </w:r>
      <w:r>
        <w:rPr>
          <w:rStyle w:val="FootnoteAnchor"/>
          <w:rtl w:val="true"/>
        </w:rPr>
        <w:footnoteReference w:id="797"/>
      </w:r>
      <w:r>
        <w:rPr>
          <w:rFonts w:ascii="IRNazanin" w:hAnsi="IRNazanin" w:eastAsia="IRNazanin"/>
          <w:color w:val="111111"/>
          <w:sz w:val="28"/>
          <w:sz w:val="28"/>
          <w:szCs w:val="28"/>
          <w:rtl w:val="true"/>
          <w:lang w:bidi="fa-IR"/>
        </w:rPr>
        <w:t>بنابراین نباید آن را ایده ای منسوخ پنداشت و اهمیت آن را نادیده گرفت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پرداختن به این موضوع به صورت مستقل، مجالی بیشتر و تحقیقی گسترده تر می طلبد، ولی از آنجا که این نوشتار در پی روشن ساختن دیدگاه شیخ طوسی درباره تناسخ می باشد، سعی بر آن بوده است که تا حد امکان از مواضع شیخ فاصله نگیریم و </w:t>
      </w:r>
      <w:bookmarkStart w:id="705" w:name="pg14387_143821"/>
    </w:p>
    <w:p>
      <w:pPr>
        <w:pStyle w:val="BookText"/>
        <w:rPr/>
      </w:pPr>
      <w:bookmarkEnd w:id="705"/>
      <w:r>
        <w:rPr>
          <w:rFonts w:ascii="IRNazanin" w:hAnsi="IRNazanin" w:eastAsia="IRNazanin"/>
          <w:color w:val="111111"/>
          <w:sz w:val="28"/>
          <w:sz w:val="28"/>
          <w:szCs w:val="28"/>
          <w:rtl w:val="true"/>
          <w:lang w:bidi="fa-IR"/>
        </w:rPr>
        <w:t>آوردن مطالب دیگر، صرفا برای مقدمه و به منزله مدخل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 حاضر در صدد پاسخگویی به پرسشهای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تناسخ چیست؟ تناسخ در اصطلاح متکلمان به چه معنی است؟ نگاه قرآن و روایات به تناسخ چگونه است؟ این تفکر از چه پیشینه ای برخوردار است؟ دیدگاه شیخ طوسی، از بزرگترین طلایه داران اندیشه ناب شیعی درباره تناسخ چیست؟ دلیل عمده اهل تناسخ از نگاه شیخ کدام است و ایشان در رد آن چه پاسخهایی می دهد؟ به طور کلی چه شبهاتی اصحاب تناسخ را به اتخاذ چنین موضعی وادار کرده است و چه پاسخهایی در رد این شبهات می تواند مطرح شود؟</w:t>
      </w:r>
    </w:p>
    <w:p>
      <w:pPr>
        <w:pStyle w:val="Heading3"/>
        <w:numPr>
          <w:ilvl w:val="2"/>
          <w:numId w:val="1"/>
        </w:numPr>
        <w:rPr/>
      </w:pPr>
      <w:bookmarkStart w:id="706" w:name="__RefHeading___Toc7812624_3381743652"/>
      <w:bookmarkStart w:id="707" w:name="_Toc271"/>
      <w:bookmarkEnd w:id="706"/>
      <w:r>
        <w:rPr>
          <w:rtl w:val="true"/>
        </w:rPr>
        <w:t>واژه شناسی تناسخ</w:t>
      </w:r>
      <w:bookmarkEnd w:id="707"/>
    </w:p>
    <w:p>
      <w:pPr>
        <w:pStyle w:val="Heading4"/>
        <w:numPr>
          <w:ilvl w:val="3"/>
          <w:numId w:val="1"/>
        </w:numPr>
        <w:rPr/>
      </w:pPr>
      <w:bookmarkStart w:id="708" w:name="__RefHeading___Toc7812626_3381743652"/>
      <w:bookmarkStart w:id="709" w:name="_Toc272"/>
      <w:bookmarkEnd w:id="708"/>
      <w:r>
        <w:rPr>
          <w:rtl w:val="true"/>
        </w:rPr>
        <w:t>تناسخ در لغت</w:t>
      </w:r>
      <w:bookmarkEnd w:id="709"/>
    </w:p>
    <w:p>
      <w:pPr>
        <w:pStyle w:val="BookText"/>
        <w:rPr/>
      </w:pP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لغت در معنای نسخ به این معانی اشاره کرده اند</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از بین بردن، تغییر دادن، باطل کردن، جایگزین کردن، نقل دادن و تحول ایجادکردن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الشمس الظل والشیب الشباب، بدین معنی است که خورشید سایه را از بین برد و پیری باعث از بین رفتن جوانی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 دو خصوصیت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نقل و دیگری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به معنای باطل کردن، متداول کردن و پی در پی آمدن است</w:t>
      </w:r>
      <w:r>
        <w:rPr>
          <w:rStyle w:val="FootnoteAnchor"/>
          <w:rtl w:val="true"/>
        </w:rPr>
        <w:footnoteReference w:id="799"/>
      </w:r>
      <w:r>
        <w:rPr>
          <w:rFonts w:ascii="IRNazanin" w:hAnsi="IRNazanin" w:eastAsia="IRNazanin"/>
          <w:color w:val="111111"/>
          <w:sz w:val="28"/>
          <w:sz w:val="28"/>
          <w:szCs w:val="28"/>
          <w:rtl w:val="true"/>
          <w:lang w:bidi="fa-IR"/>
        </w:rPr>
        <w:t>که باز به نوعی دو خصوصیت مزبور در آن وجود دارد</w:t>
      </w:r>
      <w:r>
        <w:rPr>
          <w:rFonts w:eastAsia="IRNazanin" w:cs="IRNazanin"/>
          <w:color w:val="111111"/>
          <w:sz w:val="28"/>
          <w:szCs w:val="28"/>
          <w:rtl w:val="true"/>
          <w:lang w:bidi="fa-IR"/>
        </w:rPr>
        <w:t>.</w:t>
      </w:r>
    </w:p>
    <w:p>
      <w:pPr>
        <w:pStyle w:val="Heading4"/>
        <w:numPr>
          <w:ilvl w:val="3"/>
          <w:numId w:val="1"/>
        </w:numPr>
        <w:rPr/>
      </w:pPr>
      <w:bookmarkStart w:id="710" w:name="__RefHeading___Toc7812628_3381743652"/>
      <w:bookmarkStart w:id="711" w:name="_Toc273"/>
      <w:bookmarkEnd w:id="710"/>
      <w:r>
        <w:rPr>
          <w:rtl w:val="true"/>
        </w:rPr>
        <w:t>تناسخ در اصطلاح</w:t>
      </w:r>
      <w:bookmarkEnd w:id="71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تناسخ در اصطلاح متکلمان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نفس ناطقه از بدنی به بدن دیگر، پس از متلاشی شدن بدن اول، بدون حصول فاصله زمانی میان آن 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اندیشه در طول تاریخ، تحولاتی یافته است و شیوه های مختلفی در انتقال نفوس بیان گردیده که در زیر به آنها اشاره می کنیم</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نفوس انسانی به بدن حیواناتی که از لحاظ اخلاقی و دیگر صفات، مناسب با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نظریه، همان باشد که بعدها پژوهشگران اسلامی به آن مسخ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لازم است که مسخ در این جا یکی از اقسام تناسخ محسوب می شود و تعریف اصطلاحی مذکور بر آن صادق است و با آنچه در بخش شبهات تناسخ مطرح خواهد شد، از اساس،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نفوس ناطقه انسانی به بدن انسانهای دیگر که به آن نسخ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نفوس ناطقه به اندام نباتات که از آن تعبیر به فسخ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نفوس ناطقه به جمادات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رسخ</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در این جا می توان گفت تناسخ از جهت بدن یا جسمی که نفس به آن تعلق می گیرد، اسامی گوناگون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شهرزوری، شرح حکمة الاشراق، ص</w:t>
      </w:r>
      <w:r>
        <w:rPr>
          <w:rFonts w:ascii="IRNazanin" w:hAnsi="IRNazanin" w:eastAsia="IRNazanin"/>
          <w:color w:val="111111"/>
          <w:sz w:val="28"/>
          <w:sz w:val="28"/>
          <w:szCs w:val="28"/>
          <w:lang w:bidi="fa-IR"/>
        </w:rPr>
        <w:t>۵۱۹</w:t>
      </w:r>
      <w:r>
        <w:rPr>
          <w:rFonts w:ascii="IRNazanin" w:hAnsi="IRNazanin" w:eastAsia="IRNazanin"/>
          <w:color w:val="111111"/>
          <w:sz w:val="28"/>
          <w:sz w:val="28"/>
          <w:szCs w:val="28"/>
          <w:rtl w:val="true"/>
          <w:lang w:bidi="fa-IR"/>
        </w:rPr>
        <w:t xml:space="preserve">؛ قطب الدین شیرازی، شرح حکمة الاشراق، ص </w:t>
      </w:r>
      <w:r>
        <w:rPr>
          <w:rFonts w:ascii="IRNazanin" w:hAnsi="IRNazanin" w:eastAsia="IRNazanin"/>
          <w:color w:val="111111"/>
          <w:sz w:val="28"/>
          <w:sz w:val="28"/>
          <w:szCs w:val="28"/>
          <w:lang w:bidi="fa-IR"/>
        </w:rPr>
        <w:t>۴۷۶</w:t>
      </w:r>
      <w:r>
        <w:rPr>
          <w:rFonts w:ascii="IRNazanin" w:hAnsi="IRNazanin" w:eastAsia="IRNazanin"/>
          <w:color w:val="111111"/>
          <w:sz w:val="28"/>
          <w:sz w:val="28"/>
          <w:szCs w:val="28"/>
          <w:rtl w:val="true"/>
          <w:lang w:bidi="fa-IR"/>
        </w:rPr>
        <w:t xml:space="preserve">؛ صدرالدین شیرازی، الحکمة المتعالیة،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به طریق صعودی از نبات به حیوان و بعد به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به طریق نزولی، از عقول و مفارقات به انسان و از انسان به حیوان و از حیوان به 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نفوس ناطقه به ابدان برزخی و آن برزخ، غیر از برزخی است که واسطه میان مفارقات و اجسام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نفوس، پس از تلاشی بدن به اجرام فلکی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نفوس اشقیا به اجساد حیوانات، و نفوس سعدا به ابدان انسان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نفوس کاملان به مفارقات و عقول و دیگران به ابدان انسانها</w:t>
      </w:r>
      <w:r>
        <w:rPr>
          <w:rFonts w:eastAsia="IRNazanin" w:cs="IRNazanin"/>
          <w:color w:val="111111"/>
          <w:sz w:val="28"/>
          <w:szCs w:val="28"/>
          <w:rtl w:val="true"/>
          <w:lang w:bidi="fa-IR"/>
        </w:rPr>
        <w:t xml:space="preserve">. </w:t>
      </w:r>
      <w:bookmarkStart w:id="712" w:name="pg14387_143823"/>
    </w:p>
    <w:p>
      <w:pPr>
        <w:pStyle w:val="Heading4"/>
        <w:numPr>
          <w:ilvl w:val="3"/>
          <w:numId w:val="1"/>
        </w:numPr>
        <w:rPr/>
      </w:pPr>
      <w:bookmarkStart w:id="713" w:name="__RefHeading___Toc7812630_3381743652"/>
      <w:bookmarkStart w:id="714" w:name="_Toc274"/>
      <w:bookmarkEnd w:id="712"/>
      <w:bookmarkEnd w:id="713"/>
      <w:r>
        <w:rPr>
          <w:rtl w:val="true"/>
        </w:rPr>
        <w:t>تناسخ در قرآن</w:t>
      </w:r>
      <w:bookmarkEnd w:id="714"/>
    </w:p>
    <w:p>
      <w:pPr>
        <w:pStyle w:val="BookText"/>
        <w:rPr/>
      </w:pPr>
      <w:r>
        <w:rPr>
          <w:rFonts w:ascii="IRNazanin" w:hAnsi="IRNazanin" w:eastAsia="IRNazanin"/>
          <w:color w:val="111111"/>
          <w:sz w:val="28"/>
          <w:sz w:val="28"/>
          <w:szCs w:val="28"/>
          <w:rtl w:val="true"/>
          <w:lang w:bidi="fa-IR"/>
        </w:rPr>
        <w:t>قرآن مجید بارها مسئله معاد و حیات پس از مرگ و رهسپار شدن روح به سرایی دیگر را مورد تأکید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قدری روشن است که شاید بتوان آن را از بدیهیات قرآن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قرآن کریم در آیه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سوره 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w:t>
      </w:r>
    </w:p>
    <w:p>
      <w:pPr>
        <w:pStyle w:val="BookText"/>
        <w:rPr/>
      </w:pPr>
      <w:r>
        <w:rPr>
          <w:rFonts w:ascii="IRNazanin" w:hAnsi="IRNazanin" w:eastAsia="IRNazanin"/>
          <w:color w:val="111111"/>
          <w:sz w:val="28"/>
          <w:sz w:val="28"/>
          <w:szCs w:val="28"/>
          <w:rtl w:val="true"/>
          <w:lang w:bidi="fa-IR"/>
        </w:rPr>
        <w:t>تکفرون بالله و کنتم أمواتا فأحیاکم ثم یمیتکم ثم یحییکم ثم إلیه ترجعون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صراحت اعلام می کند که پس از مرگ، یک حیات، بیشتر وجود ندارد؛ زیرا انسانها مجموعة دو حیات و دو مرگ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مرده بودند، خداوند آنها را زنده کرد، سپس می میراند و بار دیگر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قدر مشترک نظریات باب تناسخ آن است که ارواحی وجود دارد که پس از مرگ، به سرای دیگر نمی روند، بلکه در همین دنیا پس از خروج از بدن نخستین به بدنی دیگر انتقال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جا دو نظریه کاملا متناقض وجود دارد که ناگزیر از پذیرش یکی از آن دو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جا بسیار روشن و بدون هیچگونه ابهام، نظر خود را اعلام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بطلان تناسخ در قرآن، مطلبی نیست که نتوان آن را دریافت، بلکه با اندکی توجه و مراجعه به آیات قرآنی، حقیقت مطلب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یادآوری چند نکته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نیامده است، بلکه سه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فینسخ</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نستنسخ</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که با تناسخ از یک ریشه است، در آیاتی از قرآن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 که برخی از مفسران از آیه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سوره جاثیه، آنجا که خداوند متعال از قول مشرکان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ما هی إلا حیاتنا الدنیا نموت و نحیی و ما یهلکنا إلا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برداشت کرده اند که مراد مشرکان آن است که ما هرگز از دنیا خارج نمی شویم،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پس از مرگ از یک زندگی، با تعلق به بدن دیگر، باز در دنیا به حیات و زندگی خود ادامه می دهیم و این همان معنی و مفهوم تناسخ است</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 xml:space="preserve">بنابراین، چنین به نظر می رسد </w:t>
      </w:r>
    </w:p>
    <w:p>
      <w:pPr>
        <w:pStyle w:val="BookText"/>
        <w:rPr/>
      </w:pPr>
      <w:r>
        <w:rPr>
          <w:rFonts w:ascii="IRNazanin" w:hAnsi="IRNazanin" w:eastAsia="IRNazanin"/>
          <w:color w:val="111111"/>
          <w:sz w:val="28"/>
          <w:sz w:val="28"/>
          <w:szCs w:val="28"/>
          <w:rtl w:val="true"/>
          <w:lang w:bidi="fa-IR"/>
        </w:rPr>
        <w:t>همانگونه که واژه تناسخ در قرآن نیامده، به معنای آن نیز اشاره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پایانی آن که اهل تناسخ برای اثبات مدعای خویش، به آیاتی از قرآن متوسل شده اند</w:t>
      </w:r>
      <w:r>
        <w:rPr>
          <w:rStyle w:val="FootnoteAnchor"/>
          <w:rtl w:val="true"/>
        </w:rPr>
        <w:footnoteReference w:id="806"/>
      </w:r>
      <w:r>
        <w:rPr>
          <w:rFonts w:ascii="IRNazanin" w:hAnsi="IRNazanin" w:eastAsia="IRNazanin"/>
          <w:color w:val="111111"/>
          <w:sz w:val="28"/>
          <w:sz w:val="28"/>
          <w:szCs w:val="28"/>
          <w:rtl w:val="true"/>
          <w:lang w:bidi="fa-IR"/>
        </w:rPr>
        <w:t xml:space="preserve">که از جمله آنها می توان به آیه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سوره مؤمنون</w:t>
      </w:r>
      <w:r>
        <w:rPr>
          <w:rStyle w:val="FootnoteAnchor"/>
          <w:rtl w:val="true"/>
        </w:rPr>
        <w:footnoteReference w:id="807"/>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سوره نساء</w:t>
      </w:r>
      <w:r>
        <w:rPr>
          <w:rStyle w:val="FootnoteAnchor"/>
          <w:rtl w:val="true"/>
        </w:rPr>
        <w:footnoteReference w:id="808"/>
      </w:r>
      <w:r>
        <w:rPr>
          <w:rFonts w:ascii="IRNazanin" w:hAnsi="IRNazanin" w:eastAsia="IRNazanin"/>
          <w:color w:val="111111"/>
          <w:sz w:val="28"/>
          <w:sz w:val="28"/>
          <w:szCs w:val="28"/>
          <w:rtl w:val="true"/>
          <w:lang w:bidi="fa-IR"/>
        </w:rPr>
        <w:t xml:space="preserve">و آیه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سوره تین</w:t>
      </w:r>
      <w:r>
        <w:rPr>
          <w:rStyle w:val="FootnoteAnchor"/>
          <w:rtl w:val="true"/>
        </w:rPr>
        <w:footnoteReference w:id="809"/>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ای که بیشتر مورد بحث واقع شده و شیخ طوسی نیز به گونه ای متعرض آن شده، آیه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سوره انعام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فی الأرض و لا طائر یطیر بجناحیه إلا أمم أمثالکم ما فرطنا فی الکتاب من شیء ثم إلی ربهم یحشرون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جنبنده ای در زمین و هیچ پرنده ای که با دو بال خود پرواز می کند، نیست مگر این که امتهایی همانند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چیز را در این کتاب فروگذار نکردیم، سپس همگی به سوی پروردگارشان محشور می گردند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اهل تناسخ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أمم أمثالکم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برداشت نادرست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بنا بر آنچه در کتاب تبصرة العوام به نقل از متناسخه آمده است، منظور آن است که هر چه بر روی زمین راه می رود و یا در هوا پرواز می کند، در دوره اول مانند شما انسان بوده است</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به دیگر سخن، رواست که نفس آدمی پس از مفارقت از بدن، در کالبد پرندگان وارد شود</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برداشت دوم که جای تعجب فراوان دارد، این است که اهل تناسخ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أمم أمثالکم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بودن حیوانات و پرندگان را استفاده کرده اند؛ یعنی حیوانات و پرندگان نیز مانند شما مکلفند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ابطال این نظر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تکلیف، عقل است</w:t>
      </w:r>
      <w:r>
        <w:rPr>
          <w:rFonts w:eastAsia="IRNazanin" w:cs="IRNazanin"/>
          <w:color w:val="111111"/>
          <w:sz w:val="28"/>
          <w:szCs w:val="28"/>
          <w:rtl w:val="true"/>
          <w:lang w:bidi="fa-IR"/>
        </w:rPr>
        <w:t xml:space="preserve">. </w:t>
      </w:r>
      <w:bookmarkStart w:id="715" w:name="pg14387_143825"/>
    </w:p>
    <w:p>
      <w:pPr>
        <w:pStyle w:val="BookText"/>
        <w:rPr/>
      </w:pPr>
      <w:bookmarkEnd w:id="715"/>
      <w:r>
        <w:rPr>
          <w:rFonts w:ascii="IRNazanin" w:hAnsi="IRNazanin" w:eastAsia="IRNazanin"/>
          <w:color w:val="111111"/>
          <w:sz w:val="28"/>
          <w:sz w:val="28"/>
          <w:szCs w:val="28"/>
          <w:rtl w:val="true"/>
          <w:lang w:bidi="fa-IR"/>
        </w:rPr>
        <w:t>چگونه می توان حیوانات و پرندگان را که غیر عاقلند، در زمره مکلفان دانست؟ علاوه بر آن، ما می بینیم کودکان با این که از عقل نیز برخوردارند و از این جهت، با حیوانات قابل مقایسه نیستند، مکلف نیستند، پس باید به طریق اولی حیوانات نیز مکلف نباشند</w:t>
      </w:r>
      <w:r>
        <w:rPr>
          <w:rFonts w:eastAsia="IRNazanin" w:cs="IRNazanin"/>
          <w:color w:val="111111"/>
          <w:sz w:val="28"/>
          <w:szCs w:val="28"/>
          <w:rtl w:val="true"/>
          <w:lang w:bidi="fa-IR"/>
        </w:rPr>
        <w:t>.</w:t>
      </w:r>
      <w:r>
        <w:rPr>
          <w:rStyle w:val="FootnoteAnchor"/>
          <w:rtl w:val="true"/>
        </w:rPr>
        <w:footnoteReference w:id="813"/>
      </w:r>
    </w:p>
    <w:p>
      <w:pPr>
        <w:pStyle w:val="Heading4"/>
        <w:numPr>
          <w:ilvl w:val="3"/>
          <w:numId w:val="1"/>
        </w:numPr>
        <w:rPr/>
      </w:pPr>
      <w:bookmarkStart w:id="716" w:name="__RefHeading___Toc7812632_3381743652"/>
      <w:bookmarkStart w:id="717" w:name="_Toc275"/>
      <w:bookmarkEnd w:id="716"/>
      <w:r>
        <w:rPr>
          <w:rtl w:val="true"/>
        </w:rPr>
        <w:t>تناسخ در روایات</w:t>
      </w:r>
      <w:bookmarkEnd w:id="717"/>
    </w:p>
    <w:p>
      <w:pPr>
        <w:pStyle w:val="BookText"/>
        <w:rPr/>
      </w:pPr>
      <w:r>
        <w:rPr>
          <w:rFonts w:ascii="IRNazanin" w:hAnsi="IRNazanin" w:eastAsia="IRNazanin"/>
          <w:color w:val="111111"/>
          <w:sz w:val="28"/>
          <w:sz w:val="28"/>
          <w:szCs w:val="28"/>
          <w:rtl w:val="true"/>
          <w:lang w:bidi="fa-IR"/>
        </w:rPr>
        <w:t>واژه تناسخ کمابیش در روایات ما آمده است و مورد انکار و ابطال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روشنترین حدیث در این زمینه، فرموده حضرت رضا باشد که قائل به تناسخ را کافر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امام رضا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قائلان به تناسخ چه می فرمایید؟</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تناسخ قائل شود، به خداوند بزرگ کافر است و بهشت و دوزخ را دروغ می داند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در حدیثی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آن حضرت، اهل تناسخ را کسانی معرفی می کند که راه روشن و آشکار دین را پشت سر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هشام بن حکم نقل شده است که شخصی زندیق از امام صادق علیه السلام سؤال کرد و گفت مرا از قائلان به تناسخ ارواح باخبر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می گویند و به چه دلیل بر مسلک خود استوارند؟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قائلان به تناسخ، راه روشن و آشکار دین را پشت سر نهاده اند</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در بخش دیگری از این حدیث طولانی آمده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قیامت در نظر اینان عبارت است از خارج شدن روح از قالبش و داخل شدن آن در قالب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قالب نخستین نیکوکار بود، به قالبی بهتر و نیکوتر در بالاترین درجه دنیا برگردانده می شود و اگر در قالب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بدکردار یا فاقد شناخت و </w:t>
      </w:r>
      <w:bookmarkStart w:id="718" w:name="pg14387_143826"/>
    </w:p>
    <w:p>
      <w:pPr>
        <w:pStyle w:val="BookText"/>
        <w:rPr/>
      </w:pPr>
      <w:bookmarkEnd w:id="718"/>
      <w:r>
        <w:rPr>
          <w:rFonts w:ascii="IRNazanin" w:hAnsi="IRNazanin" w:eastAsia="IRNazanin"/>
          <w:color w:val="111111"/>
          <w:sz w:val="28"/>
          <w:sz w:val="28"/>
          <w:szCs w:val="28"/>
          <w:rtl w:val="true"/>
          <w:lang w:bidi="fa-IR"/>
        </w:rPr>
        <w:t xml:space="preserve">معرفت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او در برخی از چارپایان رنجکش یا خزندگان زشت و کریه المنظر داخل میگردد</w:t>
      </w:r>
      <w:r>
        <w:rPr>
          <w:rFonts w:eastAsia="IRNazanin" w:cs="IRNazanin"/>
          <w:color w:val="111111"/>
          <w:sz w:val="28"/>
          <w:szCs w:val="28"/>
          <w:rtl w:val="true"/>
          <w:lang w:bidi="fa-IR"/>
        </w:rPr>
        <w:t>.</w:t>
      </w:r>
    </w:p>
    <w:p>
      <w:pPr>
        <w:pStyle w:val="Heading3"/>
        <w:numPr>
          <w:ilvl w:val="2"/>
          <w:numId w:val="1"/>
        </w:numPr>
        <w:rPr/>
      </w:pPr>
      <w:bookmarkStart w:id="719" w:name="__RefHeading___Toc7812634_3381743652"/>
      <w:bookmarkStart w:id="720" w:name="_Toc276"/>
      <w:bookmarkEnd w:id="719"/>
      <w:r>
        <w:rPr>
          <w:rtl w:val="true"/>
        </w:rPr>
        <w:t>پیشینه تناسخ</w:t>
      </w:r>
      <w:bookmarkEnd w:id="720"/>
    </w:p>
    <w:p>
      <w:pPr>
        <w:pStyle w:val="Heading4"/>
        <w:numPr>
          <w:ilvl w:val="3"/>
          <w:numId w:val="1"/>
        </w:numPr>
        <w:rPr/>
      </w:pPr>
      <w:bookmarkStart w:id="721" w:name="__RefHeading___Toc7812636_3381743652"/>
      <w:bookmarkStart w:id="722" w:name="_Toc277"/>
      <w:bookmarkEnd w:id="721"/>
      <w:r>
        <w:rPr>
          <w:rtl w:val="true"/>
        </w:rPr>
        <w:t>اشاره</w:t>
      </w:r>
      <w:bookmarkEnd w:id="722"/>
    </w:p>
    <w:p>
      <w:pPr>
        <w:pStyle w:val="BookText"/>
        <w:rPr/>
      </w:pPr>
      <w:r>
        <w:rPr>
          <w:rFonts w:ascii="IRNazanin" w:hAnsi="IRNazanin" w:eastAsia="IRNazanin"/>
          <w:color w:val="111111"/>
          <w:sz w:val="28"/>
          <w:sz w:val="28"/>
          <w:szCs w:val="28"/>
          <w:rtl w:val="true"/>
          <w:lang w:bidi="fa-IR"/>
        </w:rPr>
        <w:t>به لحاظ تاریخی می توان تناسخ را به دو دوره پیش از اسلام و پس از آن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عمده ما در این جا آن است که دورنمایی از این بحث را نشان دهیم؛ از این روی، کمتر به دقایق و ظرایف تاریخی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بیشتر مد نظر بوده، روشن شدن اصطلاح تناسخ در گذر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توضیحی مختصر درباره اوضاع و احوال تناسخ پیش و پس از اسلام، به دیدگاه برخی از اندیشمندان مسلمان در این باره اشاره خواهیم کرد</w:t>
      </w:r>
      <w:r>
        <w:rPr>
          <w:rFonts w:eastAsia="IRNazanin" w:cs="IRNazanin"/>
          <w:color w:val="111111"/>
          <w:sz w:val="28"/>
          <w:szCs w:val="28"/>
          <w:rtl w:val="true"/>
          <w:lang w:bidi="fa-IR"/>
        </w:rPr>
        <w:t>.</w:t>
      </w:r>
    </w:p>
    <w:p>
      <w:pPr>
        <w:pStyle w:val="Heading4"/>
        <w:numPr>
          <w:ilvl w:val="3"/>
          <w:numId w:val="1"/>
        </w:numPr>
        <w:rPr/>
      </w:pPr>
      <w:bookmarkStart w:id="723" w:name="__RefHeading___Toc7812638_3381743652"/>
      <w:bookmarkStart w:id="724" w:name="_Toc278"/>
      <w:bookmarkEnd w:id="723"/>
      <w:r>
        <w:rPr/>
        <w:t>1</w:t>
      </w:r>
      <w:r>
        <w:rPr>
          <w:rtl w:val="true"/>
        </w:rPr>
        <w:t xml:space="preserve">. </w:t>
      </w:r>
      <w:r>
        <w:rPr>
          <w:rtl w:val="true"/>
        </w:rPr>
        <w:t>تناسخ پیش از اسلام</w:t>
      </w:r>
      <w:bookmarkEnd w:id="724"/>
    </w:p>
    <w:p>
      <w:pPr>
        <w:pStyle w:val="BookText"/>
        <w:rPr/>
      </w:pPr>
      <w:r>
        <w:rPr>
          <w:rFonts w:ascii="IRNazanin" w:hAnsi="IRNazanin" w:eastAsia="IRNazanin"/>
          <w:color w:val="111111"/>
          <w:sz w:val="28"/>
          <w:sz w:val="28"/>
          <w:szCs w:val="28"/>
          <w:rtl w:val="true"/>
          <w:lang w:bidi="fa-IR"/>
        </w:rPr>
        <w:t>درباره این که تناسخ از چه زمانی مطرح شد و چه کسی برای اولین بار این عقیده را ابراز کرد، اظهار نظر روشنی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عده ای بر آنند که فیثاغورس</w:t>
      </w:r>
      <w:r>
        <w:rPr>
          <w:rStyle w:val="FootnoteAnchor"/>
          <w:rtl w:val="true"/>
        </w:rPr>
        <w:footnoteReference w:id="816"/>
      </w:r>
      <w:r>
        <w:rPr>
          <w:rFonts w:ascii="IRNazanin" w:hAnsi="IRNazanin" w:eastAsia="IRNazanin"/>
          <w:color w:val="111111"/>
          <w:sz w:val="28"/>
          <w:sz w:val="28"/>
          <w:szCs w:val="28"/>
          <w:rtl w:val="true"/>
          <w:lang w:bidi="fa-IR"/>
        </w:rPr>
        <w:t>نخستین فردی بوده که در این باره سخن گفته است؛</w:t>
      </w:r>
      <w:r>
        <w:rPr>
          <w:rStyle w:val="FootnoteAnchor"/>
          <w:rtl w:val="true"/>
        </w:rPr>
        <w:footnoteReference w:id="817"/>
      </w:r>
      <w:r>
        <w:rPr>
          <w:rFonts w:ascii="IRNazanin" w:hAnsi="IRNazanin" w:eastAsia="IRNazanin"/>
          <w:color w:val="111111"/>
          <w:sz w:val="28"/>
          <w:sz w:val="28"/>
          <w:szCs w:val="28"/>
          <w:rtl w:val="true"/>
          <w:lang w:bidi="fa-IR"/>
        </w:rPr>
        <w:t>در حالی که دیگران در این گفته اظهار تردید کرده، خاطرنشان ساخته اند که تفکر فلسفی وی به هیچ وجه با تناسخ سازگاری ندارد</w:t>
      </w:r>
      <w:r>
        <w:rPr>
          <w:rFonts w:eastAsia="IRNazanin" w:cs="IRNazanin"/>
          <w:color w:val="111111"/>
          <w:sz w:val="28"/>
          <w:szCs w:val="28"/>
          <w:rtl w:val="true"/>
          <w:lang w:bidi="fa-IR"/>
        </w:rPr>
        <w:t>.</w:t>
      </w:r>
      <w:r>
        <w:rPr>
          <w:rStyle w:val="FootnoteAnchor"/>
          <w:rtl w:val="true"/>
        </w:rPr>
        <w:footnoteReference w:id="81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مسلم است، آن که هندوان از جمله کسانی هستند که تناسخ در بین آنان مورد قبول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هفتم پیش از میلاد، دو نظریه جدید در بین هندوهای آریایی نژاد به ظهور پیوست که پایه های اصلی فلسفه هندوییزم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نظریه تناسخ که در زبان هندو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دیگری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کرمه</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که بیانگر کیفیت و علت انتقال روح به بدن دیگر می باشد</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 xml:space="preserve">این باور هندوان به </w:t>
      </w:r>
      <w:bookmarkStart w:id="725" w:name="pg14387_143827"/>
    </w:p>
    <w:p>
      <w:pPr>
        <w:pStyle w:val="BookText"/>
        <w:rPr/>
      </w:pPr>
      <w:bookmarkEnd w:id="725"/>
      <w:r>
        <w:rPr>
          <w:rFonts w:ascii="IRNazanin" w:hAnsi="IRNazanin" w:eastAsia="IRNazanin"/>
          <w:color w:val="111111"/>
          <w:sz w:val="28"/>
          <w:sz w:val="28"/>
          <w:szCs w:val="28"/>
          <w:rtl w:val="true"/>
          <w:lang w:bidi="fa-IR"/>
        </w:rPr>
        <w:t xml:space="preserve">راحتی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اوپانیشادها</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اما برای این که این نظریه را مختص هندوان بدانیم یا حتی پیدایش آن را به آنان نسبت دهیم، هیچ دلیل قابل قبولی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آن که برخی به غلط، حکمای یونان، افرادی همچون افلاطون، سقراط، فیثاغورس و دیگران را از قائلان به تناسخ دانسته اند که به اعتقاد برخی از بزرگان، این امر از عدم فهم مراد آنان ناشی شده است</w:t>
      </w:r>
      <w:r>
        <w:rPr>
          <w:rFonts w:eastAsia="IRNazanin" w:cs="IRNazanin"/>
          <w:color w:val="111111"/>
          <w:sz w:val="28"/>
          <w:szCs w:val="28"/>
          <w:rtl w:val="true"/>
          <w:lang w:bidi="fa-IR"/>
        </w:rPr>
        <w:t>.</w:t>
      </w:r>
      <w:r>
        <w:rPr>
          <w:rStyle w:val="FootnoteAnchor"/>
          <w:rtl w:val="true"/>
        </w:rPr>
        <w:footnoteReference w:id="823"/>
      </w:r>
    </w:p>
    <w:p>
      <w:pPr>
        <w:pStyle w:val="Heading4"/>
        <w:numPr>
          <w:ilvl w:val="3"/>
          <w:numId w:val="1"/>
        </w:numPr>
        <w:rPr/>
      </w:pPr>
      <w:bookmarkStart w:id="726" w:name="__RefHeading___Toc7812640_3381743652"/>
      <w:bookmarkStart w:id="727" w:name="_Toc279"/>
      <w:bookmarkEnd w:id="726"/>
      <w:r>
        <w:rPr/>
        <w:t>۲</w:t>
      </w:r>
      <w:r>
        <w:rPr>
          <w:rtl w:val="true"/>
        </w:rPr>
        <w:t xml:space="preserve">. </w:t>
      </w:r>
      <w:r>
        <w:rPr>
          <w:rtl w:val="true"/>
        </w:rPr>
        <w:t>تناسخ پس از اسلام</w:t>
      </w:r>
      <w:bookmarkEnd w:id="727"/>
    </w:p>
    <w:p>
      <w:pPr>
        <w:pStyle w:val="BookText"/>
        <w:rPr/>
      </w:pPr>
      <w:r>
        <w:rPr>
          <w:rFonts w:ascii="IRNazanin" w:hAnsi="IRNazanin" w:eastAsia="IRNazanin"/>
          <w:color w:val="111111"/>
          <w:sz w:val="28"/>
          <w:sz w:val="28"/>
          <w:szCs w:val="28"/>
          <w:rtl w:val="true"/>
          <w:lang w:bidi="fa-IR"/>
        </w:rPr>
        <w:t>در برخی از کتابهایی که فرقه های اسلامی در آنها معرفی شده اند، از گروههایی از مسلمانان به عنوان متناسخه نام برده شده است، اما غالب متفکران مسلمان، این نظریه را مردود دانسته اند و به رد شبهات مطرح شده پرداخته اند که در بخش بعدی به آن اشاره</w:t>
      </w:r>
    </w:p>
    <w:p>
      <w:pPr>
        <w:pStyle w:val="BookText"/>
        <w:rPr/>
      </w:pPr>
      <w:r>
        <w:rPr>
          <w:rFonts w:ascii="IRNazanin" w:hAnsi="IRNazanin" w:eastAsia="IRNazanin"/>
          <w:color w:val="111111"/>
          <w:sz w:val="28"/>
          <w:sz w:val="28"/>
          <w:szCs w:val="28"/>
          <w:rtl w:val="true"/>
          <w:lang w:bidi="fa-IR"/>
        </w:rPr>
        <w:t>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المقالات و الفرق یکی از اولین کتابهایی است که به تناسخ و افراد معتقد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پیدایش این نظریه اشاره نشده است،</w:t>
      </w:r>
      <w:r>
        <w:rPr>
          <w:rStyle w:val="FootnoteAnchor"/>
          <w:rtl w:val="true"/>
        </w:rPr>
        <w:footnoteReference w:id="824"/>
      </w:r>
      <w:r>
        <w:rPr>
          <w:rFonts w:ascii="IRNazanin" w:hAnsi="IRNazanin" w:eastAsia="IRNazanin"/>
          <w:color w:val="111111"/>
          <w:sz w:val="28"/>
          <w:sz w:val="28"/>
          <w:szCs w:val="28"/>
          <w:rtl w:val="true"/>
          <w:lang w:bidi="fa-IR"/>
        </w:rPr>
        <w:t xml:space="preserve">ولی شهرستانی در کتاب الملل و النحل گروهی از صابئین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حرنانیه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نخستین قائلان به تناسخ معرفی کرده است</w:t>
      </w:r>
      <w:r>
        <w:rPr>
          <w:rFonts w:eastAsia="IRNazanin" w:cs="IRNazanin"/>
          <w:color w:val="111111"/>
          <w:sz w:val="28"/>
          <w:szCs w:val="28"/>
          <w:rtl w:val="true"/>
          <w:lang w:bidi="fa-IR"/>
        </w:rPr>
        <w:t xml:space="preserve">. </w:t>
      </w:r>
      <w:r>
        <w:rPr>
          <w:rStyle w:val="FootnoteAnchor"/>
          <w:rtl w:val="true"/>
        </w:rPr>
        <w:footnoteReference w:id="82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مبسوط از اهل تناسخ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قائلان به این نظریه را به دو گروه پیش از اسلام و پس از آن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دو گروه در زمان حکومت اسلامی به تناسخ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گروه قدریه و </w:t>
      </w:r>
      <w:bookmarkStart w:id="728" w:name="pg14387_143828"/>
    </w:p>
    <w:p>
      <w:pPr>
        <w:pStyle w:val="BookText"/>
        <w:rPr/>
      </w:pPr>
      <w:bookmarkEnd w:id="728"/>
      <w:r>
        <w:rPr>
          <w:rFonts w:ascii="IRNazanin" w:hAnsi="IRNazanin" w:eastAsia="IRNazanin"/>
          <w:color w:val="111111"/>
          <w:sz w:val="28"/>
          <w:sz w:val="28"/>
          <w:szCs w:val="28"/>
          <w:rtl w:val="true"/>
          <w:lang w:bidi="fa-IR"/>
        </w:rPr>
        <w:t>دیگری رافضی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تفصیل از بیانیه</w:t>
      </w:r>
      <w:r>
        <w:rPr>
          <w:rStyle w:val="FootnoteAnchor"/>
          <w:rtl w:val="true"/>
        </w:rPr>
        <w:footnoteReference w:id="826"/>
      </w:r>
      <w:r>
        <w:rPr>
          <w:rFonts w:ascii="IRNazanin" w:hAnsi="IRNazanin" w:eastAsia="IRNazanin"/>
          <w:color w:val="111111"/>
          <w:sz w:val="28"/>
          <w:sz w:val="28"/>
          <w:szCs w:val="28"/>
          <w:rtl w:val="true"/>
          <w:lang w:bidi="fa-IR"/>
        </w:rPr>
        <w:t xml:space="preserve">، جناحیه </w:t>
      </w:r>
      <w:r>
        <w:rPr>
          <w:rStyle w:val="FootnoteAnchor"/>
          <w:rtl w:val="true"/>
        </w:rPr>
        <w:footnoteReference w:id="827"/>
      </w:r>
      <w:r>
        <w:rPr>
          <w:rFonts w:ascii="IRNazanin" w:hAnsi="IRNazanin" w:eastAsia="IRNazanin"/>
          <w:color w:val="111111"/>
          <w:sz w:val="28"/>
          <w:sz w:val="28"/>
          <w:szCs w:val="28"/>
          <w:rtl w:val="true"/>
          <w:lang w:bidi="fa-IR"/>
        </w:rPr>
        <w:t>، خطابیه</w:t>
      </w:r>
      <w:r>
        <w:rPr>
          <w:rStyle w:val="FootnoteAnchor"/>
          <w:rtl w:val="true"/>
        </w:rPr>
        <w:footnoteReference w:id="828"/>
      </w:r>
      <w:r>
        <w:rPr>
          <w:rFonts w:ascii="IRNazanin" w:hAnsi="IRNazanin" w:eastAsia="IRNazanin"/>
          <w:color w:val="111111"/>
          <w:sz w:val="28"/>
          <w:sz w:val="28"/>
          <w:szCs w:val="28"/>
          <w:rtl w:val="true"/>
          <w:lang w:bidi="fa-IR"/>
        </w:rPr>
        <w:t>و راوندیه</w:t>
      </w:r>
      <w:r>
        <w:rPr>
          <w:rStyle w:val="FootnoteAnchor"/>
          <w:rtl w:val="true"/>
        </w:rPr>
        <w:footnoteReference w:id="829"/>
      </w:r>
      <w:r>
        <w:rPr>
          <w:rFonts w:ascii="IRNazanin" w:hAnsi="IRNazanin" w:eastAsia="IRNazanin"/>
          <w:color w:val="111111"/>
          <w:sz w:val="28"/>
          <w:sz w:val="28"/>
          <w:szCs w:val="28"/>
          <w:rtl w:val="true"/>
          <w:lang w:bidi="fa-IR"/>
        </w:rPr>
        <w:t>از روافض نام می برد و به شرح عقاید هر یک می پردازد</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او از قدریه به احمد بن حایط و احمد بن ایوب و محمد بن احمد قحطی و ابن ابی العوجاء اشاره می کند و به شرح نظر آنان می پردازد</w:t>
      </w:r>
      <w:r>
        <w:rPr>
          <w:rFonts w:eastAsia="IRNazanin" w:cs="IRNazanin"/>
          <w:color w:val="111111"/>
          <w:sz w:val="28"/>
          <w:szCs w:val="28"/>
          <w:rtl w:val="true"/>
          <w:lang w:bidi="fa-IR"/>
        </w:rPr>
        <w:t xml:space="preserve">. </w:t>
      </w:r>
      <w:r>
        <w:rPr>
          <w:rStyle w:val="FootnoteAnchor"/>
          <w:rtl w:val="true"/>
        </w:rPr>
        <w:footnoteReference w:id="831"/>
      </w:r>
    </w:p>
    <w:p>
      <w:pPr>
        <w:pStyle w:val="Heading4"/>
        <w:numPr>
          <w:ilvl w:val="3"/>
          <w:numId w:val="1"/>
        </w:numPr>
        <w:rPr/>
      </w:pPr>
      <w:bookmarkStart w:id="729" w:name="__RefHeading___Toc7812642_3381743652"/>
      <w:bookmarkStart w:id="730" w:name="_Toc280"/>
      <w:bookmarkEnd w:id="729"/>
      <w:r>
        <w:rPr>
          <w:rtl w:val="true"/>
        </w:rPr>
        <w:t>تناسخ در اندیشه برخی از متفکران مسلمان</w:t>
      </w:r>
      <w:bookmarkEnd w:id="730"/>
    </w:p>
    <w:p>
      <w:pPr>
        <w:pStyle w:val="BookText"/>
        <w:rPr/>
      </w:pPr>
      <w:r>
        <w:rPr>
          <w:rFonts w:ascii="IRNazanin" w:hAnsi="IRNazanin" w:eastAsia="IRNazanin"/>
          <w:color w:val="111111"/>
          <w:sz w:val="28"/>
          <w:sz w:val="28"/>
          <w:szCs w:val="28"/>
          <w:rtl w:val="true"/>
          <w:lang w:bidi="fa-IR"/>
        </w:rPr>
        <w:t>نظریه تناسخ با مخالفتهای شدید اندیشمندان مسلمان مواجه گشت و در آثار بزرگانی چون ابن سینا، خواجه نصیر، تفتازانی، ملاصدرا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برهان اجتماع دو نفس در بدن واحد را بر بطلان تناسخ می آورد که مورد پذیرش افراد پس از او</w:t>
      </w:r>
    </w:p>
    <w:p>
      <w:pPr>
        <w:pStyle w:val="BookText"/>
        <w:rPr/>
      </w:pP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بیان این برهان، شایسته است به مقدمه ای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حکمت الهی آن است که بر طبق مشیت خود، هر ممکنی را به کمالی که برای او امکان دارد،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بدن این صلاحیت را به دست آورد و این امکان وجود داشت که نفسی به آن تعلق گیرد، باید فورة و بدون فاصله، آن نفس به این بدن</w:t>
      </w:r>
    </w:p>
    <w:p>
      <w:pPr>
        <w:pStyle w:val="BookText"/>
        <w:rPr/>
      </w:pPr>
      <w:r>
        <w:rPr>
          <w:rFonts w:ascii="IRNazanin" w:hAnsi="IRNazanin" w:eastAsia="IRNazanin"/>
          <w:color w:val="111111"/>
          <w:sz w:val="28"/>
          <w:sz w:val="28"/>
          <w:szCs w:val="28"/>
          <w:rtl w:val="true"/>
          <w:lang w:bidi="fa-IR"/>
        </w:rPr>
        <w:t>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انجام این امر، بر خلاف مقتضای حکمت الهی است</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بوعلی در تبیین این برهان،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هر بدنی برای قبول نفس، مستلزم افاضه آن از جوهر مفارق است و اگر تناسخ را نیز بپذیریم، لازم می آید یک بدن، دارای دو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نفس افاضه شده از سوی جوهر مفارق و دیگری نفس متناسخه، و این محال است</w:t>
      </w:r>
      <w:r>
        <w:rPr>
          <w:rFonts w:eastAsia="IRNazanin" w:cs="IRNazanin"/>
          <w:color w:val="111111"/>
          <w:sz w:val="28"/>
          <w:szCs w:val="28"/>
          <w:rtl w:val="true"/>
          <w:lang w:bidi="fa-IR"/>
        </w:rPr>
        <w:t>.</w:t>
      </w:r>
      <w:r>
        <w:rPr>
          <w:rStyle w:val="FootnoteAnchor"/>
          <w:rtl w:val="true"/>
        </w:rPr>
        <w:footnoteReference w:id="83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محال بودن، آن است که ارتباط میان نفس و بدن به صورت انطباعی نیست، بلکه به صورت اشتغالی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بیش از یک نفس را درک نمی کند و انفعال </w:t>
      </w:r>
    </w:p>
    <w:p>
      <w:pPr>
        <w:pStyle w:val="BookText"/>
        <w:rPr/>
      </w:pPr>
      <w:r>
        <w:rPr>
          <w:rFonts w:ascii="IRNazanin" w:hAnsi="IRNazanin" w:eastAsia="IRNazanin"/>
          <w:color w:val="111111"/>
          <w:sz w:val="28"/>
          <w:sz w:val="28"/>
          <w:szCs w:val="28"/>
          <w:rtl w:val="true"/>
          <w:lang w:bidi="fa-IR"/>
        </w:rPr>
        <w:t>بدن از همان نفس است و اگر نفس دیگری هم باشد که انسان آن را درک نکند و کاری نیز به بدن نداشته باشد، پس در واقع، آن نفس از این بدن نیست</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در کتاب شرح المقاصد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نفسی بالضروره می داند که در این بدن، غیر از او نفس دیگری نیست که به تدبیر بدن بپردازد و همچنین می داند که او در بدن دیگر تصرفی ندارد؛ بنابراین، نسبت بین نفس و بدن، تساوی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بدن دارای یک نفس است و هر نفس نیز جز به یک</w:t>
      </w:r>
    </w:p>
    <w:p>
      <w:pPr>
        <w:pStyle w:val="BookText"/>
        <w:rPr/>
      </w:pPr>
      <w:r>
        <w:rPr>
          <w:rFonts w:ascii="IRNazanin" w:hAnsi="IRNazanin" w:eastAsia="IRNazanin"/>
          <w:color w:val="111111"/>
          <w:sz w:val="28"/>
          <w:sz w:val="28"/>
          <w:szCs w:val="28"/>
          <w:rtl w:val="true"/>
          <w:lang w:bidi="fa-IR"/>
        </w:rPr>
        <w:t>بدن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دو نفس در یک بدن اجتماع نمیکنند، ظاهر است و اما این که نفس به صورت تبادل و انتقال از یک بدن به بدن دیگر رود، به دلایلی که می آید، باطل است</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ملاصدرا در ابطال تناسخ راه دیگری را پیموده و در صدد آن است که ثابت کند بین نفس و بدن، امکان تناسخ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می نگارد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بارها گفته ایم، نفس، تعلق ذاتی به بدن دارد و ترکیب این دو با یکدیگر، ترکیب طبیعی و اتحادی است و هر دو با هم دارای حرکت ذاتی جوهری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آغاز پیدایش خود در تمام حالات، امری بالقوه است و با توجه به سنین نوزادی، طفولیت، جوانی، میانسالی و سالخوردگی، از شأنی ذاتی و خاص خود برخوردار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درباره بدن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بدن از قوه خارج می شوند و بالفعل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قوه و فعل نفس، مادامی که به بدن تعلق دارد، بستگی به درجات قوه و فعل آن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را که در نظر بگیریم، در زمان حیات جسمانی خود، حتما از قوه به فعل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نفس بر اساس افعالی و اعمالی است که چه خوب یا بد، نوعی از فعلیت را برای آن به وجود می آورد و به سبب آن، به سعادت یا شقاوت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پس از آن که نفس به مرتبه ای از فعلیت رسید، محال است دوباره به حالت قوه محض برگردد؛ همانگونه که محال است حیوان پس از آن که به بلوغ تام رسید، به حالت نطفه و علقه درآید؛ زیرا این حرکت، حرکتی جوهری و ذاتی است که حرکت بر خلاف آن، به هیچ نحو ممکن </w:t>
      </w:r>
      <w:bookmarkStart w:id="731" w:name="pg14387_143830"/>
    </w:p>
    <w:p>
      <w:pPr>
        <w:pStyle w:val="BookText"/>
        <w:rPr/>
      </w:pPr>
      <w:bookmarkEnd w:id="731"/>
      <w:r>
        <w:rPr>
          <w:rFonts w:ascii="IRNazanin" w:hAnsi="IRNazanin" w:eastAsia="IRNazanin"/>
          <w:color w:val="111111"/>
          <w:sz w:val="28"/>
          <w:sz w:val="28"/>
          <w:szCs w:val="28"/>
          <w:rtl w:val="true"/>
          <w:lang w:bidi="fa-IR"/>
        </w:rPr>
        <w:t>نیست؛ نه به صورت حرکت قسری، نه طبعی، نه ارادی و نه 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نفسی که بالفعل شده است، از بدنی جدا شود و به بدن دیگری که هنوز جنین است، تعلق گیرد، لازم می آید یکی از این دو، بالقوه و دیگری، بالفعل باشد و نیز لازم می آید شیء در عین حال که بالفعل است، بالقوه هم باشد و این امری ممتنع است؛ زیرا ترکیب بین نفس و بدن، طبیعی و اتحادی است و حصول چنین ترکیبی از دو امری که یکی بالفعل و دیگری بالقوه است، محال می باشد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بنا بر آنچه گفته شد، ملاصدرا معتقد است نفس در طول حیات دنیوی به مرتبه ای از فعلیت دست می یابد، حال اگر بنا بر تناسخ بخواهد به بدن دیگری تعلق گیرد، باید به حالت قوه محض درآید و این امری محال است، بنابراین، تناسخ بین نفس و بدن، محال می باشد</w:t>
      </w:r>
      <w:r>
        <w:rPr>
          <w:rFonts w:eastAsia="IRNazanin" w:cs="IRNazanin"/>
          <w:color w:val="111111"/>
          <w:sz w:val="28"/>
          <w:szCs w:val="28"/>
          <w:rtl w:val="true"/>
          <w:lang w:bidi="fa-IR"/>
        </w:rPr>
        <w:t>.</w:t>
      </w:r>
    </w:p>
    <w:p>
      <w:pPr>
        <w:pStyle w:val="Heading3"/>
        <w:numPr>
          <w:ilvl w:val="2"/>
          <w:numId w:val="1"/>
        </w:numPr>
        <w:rPr/>
      </w:pPr>
      <w:bookmarkStart w:id="732" w:name="__RefHeading___Toc7812644_3381743652"/>
      <w:bookmarkStart w:id="733" w:name="_Toc281"/>
      <w:bookmarkEnd w:id="732"/>
      <w:r>
        <w:rPr>
          <w:rtl w:val="true"/>
        </w:rPr>
        <w:t>تقسیمات تناسخ و اقسام آن</w:t>
      </w:r>
      <w:bookmarkEnd w:id="733"/>
    </w:p>
    <w:p>
      <w:pPr>
        <w:pStyle w:val="BookText"/>
        <w:rPr/>
      </w:pPr>
      <w:r>
        <w:rPr>
          <w:rFonts w:ascii="IRNazanin" w:hAnsi="IRNazanin" w:eastAsia="IRNazanin"/>
          <w:color w:val="111111"/>
          <w:sz w:val="28"/>
          <w:sz w:val="28"/>
          <w:szCs w:val="28"/>
          <w:rtl w:val="true"/>
          <w:lang w:bidi="fa-IR"/>
        </w:rPr>
        <w:t>تناسخ از جهاتی مورد تقسیم واقع شده و اقسامی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چند تقسیم که کاربرد بیشتری دارد، اشاره می 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تناسخ از جهت بدن یا جسمی که نفس به او تعلق می گیرد؛ تناسخ از این حیث به چهار 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مسخ، فسخ و رسخ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تناسخ از جهت مدت و چگونگی انتقال نفس؛ که به سه قسم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مطلق، تناسخ نزولی و تناسخ صعودی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تناسخ مطلق، انتقال نفس از بدنی به بدن دیگر در همین دنیاست، بدون توقف و به صورت دائمی که با از بین رفتن هر بدن، نفس به بدنی دیگر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تناسخ نزولی، انتقال برخی از نفوس به بدنهای دیگر است، تا هنگامی که نفس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قسم از تناسخ، نفوسی که از ناحیه علم و عمل دچار کاستی هستند، به این نشئه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گردند تا پس از رسیدن به کمال علمی و عملی، به عالم عقول ملحق شوند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تناسخ صعودی، انتقال صعودی نفس از نبات به حیوان و از حیوان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bookmarkStart w:id="734" w:name="pg14387_143831"/>
    </w:p>
    <w:p>
      <w:pPr>
        <w:pStyle w:val="BookText"/>
        <w:rPr/>
      </w:pPr>
      <w:bookmarkEnd w:id="734"/>
      <w:r>
        <w:rPr>
          <w:rFonts w:ascii="IRNazanin" w:hAnsi="IRNazanin" w:eastAsia="IRNazanin"/>
          <w:color w:val="111111"/>
          <w:sz w:val="28"/>
          <w:sz w:val="28"/>
          <w:szCs w:val="28"/>
          <w:rtl w:val="true"/>
          <w:lang w:bidi="fa-IR"/>
        </w:rPr>
        <w:t>این قسم، شباهت زیادی به حرکت جوهری دارد، اما تفاوت عمده آن با حرکت جوهری در آن است که تحول در تناسخ صعودی به نحو انفصالی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نخست به نبات تعلق می گیرد، سپس از آن جدا می شود و به بدن حیوان و پس از آن به بدن انسان منتقل</w:t>
      </w:r>
    </w:p>
    <w:p>
      <w:pPr>
        <w:pStyle w:val="BookText"/>
        <w:rPr/>
      </w:pPr>
      <w:r>
        <w:rPr>
          <w:rFonts w:ascii="IRNazanin" w:hAnsi="IRNazanin" w:eastAsia="IRNazanin"/>
          <w:color w:val="111111"/>
          <w:sz w:val="28"/>
          <w:sz w:val="28"/>
          <w:szCs w:val="28"/>
          <w:rtl w:val="true"/>
          <w:lang w:bidi="fa-IR"/>
        </w:rPr>
        <w:t>می شود، اما تحول در حرکت جوهری، به طور متصل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الشواهد الربوبیه تناسخ چنان تقسیم شده است که شامل انتقال نفس به عالم دیگر و حتی مسخ نیز می شود</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در این تقسیم، برای تناسخ سه قسم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همین دنیا از بدنی به بدن دیگر منتقل شود؛ چه آن دیگری پست تر از اولی باشد یا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نفس از بدن دنیوی به بدن اخروی که با اوصاف و اخلاقی که در دنیا کسب کرده است،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نفسی در آخرت به صورت حیوانی که صفات وی در آن نفس غلبه کرده است،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انسان، مسخ شده، صورت او نیز از صورت انسانی به صورتی دیگر تبدیل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طغیان و غلبه قوۀ نفسانیه است</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تناسخ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ملکی همان قسم نخست از تقسیم پیشین است و تناسخ ملکوتی به قسم دوم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علاوه بر آنچه گفته شد، تقسیمهای دیگری نیز ارائه شده است که ما آنها را ذکر نکردیم</w:t>
      </w:r>
      <w:r>
        <w:rPr>
          <w:rFonts w:eastAsia="IRNazanin" w:cs="IRNazanin"/>
          <w:color w:val="111111"/>
          <w:sz w:val="28"/>
          <w:szCs w:val="28"/>
          <w:rtl w:val="true"/>
          <w:lang w:bidi="fa-IR"/>
        </w:rPr>
        <w:t>.</w:t>
      </w:r>
      <w:r>
        <w:rPr>
          <w:rStyle w:val="FootnoteAnchor"/>
          <w:rtl w:val="true"/>
        </w:rPr>
        <w:footnoteReference w:id="839"/>
      </w:r>
    </w:p>
    <w:p>
      <w:pPr>
        <w:pStyle w:val="Heading3"/>
        <w:numPr>
          <w:ilvl w:val="2"/>
          <w:numId w:val="1"/>
        </w:numPr>
        <w:rPr/>
      </w:pPr>
      <w:bookmarkStart w:id="735" w:name="__RefHeading___Toc7812646_3381743652"/>
      <w:bookmarkStart w:id="736" w:name="_Toc282"/>
      <w:bookmarkEnd w:id="735"/>
      <w:r>
        <w:rPr>
          <w:rtl w:val="true"/>
        </w:rPr>
        <w:t>تناسخ از دیدگاه شیخ طوسی</w:t>
      </w:r>
      <w:bookmarkEnd w:id="736"/>
    </w:p>
    <w:p>
      <w:pPr>
        <w:pStyle w:val="Heading4"/>
        <w:numPr>
          <w:ilvl w:val="3"/>
          <w:numId w:val="1"/>
        </w:numPr>
        <w:rPr/>
      </w:pPr>
      <w:bookmarkStart w:id="737" w:name="__RefHeading___Toc7812648_3381743652"/>
      <w:bookmarkStart w:id="738" w:name="_Toc283"/>
      <w:bookmarkEnd w:id="737"/>
      <w:r>
        <w:rPr>
          <w:rtl w:val="true"/>
        </w:rPr>
        <w:t>اشاره</w:t>
      </w:r>
      <w:bookmarkEnd w:id="738"/>
    </w:p>
    <w:p>
      <w:pPr>
        <w:pStyle w:val="BookText"/>
        <w:rPr/>
      </w:pPr>
      <w:r>
        <w:rPr>
          <w:rFonts w:ascii="IRNazanin" w:hAnsi="IRNazanin" w:eastAsia="IRNazanin"/>
          <w:color w:val="111111"/>
          <w:sz w:val="28"/>
          <w:sz w:val="28"/>
          <w:szCs w:val="28"/>
          <w:rtl w:val="true"/>
          <w:lang w:bidi="fa-IR"/>
        </w:rPr>
        <w:t>پیش از پرداختن به رأی ایشان درباره تناسخ، باید نکته ای را یاد آور شویم و به سؤالی پاسخ گوییم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تقسیم بندی کلی، اهل تناسخ،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کسانی که تناسخ را جایگزین معاد می دانند و از اساس، منکر عالمی ورای این جهان هستند و دسته </w:t>
      </w:r>
    </w:p>
    <w:p>
      <w:pPr>
        <w:pStyle w:val="BookText"/>
        <w:rPr/>
      </w:pPr>
      <w:r>
        <w:rPr>
          <w:rFonts w:ascii="IRNazanin" w:hAnsi="IRNazanin" w:eastAsia="IRNazanin"/>
          <w:color w:val="111111"/>
          <w:sz w:val="28"/>
          <w:sz w:val="28"/>
          <w:szCs w:val="28"/>
          <w:rtl w:val="true"/>
          <w:lang w:bidi="fa-IR"/>
        </w:rPr>
        <w:t>دیگر، کسانی که با وجود اعتقاد به معاد، به تناسخ نیز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از آن رو حائز اهمیت است که اگر اهل تناسخ به معاد بی اعتقاد و به عبارت دیگر، قائل به تناسخ مطلق باشند، دو گونه پاسخ از ناحیه شیخ دریافت خواهند کرد نخست از طریق ادله اثبات معاد؛ چه این که با اثبات معاد و اعتقاد به آن، تناسخ مطلق، بی معنی خواهد بود و دیگری از راه خاصی که در ادامه بحث از آن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قائل به تناسخ، معتقد به معاد باشد، ایشان از همان طریق خاص به رد آن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دو کتاب کلامی خویش، تمهید الأصول و الاقتصاد فیما یتعلق بالاعتقاد و نیز در تفسیر التبیان از تناسخ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تتبع در این آثار، در می یابیم که مخاطبان شیخ، معتقدان به معاد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در کتابهای فوق بحثی را با عنوان تناسخ نیاورده و به طور مستقل از آن بحث نکرده است، بلکه در تفسیر التبیان از تناسخ در ضمن بحث رجعت و در کتابهای کلامی خود در مبحث آلام سخن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سؤال مطرح است که چه مناسبتی بین این دو موضوع کلامی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مطلب، کلامی را از کتاب تلبیس ابلیس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نقل از ابوالقاسم بلخی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تناسخ هنگامی که درد و رنج کودکان و حیوانات را مشاهده کردند، محال دانستند که این درد و رنج، وسیله آزمایش دیگران باشد یا به خاطر عوضی باشد که به آنان داده خواهد 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توجیه آن باشد که آنان مملوکند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هر طور خواهد در ملک خود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نظرشان رسید که این آلام به خاطر گناهانی است که پیش از این مرتکب شده اند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در کتاب تبصرة العوام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حائط و فضل حدثی در تناسخ، غلو بسیار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هر رنج و آفت که به اطفال و بهایم رسد، از آن بود که در دور اول گنه کرده باشند و در این دور، جزای می یابند</w:t>
      </w:r>
      <w:r>
        <w:rPr>
          <w:rFonts w:eastAsia="IRNazanin" w:cs="IRNazanin"/>
          <w:color w:val="111111"/>
          <w:sz w:val="28"/>
          <w:szCs w:val="28"/>
          <w:rtl w:val="true"/>
          <w:lang w:bidi="fa-IR"/>
        </w:rPr>
        <w:t>.</w:t>
      </w:r>
      <w:r>
        <w:rPr>
          <w:rStyle w:val="FootnoteAnchor"/>
          <w:rtl w:val="true"/>
        </w:rPr>
        <w:footnoteReference w:id="84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عبارتها به یکی از شبهات اهل تناسخ اشاره می کند که چون از پس حل آن </w:t>
      </w:r>
      <w:bookmarkStart w:id="739" w:name="pg14387_143833"/>
    </w:p>
    <w:p>
      <w:pPr>
        <w:pStyle w:val="BookText"/>
        <w:rPr/>
      </w:pPr>
      <w:bookmarkEnd w:id="739"/>
      <w:r>
        <w:rPr>
          <w:rFonts w:ascii="IRNazanin" w:hAnsi="IRNazanin" w:eastAsia="IRNazanin"/>
          <w:color w:val="111111"/>
          <w:sz w:val="28"/>
          <w:sz w:val="28"/>
          <w:szCs w:val="28"/>
          <w:rtl w:val="true"/>
          <w:lang w:bidi="fa-IR"/>
        </w:rPr>
        <w:t>برنیامده اند، قول به تناسخ را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یکی از ادله مهم اهل تناسخ، همین مطلب است که 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استحقاقی را قائل نشویم، راهی برای توجیه آلام کودکان و حیوانات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است که با توضیحاتی درباره الم و بحث از آن، به این شبهه قائلان به تناسخ پرداخته و پاسخی درخور به آن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 از دو مقدمۀ فوق، به تناسخ از دیدگاه شیخ می پردازیم و برای روشن شدن هر چه بیشتر بحث، آن را در دو بخش جداگانه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رأی شیخ را در این باره بازگو می کنیم و در بخش بعدی، پاسخهای شیخ را به دلیلی که اهل تناسخ به زعم خود آورده اند، ذکر می کنیم</w:t>
      </w:r>
      <w:r>
        <w:rPr>
          <w:rFonts w:eastAsia="IRNazanin" w:cs="IRNazanin"/>
          <w:color w:val="111111"/>
          <w:sz w:val="28"/>
          <w:szCs w:val="28"/>
          <w:rtl w:val="true"/>
          <w:lang w:bidi="fa-IR"/>
        </w:rPr>
        <w:t>.</w:t>
      </w:r>
    </w:p>
    <w:p>
      <w:pPr>
        <w:pStyle w:val="Heading4"/>
        <w:numPr>
          <w:ilvl w:val="3"/>
          <w:numId w:val="1"/>
        </w:numPr>
        <w:rPr/>
      </w:pPr>
      <w:bookmarkStart w:id="740" w:name="__RefHeading___Toc7812650_3381743652"/>
      <w:bookmarkStart w:id="741" w:name="_Toc284"/>
      <w:bookmarkEnd w:id="740"/>
      <w:r>
        <w:rPr>
          <w:rtl w:val="true"/>
        </w:rPr>
        <w:t>رأی شیخ درباره تناسخ</w:t>
      </w:r>
      <w:bookmarkEnd w:id="741"/>
    </w:p>
    <w:p>
      <w:pPr>
        <w:pStyle w:val="BookText"/>
        <w:rPr/>
      </w:pPr>
      <w:r>
        <w:rPr>
          <w:rFonts w:ascii="IRNazanin" w:hAnsi="IRNazanin" w:eastAsia="IRNazanin"/>
          <w:color w:val="111111"/>
          <w:sz w:val="28"/>
          <w:sz w:val="28"/>
          <w:szCs w:val="28"/>
          <w:rtl w:val="true"/>
          <w:lang w:bidi="fa-IR"/>
        </w:rPr>
        <w:t>شیخ طوسیله در تفسیر التبیان به روشنی نظر خود را درباره تناسخ بیان کرده و تفصیل آن را به کتاب تمهید الأصول 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آیه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سوره آل عمران را دلیل بر رجعت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شیخ،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لاتحسبن الذین قتلوا فی سبیل الله أمواتا بل أحیاء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گروهی از شهدان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شیخ به ذکر مطلبی می پردازد که نظر ایشان را درباره تناسخ کاملا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بازگشتی که اهل تناسخ مطرح می کنند، نادرست و قول به آن باطل است؛ به دلیلی که در مواضع گوناگون به تبیین آن پرداخته ایم و پاره ای از آن را در کتاب شرح جمل العلم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از آن آگاه شود، به آن کتاب مراجعه کند</w:t>
      </w:r>
      <w:r>
        <w:rPr>
          <w:rFonts w:eastAsia="IRNazanin" w:cs="IRNazanin"/>
          <w:color w:val="111111"/>
          <w:sz w:val="28"/>
          <w:szCs w:val="28"/>
          <w:rtl w:val="true"/>
          <w:lang w:bidi="fa-IR"/>
        </w:rPr>
        <w:t>.</w:t>
      </w:r>
      <w:r>
        <w:rPr>
          <w:rStyle w:val="FootnoteAnchor"/>
          <w:rtl w:val="true"/>
        </w:rPr>
        <w:footnoteReference w:id="84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عبارت فوق می توان به بطلان تناسخ از دیدگاه شیخ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همانگونه که شیخ متذکر شد، ایشان با قدری تفصیل، در کتاب تمهید الأصول به مبحث تناسخ پرداخته است</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وی در کتاب تمهید الاصول نخست مقدمه ای را می آورد و آنگاه نتیجه مورد نظر خویش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کلامی از راه بطلان شبهه اهل تناسخ، نظر صریح خویش را که همان بطلان تناسخ باشد، اعلام می کند</w:t>
      </w:r>
      <w:r>
        <w:rPr>
          <w:rFonts w:eastAsia="IRNazanin" w:cs="IRNazanin"/>
          <w:color w:val="111111"/>
          <w:sz w:val="28"/>
          <w:szCs w:val="28"/>
          <w:rtl w:val="true"/>
          <w:lang w:bidi="fa-IR"/>
        </w:rPr>
        <w:t xml:space="preserve">. </w:t>
      </w:r>
      <w:bookmarkStart w:id="742" w:name="pg14387_143834"/>
    </w:p>
    <w:p>
      <w:pPr>
        <w:pStyle w:val="Heading4"/>
        <w:numPr>
          <w:ilvl w:val="3"/>
          <w:numId w:val="1"/>
        </w:numPr>
        <w:rPr/>
      </w:pPr>
      <w:bookmarkStart w:id="743" w:name="__RefHeading___Toc7812652_3381743652"/>
      <w:bookmarkStart w:id="744" w:name="_Toc285"/>
      <w:bookmarkEnd w:id="742"/>
      <w:bookmarkEnd w:id="743"/>
      <w:r>
        <w:rPr>
          <w:rtl w:val="true"/>
        </w:rPr>
        <w:t>پاسخهای شیخ به شبهه اهل تناسخ</w:t>
      </w:r>
      <w:bookmarkEnd w:id="744"/>
    </w:p>
    <w:p>
      <w:pPr>
        <w:pStyle w:val="Heading5"/>
        <w:numPr>
          <w:ilvl w:val="4"/>
          <w:numId w:val="1"/>
        </w:numPr>
        <w:rPr/>
      </w:pPr>
      <w:bookmarkStart w:id="745" w:name="__RefHeading___Toc7812654_3381743652"/>
      <w:bookmarkStart w:id="746" w:name="_Toc286"/>
      <w:bookmarkEnd w:id="745"/>
      <w:r>
        <w:rPr>
          <w:rtl w:val="true"/>
        </w:rPr>
        <w:t>اشاره</w:t>
      </w:r>
      <w:bookmarkEnd w:id="746"/>
    </w:p>
    <w:p>
      <w:pPr>
        <w:pStyle w:val="BookText"/>
        <w:rPr/>
      </w:pPr>
      <w:r>
        <w:rPr>
          <w:rFonts w:ascii="IRNazanin" w:hAnsi="IRNazanin" w:eastAsia="IRNazanin"/>
          <w:color w:val="111111"/>
          <w:sz w:val="28"/>
          <w:sz w:val="28"/>
          <w:szCs w:val="28"/>
          <w:rtl w:val="true"/>
          <w:lang w:bidi="fa-IR"/>
        </w:rPr>
        <w:t>در مقدمه بحث، شیخ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وجود الم، امری ضروری و وجدانی است و آنچه در خور تأمل است، حسن یا قبیح بودن آن است که همین مسئله باعث اختلاف آرا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همة آلام را قبیح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ثنویه و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بر</w:t>
      </w:r>
    </w:p>
    <w:p>
      <w:pPr>
        <w:pStyle w:val="BookText"/>
        <w:rPr/>
      </w:pPr>
      <w:r>
        <w:rPr>
          <w:rFonts w:ascii="IRNazanin" w:hAnsi="IRNazanin" w:eastAsia="IRNazanin"/>
          <w:color w:val="111111"/>
          <w:sz w:val="28"/>
          <w:sz w:val="28"/>
          <w:szCs w:val="28"/>
          <w:rtl w:val="true"/>
          <w:lang w:bidi="fa-IR"/>
        </w:rPr>
        <w:t>آن شده اند که نمی توان همه آلام را قبیح دانست، بلکه برخی از آنها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خود به دو دسته تقسیم شده اند، دسته ای چون تناسخیه و بکریه، تنها وجه حسن و نیکو بودن الم را استحقاق شخص، پنداشته اند و برخی وجوه دیگری را نیز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طرفداران نظریه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نخست به سه وجهی که می تواند برای قبیح بودن الم وجود داشته باشد، اشاره می کند که عبارتند از ظلم، مفسده، 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سایر موارد، الم نیکو خواهد بود</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وی سپس به توضیح و تبیین موارد حسن و قبح الم می پردازد و در این میان به نقد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تناسخیه و بکریه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بکریه و اهل 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آنند که درد و الم، تنها در صورتی نیکوست که فرد، مستحق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توجیه درد و الم کودکان و حیوانات با یکدیگر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اطفال و بهایم، مکلف نیستند، پس هیچ المی برای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تناسخ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حیوانات، پیش از این در بدن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بوده اند، پس آنچه اکنون به آنها می رسد، به خاطر گناهانی است که در آن زمان انجام داده اند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از این عبارت، کاملا پیداست یکی از ادله اهل تناسخ،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استحقاقی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شاید بتوان آن را به صورت ذیل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الم، بالضروره وجود دارد و به هیچ وجه نمی توان در آن تردید روا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الم کودکان و حیوانات، تنها در صورتی نیکوست که استحقاقی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درد و الم استحقاقی، تناسخ است؛ زیرا شخص با گناهانی که در بدن اول انجام داده است، اکنون مستحق آن است که این آلام بر او وارد شود و اگر قائل به تناسخ </w:t>
      </w:r>
      <w:bookmarkStart w:id="747" w:name="pg14387_143835"/>
    </w:p>
    <w:p>
      <w:pPr>
        <w:pStyle w:val="BookText"/>
        <w:rPr/>
      </w:pPr>
      <w:bookmarkEnd w:id="747"/>
      <w:r>
        <w:rPr>
          <w:rFonts w:ascii="IRNazanin" w:hAnsi="IRNazanin" w:eastAsia="IRNazanin"/>
          <w:color w:val="111111"/>
          <w:sz w:val="28"/>
          <w:sz w:val="28"/>
          <w:szCs w:val="28"/>
          <w:rtl w:val="true"/>
          <w:lang w:bidi="fa-IR"/>
        </w:rPr>
        <w:t>نشویم، وجهی دیگر برای توجیه الم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ای جز پذیرش تناسخ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پیداست، اساس و پایه استدلال فوق، انحصار آلام در استحقاقی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بنیان فرو ریزد، بنای تناسخ نیز فرو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شیخ طوسی برای</w:t>
      </w:r>
    </w:p>
    <w:p>
      <w:pPr>
        <w:pStyle w:val="BookText"/>
        <w:rPr/>
      </w:pPr>
      <w:r>
        <w:rPr>
          <w:rFonts w:ascii="IRNazanin" w:hAnsi="IRNazanin" w:eastAsia="IRNazanin"/>
          <w:color w:val="111111"/>
          <w:sz w:val="28"/>
          <w:sz w:val="28"/>
          <w:szCs w:val="28"/>
          <w:rtl w:val="true"/>
          <w:lang w:bidi="fa-IR"/>
        </w:rPr>
        <w:t>ابطال حصر آلام در استحقاقی بودن، به پاسخهایی اشاره می کند</w:t>
      </w:r>
      <w:r>
        <w:rPr>
          <w:rStyle w:val="FootnoteAnchor"/>
          <w:rtl w:val="true"/>
        </w:rPr>
        <w:footnoteReference w:id="846"/>
      </w:r>
    </w:p>
    <w:p>
      <w:pPr>
        <w:pStyle w:val="Heading5"/>
        <w:numPr>
          <w:ilvl w:val="4"/>
          <w:numId w:val="1"/>
        </w:numPr>
        <w:rPr/>
      </w:pPr>
      <w:bookmarkStart w:id="748" w:name="__RefHeading___Toc7812656_3381743652"/>
      <w:bookmarkStart w:id="749" w:name="_Toc287"/>
      <w:bookmarkEnd w:id="748"/>
      <w:r>
        <w:rPr>
          <w:rtl w:val="true"/>
        </w:rPr>
        <w:t>الف</w:t>
      </w:r>
      <w:r>
        <w:rPr>
          <w:rtl w:val="true"/>
        </w:rPr>
        <w:t xml:space="preserve">) </w:t>
      </w:r>
      <w:r>
        <w:rPr>
          <w:rtl w:val="true"/>
        </w:rPr>
        <w:t>وجود آلام غیر استحقاقی</w:t>
      </w:r>
      <w:bookmarkEnd w:id="749"/>
    </w:p>
    <w:p>
      <w:pPr>
        <w:pStyle w:val="BookText"/>
        <w:rPr/>
      </w:pPr>
      <w:r>
        <w:rPr>
          <w:rFonts w:ascii="IRNazanin" w:hAnsi="IRNazanin" w:eastAsia="IRNazanin"/>
          <w:color w:val="111111"/>
          <w:sz w:val="28"/>
          <w:sz w:val="28"/>
          <w:szCs w:val="28"/>
          <w:rtl w:val="true"/>
          <w:lang w:bidi="fa-IR"/>
        </w:rPr>
        <w:t>در این پاسخ، بکریه و اهل تناسخ، هر دو مورد خطاب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آنان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درد و الم به خاطر امری غیر از استحقاق باشد، چه اشکالی در پی خواهد داشت؟ آن امر می تواند نفع بیشتری باشد که شخص در پی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الم کودکان و حیوانات، مقدمه رسیدن به سود فراوانی است که تنها از این راه قابل وصول می باشد و یا درد و الم، ضرر بزرگتری را از آنان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تحمل درد و رنج برای رسیدن به نفع بیشتر یا گریختن از ضرر بزرگتر، نیکوست و روشن است که در این جا هیچ گونه استحقاقی هم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از سوی شما به عنوان الم استحقاقی مطرح شد، پایه و اساسی ندارد</w:t>
      </w:r>
      <w:r>
        <w:rPr>
          <w:rFonts w:eastAsia="IRNazanin" w:cs="IRNazanin"/>
          <w:color w:val="111111"/>
          <w:sz w:val="28"/>
          <w:szCs w:val="28"/>
          <w:rtl w:val="true"/>
          <w:lang w:bidi="fa-IR"/>
        </w:rPr>
        <w:t>.</w:t>
      </w:r>
      <w:r>
        <w:rPr>
          <w:rStyle w:val="FootnoteAnchor"/>
          <w:rtl w:val="true"/>
        </w:rPr>
        <w:footnoteReference w:id="847"/>
      </w:r>
    </w:p>
    <w:p>
      <w:pPr>
        <w:pStyle w:val="Heading5"/>
        <w:numPr>
          <w:ilvl w:val="4"/>
          <w:numId w:val="1"/>
        </w:numPr>
        <w:rPr/>
      </w:pPr>
      <w:bookmarkStart w:id="750" w:name="__RefHeading___Toc7812658_3381743652"/>
      <w:bookmarkStart w:id="751" w:name="_Toc288"/>
      <w:bookmarkEnd w:id="750"/>
      <w:r>
        <w:rPr>
          <w:rtl w:val="true"/>
        </w:rPr>
        <w:t>ب</w:t>
      </w:r>
      <w:r>
        <w:rPr>
          <w:rtl w:val="true"/>
        </w:rPr>
        <w:t xml:space="preserve">) </w:t>
      </w:r>
      <w:r>
        <w:rPr>
          <w:rtl w:val="true"/>
        </w:rPr>
        <w:t>قبح تحقیرو اهانت کودکان و حیوانات</w:t>
      </w:r>
      <w:bookmarkEnd w:id="75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تحقیر</w:t>
      </w:r>
      <w:r>
        <w:rPr>
          <w:rStyle w:val="FootnoteAnchor"/>
          <w:rtl w:val="true"/>
        </w:rPr>
        <w:footnoteReference w:id="848"/>
      </w:r>
      <w:r>
        <w:rPr>
          <w:rFonts w:ascii="IRNazanin" w:hAnsi="IRNazanin" w:eastAsia="IRNazanin"/>
          <w:color w:val="111111"/>
          <w:sz w:val="28"/>
          <w:sz w:val="28"/>
          <w:szCs w:val="28"/>
          <w:rtl w:val="true"/>
          <w:lang w:bidi="fa-IR"/>
        </w:rPr>
        <w:t>و اهانت کودکان و حیوانات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الم استحقاقی آن است که با اهانت، سرزنش و لعن همراه باشد؛ زیرا فرض آن است که شخص با سوء رفتار خود، مقدمه ساز این الم شده است؛ بر خلاف الم غیراستحقاقی که همراهی با تحقیر از لوازم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که شما بیان می کنید، الم، تنها استحقاقی باشد، همراه شدن آن با اهانت لازم است؛ اما اگر چنین گفته شود که درد و الم کودکان و حیوانات را چگونه می توان توجیه کرد؟ روشن است و همه ضرورت می دانند که تحمیل </w:t>
      </w:r>
      <w:bookmarkStart w:id="752" w:name="pg14387_143836"/>
    </w:p>
    <w:p>
      <w:pPr>
        <w:pStyle w:val="BookText"/>
        <w:rPr/>
      </w:pPr>
      <w:bookmarkEnd w:id="752"/>
      <w:r>
        <w:rPr>
          <w:rFonts w:ascii="IRNazanin" w:hAnsi="IRNazanin" w:eastAsia="IRNazanin"/>
          <w:color w:val="111111"/>
          <w:sz w:val="28"/>
          <w:sz w:val="28"/>
          <w:szCs w:val="28"/>
          <w:rtl w:val="true"/>
          <w:lang w:bidi="fa-IR"/>
        </w:rPr>
        <w:t xml:space="preserve">درد و رنج بر آنان بدین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اهانت و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قائل به تناسخ، نمی تواند در پاسخ بگوید قبیح دانستن تحقیر و اهانت کودکان و حیوانات، نظر کسانی است که آنان را مستحق الم نمی دانند، والا اگر آنان نیز چون ما کودکان و حیوانات را مستحق الم می دانستند، همین حکم را درباره آنها جاری می ساختند؛ زیرا به گفته شیخ، قبح این کار از ضروریات است و هر عاقلی در هر حال، سرزنش، تحقیر و لعن کودکان و حیوانات را امری ناروا می داند</w:t>
      </w:r>
      <w:r>
        <w:rPr>
          <w:rFonts w:eastAsia="IRNazanin" w:cs="IRNazanin"/>
          <w:color w:val="111111"/>
          <w:sz w:val="28"/>
          <w:szCs w:val="28"/>
          <w:rtl w:val="true"/>
          <w:lang w:bidi="fa-IR"/>
        </w:rPr>
        <w:t>.</w:t>
      </w:r>
      <w:r>
        <w:rPr>
          <w:rStyle w:val="FootnoteAnchor"/>
          <w:rtl w:val="true"/>
        </w:rPr>
        <w:footnoteReference w:id="850"/>
      </w:r>
    </w:p>
    <w:p>
      <w:pPr>
        <w:pStyle w:val="Heading5"/>
        <w:numPr>
          <w:ilvl w:val="4"/>
          <w:numId w:val="1"/>
        </w:numPr>
        <w:rPr/>
      </w:pPr>
      <w:bookmarkStart w:id="753" w:name="__RefHeading___Toc7812660_3381743652"/>
      <w:bookmarkStart w:id="754" w:name="_Toc289"/>
      <w:bookmarkEnd w:id="753"/>
      <w:r>
        <w:rPr>
          <w:rtl w:val="true"/>
        </w:rPr>
        <w:t>ج</w:t>
      </w:r>
      <w:r>
        <w:rPr>
          <w:rtl w:val="true"/>
        </w:rPr>
        <w:t xml:space="preserve">) </w:t>
      </w:r>
      <w:r>
        <w:rPr>
          <w:rtl w:val="true"/>
        </w:rPr>
        <w:t>درد و رنج انبیا دلیل وجود الم غیر استحقاقی</w:t>
      </w:r>
      <w:bookmarkEnd w:id="754"/>
    </w:p>
    <w:p>
      <w:pPr>
        <w:pStyle w:val="BookText"/>
        <w:rPr/>
      </w:pPr>
      <w:r>
        <w:rPr>
          <w:rFonts w:ascii="IRNazanin" w:hAnsi="IRNazanin" w:eastAsia="IRNazanin"/>
          <w:color w:val="111111"/>
          <w:sz w:val="28"/>
          <w:sz w:val="28"/>
          <w:szCs w:val="28"/>
          <w:rtl w:val="true"/>
          <w:lang w:bidi="fa-IR"/>
        </w:rPr>
        <w:t>اگر چنان که اهل تناسخ می پندارند، الم فقط استحقاقی باشد و هیچ صورت دیگری پذیرفته نباشد، درد و رنج انبیا را چگونه می توان توجیه کرد؟ زیرا بدون شک، انبیا دچار آلام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ایشان نیز مسئله استحقاق این آلام به سبب گناهان پیشین، می تواند مطرح باشد؟ آیا به انبیا که دلیل بر عصمت آنان داریم، می توان کارهای ناپسند نسبت داد و در پی آن، ایشان را مستحق درد و رنج دانست؟ مسلم است هرگز نمی توان؛ چه قبل از نبوت و چه پس از آن</w:t>
      </w:r>
      <w:r>
        <w:rPr>
          <w:rFonts w:eastAsia="IRNazanin" w:cs="IRNazanin"/>
          <w:color w:val="111111"/>
          <w:sz w:val="28"/>
          <w:szCs w:val="28"/>
          <w:rtl w:val="true"/>
          <w:lang w:bidi="fa-IR"/>
        </w:rPr>
        <w:t>.</w:t>
      </w:r>
    </w:p>
    <w:p>
      <w:pPr>
        <w:pStyle w:val="Heading5"/>
        <w:numPr>
          <w:ilvl w:val="4"/>
          <w:numId w:val="1"/>
        </w:numPr>
        <w:rPr/>
      </w:pPr>
      <w:bookmarkStart w:id="755" w:name="__RefHeading___Toc7812662_3381743652"/>
      <w:bookmarkStart w:id="756" w:name="_Toc290"/>
      <w:bookmarkEnd w:id="755"/>
      <w:r>
        <w:rPr>
          <w:rtl w:val="true"/>
        </w:rPr>
        <w:t>د</w:t>
      </w:r>
      <w:r>
        <w:rPr>
          <w:rtl w:val="true"/>
        </w:rPr>
        <w:t xml:space="preserve">) </w:t>
      </w:r>
      <w:r>
        <w:rPr>
          <w:rtl w:val="true"/>
        </w:rPr>
        <w:t>به یاد نیاوردن گناهان پیشین</w:t>
      </w:r>
      <w:bookmarkEnd w:id="75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استدلال اهل تناسخ بر الم استحقاقی است و الم استحقاقی نیز به نوبه خود، بر گناهان پیشین فرد استوار است؛ بنابراین، اگر ثابت کنیم چنین گناهانی وجود ندارد، استدلالی هم شکل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 اگر استحقاق عقاب به خاطر گناهانی است که آنان در بدن پیشین مرتکب شده اند، باید آن گناهان را به یاد آورند، در صورتی که می بینیم این چنین یادآوری، درباره هیچ کس رخ نداده است</w:t>
      </w:r>
      <w:r>
        <w:rPr>
          <w:rStyle w:val="FootnoteAnchor"/>
          <w:rtl w:val="true"/>
        </w:rPr>
        <w:footnoteReference w:id="851"/>
      </w:r>
      <w:r>
        <w:rPr>
          <w:rFonts w:ascii="IRNazanin" w:hAnsi="IRNazanin" w:eastAsia="IRNazanin"/>
          <w:color w:val="111111"/>
          <w:sz w:val="28"/>
          <w:sz w:val="28"/>
          <w:szCs w:val="28"/>
          <w:rtl w:val="true"/>
          <w:lang w:bidi="fa-IR"/>
        </w:rPr>
        <w:t>، در حالی که اگر این امر حقیقتا وجود داشت، حداقل یک نفر باید از چنین موضوعی حکایت می کرد</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 xml:space="preserve">نبود </w:t>
      </w:r>
      <w:bookmarkStart w:id="757" w:name="pg14387_143837"/>
    </w:p>
    <w:p>
      <w:pPr>
        <w:pStyle w:val="BookText"/>
        <w:rPr/>
      </w:pPr>
      <w:bookmarkEnd w:id="757"/>
      <w:r>
        <w:rPr>
          <w:rFonts w:ascii="IRNazanin" w:hAnsi="IRNazanin" w:eastAsia="IRNazanin"/>
          <w:color w:val="111111"/>
          <w:sz w:val="28"/>
          <w:sz w:val="28"/>
          <w:szCs w:val="28"/>
          <w:rtl w:val="true"/>
          <w:lang w:bidi="fa-IR"/>
        </w:rPr>
        <w:t>چنین ادعایی دلالت بر واقعیت نداشتن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تفسیر تبیان مطلبی را ذکر می کند که بی ارتباط با پاسخ فوق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از این قرار است که اهل تناسخ می گویند خداوند در گذشته، مخلوقات را مکلف گردانید و سپس آنها را پس از انجام دادن یا ندادن تکالیف، به این جهان برگرداند تا با به آنان نعمت بخشد و یا آنان را به عقوبت رساند؛ اما آنان گذشته خود را به کلی از یاد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به انسان چنین فراموشی ای دست دهد، با این که اگر فردی حتی یک روز به بلاد زنج</w:t>
      </w:r>
      <w:r>
        <w:rPr>
          <w:rStyle w:val="FootnoteAnchor"/>
          <w:rtl w:val="true"/>
        </w:rPr>
        <w:footnoteReference w:id="853"/>
      </w:r>
      <w:r>
        <w:rPr>
          <w:rFonts w:ascii="IRNazanin" w:hAnsi="IRNazanin" w:eastAsia="IRNazanin"/>
          <w:color w:val="111111"/>
          <w:sz w:val="28"/>
          <w:sz w:val="28"/>
          <w:szCs w:val="28"/>
          <w:rtl w:val="true"/>
          <w:lang w:bidi="fa-IR"/>
        </w:rPr>
        <w:t>رود و آن جا را از نزدیک ببیند، دیگر هرگز آن را از یاد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فرض که بگوییم برخی آن را از یاد ببرند، چگونه می توان درباره همه، چنین قضاوت کرد؟ این گونه سخن گفتن، خود را به نادانی زدن است</w:t>
      </w:r>
      <w:r>
        <w:rPr>
          <w:rFonts w:eastAsia="IRNazanin" w:cs="IRNazanin"/>
          <w:color w:val="111111"/>
          <w:sz w:val="28"/>
          <w:szCs w:val="28"/>
          <w:rtl w:val="true"/>
          <w:lang w:bidi="fa-IR"/>
        </w:rPr>
        <w:t>.</w:t>
      </w:r>
      <w:r>
        <w:rPr>
          <w:rStyle w:val="FootnoteAnchor"/>
          <w:rtl w:val="true"/>
        </w:rPr>
        <w:footnoteReference w:id="854"/>
      </w:r>
    </w:p>
    <w:p>
      <w:pPr>
        <w:pStyle w:val="Heading5"/>
        <w:numPr>
          <w:ilvl w:val="4"/>
          <w:numId w:val="1"/>
        </w:numPr>
        <w:rPr/>
      </w:pPr>
      <w:bookmarkStart w:id="758" w:name="__RefHeading___Toc7812664_3381743652"/>
      <w:bookmarkStart w:id="759" w:name="_Toc291"/>
      <w:bookmarkEnd w:id="758"/>
      <w:r>
        <w:rPr>
          <w:rtl w:val="true"/>
        </w:rPr>
        <w:t xml:space="preserve">ه </w:t>
      </w:r>
      <w:r>
        <w:rPr>
          <w:rtl w:val="true"/>
        </w:rPr>
        <w:t xml:space="preserve">) </w:t>
      </w:r>
      <w:r>
        <w:rPr>
          <w:rtl w:val="true"/>
        </w:rPr>
        <w:t>محال گشتن ابتدا به تکلیف، در صورت انحصار آلام در الم استحقاقی</w:t>
      </w:r>
      <w:bookmarkEnd w:id="75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بر بطلان آنچه متناسخه می پندارند، آن است که اگر ما الم را تنها استحقاقی بدانیم و سبب این استحقاق، انجام ندادن تکلیفی باشد که شخص، پیش از این و در بدن قبلی داشته است و اکنون مستحق این الم گشته است، لازمه این کلام آن است که ابتدا به تکلیف، محال باشد؛ زیرا تکلیف، با مشقت و الم همراه است و ما سخن را روی همان تکلیف نخستین می بریم و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که تکلیفی پیش از این تکلیف نبوده است، شخص، مستحق این رنج و مشقت باشد؟ 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تکلیف دیگر و آن تکلیف نیز به خاطر تکلیف دیگر، این همان تسلسل است که هیچ تردیدی در بطلان آن نیست؛ بنابراین، چاره ای جز دست برداشتن از مدعای خود ندارند و بدین ترتیب، استحقاقی بودن الم که پایه استدلال را تشکیل می دهد، از بین می رود و تناسخ نیز چون بر این پایه استوار بود، باطل می شود</w:t>
      </w:r>
      <w:r>
        <w:rPr>
          <w:rFonts w:eastAsia="IRNazanin" w:cs="IRNazanin"/>
          <w:color w:val="111111"/>
          <w:sz w:val="28"/>
          <w:szCs w:val="28"/>
          <w:rtl w:val="true"/>
          <w:lang w:bidi="fa-IR"/>
        </w:rPr>
        <w:t>.</w:t>
      </w:r>
      <w:r>
        <w:rPr>
          <w:rStyle w:val="FootnoteAnchor"/>
          <w:rtl w:val="true"/>
        </w:rPr>
        <w:footnoteReference w:id="855"/>
      </w:r>
      <w:bookmarkStart w:id="760" w:name="pg14387_143838"/>
    </w:p>
    <w:p>
      <w:pPr>
        <w:pStyle w:val="Heading3"/>
        <w:numPr>
          <w:ilvl w:val="2"/>
          <w:numId w:val="1"/>
        </w:numPr>
        <w:rPr/>
      </w:pPr>
      <w:bookmarkStart w:id="761" w:name="__RefHeading___Toc7812666_3381743652"/>
      <w:bookmarkStart w:id="762" w:name="_Toc292"/>
      <w:bookmarkEnd w:id="760"/>
      <w:bookmarkEnd w:id="761"/>
      <w:r>
        <w:rPr>
          <w:rtl w:val="true"/>
        </w:rPr>
        <w:t>اشاره ای گذرا به شبهات اهل تناسخ</w:t>
      </w:r>
      <w:bookmarkEnd w:id="762"/>
    </w:p>
    <w:p>
      <w:pPr>
        <w:pStyle w:val="Heading4"/>
        <w:numPr>
          <w:ilvl w:val="3"/>
          <w:numId w:val="1"/>
        </w:numPr>
        <w:rPr/>
      </w:pPr>
      <w:bookmarkStart w:id="763" w:name="__RefHeading___Toc7812668_3381743652"/>
      <w:bookmarkStart w:id="764" w:name="_Toc293"/>
      <w:bookmarkEnd w:id="763"/>
      <w:r>
        <w:rPr>
          <w:rtl w:val="true"/>
        </w:rPr>
        <w:t>اشاره</w:t>
      </w:r>
      <w:bookmarkEnd w:id="764"/>
    </w:p>
    <w:p>
      <w:pPr>
        <w:pStyle w:val="BookText"/>
        <w:rPr/>
      </w:pPr>
      <w:r>
        <w:rPr>
          <w:rFonts w:ascii="IRNazanin" w:hAnsi="IRNazanin" w:eastAsia="IRNazanin"/>
          <w:color w:val="111111"/>
          <w:sz w:val="28"/>
          <w:sz w:val="28"/>
          <w:szCs w:val="28"/>
          <w:rtl w:val="true"/>
          <w:lang w:bidi="fa-IR"/>
        </w:rPr>
        <w:t>پیش از این آوردیم که یکی از شبهات اساسی قول به تناسخ، موجه سازی درد و آلام کودکان و حیوانات است و شیخ طوسی با پاسخهای متعدد، به شبهه زدایی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شبهات دیگری نیز وجود دارد که از آن میان به موارد زیر اشاره می کنیم</w:t>
      </w:r>
      <w:r>
        <w:rPr>
          <w:rFonts w:eastAsia="IRNazanin" w:cs="IRNazanin"/>
          <w:color w:val="111111"/>
          <w:sz w:val="28"/>
          <w:szCs w:val="28"/>
          <w:rtl w:val="true"/>
          <w:lang w:bidi="fa-IR"/>
        </w:rPr>
        <w:t>:</w:t>
      </w:r>
    </w:p>
    <w:p>
      <w:pPr>
        <w:pStyle w:val="Heading4"/>
        <w:numPr>
          <w:ilvl w:val="3"/>
          <w:numId w:val="1"/>
        </w:numPr>
        <w:rPr/>
      </w:pPr>
      <w:bookmarkStart w:id="765" w:name="__RefHeading___Toc7812670_3381743652"/>
      <w:bookmarkStart w:id="766" w:name="_Toc294"/>
      <w:bookmarkEnd w:id="765"/>
      <w:r>
        <w:rPr/>
        <w:t>1</w:t>
      </w:r>
      <w:r>
        <w:rPr>
          <w:rtl w:val="true"/>
        </w:rPr>
        <w:t xml:space="preserve">. </w:t>
      </w:r>
      <w:r>
        <w:rPr>
          <w:rtl w:val="true"/>
        </w:rPr>
        <w:t>توجیه وعده عذاب ادیان راستین</w:t>
      </w:r>
      <w:bookmarkEnd w:id="766"/>
    </w:p>
    <w:p>
      <w:pPr>
        <w:pStyle w:val="BookText"/>
        <w:rPr/>
      </w:pPr>
      <w:r>
        <w:rPr>
          <w:rFonts w:ascii="IRNazanin" w:hAnsi="IRNazanin" w:eastAsia="IRNazanin"/>
          <w:color w:val="111111"/>
          <w:sz w:val="28"/>
          <w:sz w:val="28"/>
          <w:szCs w:val="28"/>
          <w:rtl w:val="true"/>
          <w:lang w:bidi="fa-IR"/>
        </w:rPr>
        <w:t>اهل تناسخ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کنیم برخی از فساق و فجار، از حوادثی در آینده خبر می دهند و مطابق با واقع نیز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خبر دادن از این امور، جز از طریق اتصال به عالم عقل ممکن نیست و این مطلب را نیز یقین داریم که پس از مرگ، به عالم عقل منتقل می شویم که جهان روح و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توصیفات، برای توجیه وعده عذاب ادیان آسمانی، چاره ای جز پذیرفتن تناسخ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نفوس این دسته از اهل فسق و فجور، پس از مرگ، به بدن حیوانات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شود تا بدین وسیله در همین دنیا به سزای اعمال خود برسند و وعده عذاب ادیان راستین در حق آنان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اولآ، ماورای عالم طبیعت، عالم عقل نیست، بلکه عالم برزخ است که نفوس اهل معاصی پس از مرگ، به آن 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خبر دادن از غیب، تنها به دلیل اتصال به عالم عقل نیست، بلکه چه بسا به واسطه ریاضتهای باطل و یا مرضهای</w:t>
      </w:r>
    </w:p>
    <w:p>
      <w:pPr>
        <w:pStyle w:val="BookText"/>
        <w:rPr/>
      </w:pPr>
      <w:r>
        <w:rPr>
          <w:rFonts w:ascii="IRNazanin" w:hAnsi="IRNazanin" w:eastAsia="IRNazanin"/>
          <w:color w:val="111111"/>
          <w:sz w:val="28"/>
          <w:sz w:val="28"/>
          <w:szCs w:val="28"/>
          <w:rtl w:val="true"/>
          <w:lang w:bidi="fa-IR"/>
        </w:rPr>
        <w:t>شدید، به عالم شیاطین متصل شده باشد</w:t>
      </w:r>
      <w:r>
        <w:rPr>
          <w:rFonts w:eastAsia="IRNazanin" w:cs="IRNazanin"/>
          <w:color w:val="111111"/>
          <w:sz w:val="28"/>
          <w:szCs w:val="28"/>
          <w:rtl w:val="true"/>
          <w:lang w:bidi="fa-IR"/>
        </w:rPr>
        <w:t>.</w:t>
      </w:r>
      <w:r>
        <w:rPr>
          <w:rStyle w:val="FootnoteAnchor"/>
          <w:rtl w:val="true"/>
        </w:rPr>
        <w:footnoteReference w:id="856"/>
      </w:r>
    </w:p>
    <w:p>
      <w:pPr>
        <w:pStyle w:val="Heading4"/>
        <w:numPr>
          <w:ilvl w:val="3"/>
          <w:numId w:val="1"/>
        </w:numPr>
        <w:rPr/>
      </w:pPr>
      <w:bookmarkStart w:id="767" w:name="__RefHeading___Toc7812672_3381743652"/>
      <w:bookmarkStart w:id="768" w:name="_Toc295"/>
      <w:bookmarkEnd w:id="767"/>
      <w:r>
        <w:rPr/>
        <w:t>٢</w:t>
      </w:r>
      <w:r>
        <w:rPr>
          <w:rtl w:val="true"/>
        </w:rPr>
        <w:t xml:space="preserve">. </w:t>
      </w:r>
      <w:r>
        <w:rPr>
          <w:rtl w:val="true"/>
        </w:rPr>
        <w:t>بدن، لازمه تعذیب گنهکاران</w:t>
      </w:r>
      <w:bookmarkEnd w:id="768"/>
    </w:p>
    <w:p>
      <w:pPr>
        <w:pStyle w:val="BookText"/>
        <w:rPr/>
      </w:pPr>
      <w:r>
        <w:rPr>
          <w:rFonts w:ascii="IRNazanin" w:hAnsi="IRNazanin" w:eastAsia="IRNazanin"/>
          <w:color w:val="111111"/>
          <w:sz w:val="28"/>
          <w:sz w:val="28"/>
          <w:szCs w:val="28"/>
          <w:rtl w:val="true"/>
          <w:lang w:bidi="fa-IR"/>
        </w:rPr>
        <w:t>مسلما نفس در آغاز پیدایش، به دلیل نقص خویش، به بدن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در طول زندگی به گناهان روی آورد و خود را به معاصی، آلوده سازد، ناقصتر و بی مقدارتر می گردد و در نتیجه، نیازمندی او به بدن، بیش از پیش خواهد بود؛ بنابراین، پس از مرگ نیز باید به بدن دیگری تعلق گیرد و این، چیزی جز تناسخ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پاسخ آن است که گرچه نفس فرد سرکش، کافر و شقی، در نتیجه حیات دنیوی اش، پست تر و شقی تر شده است، ولی در هر حال، قوه و مکان خود را از</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69" w:name="pg14387_143839"/>
    </w:p>
    <w:p>
      <w:pPr>
        <w:pStyle w:val="BookText"/>
        <w:rPr/>
      </w:pPr>
      <w:bookmarkEnd w:id="769"/>
      <w:r>
        <w:rPr>
          <w:rFonts w:ascii="IRNazanin" w:hAnsi="IRNazanin" w:eastAsia="IRNazanin"/>
          <w:color w:val="111111"/>
          <w:sz w:val="28"/>
          <w:sz w:val="28"/>
          <w:szCs w:val="28"/>
          <w:rtl w:val="true"/>
          <w:lang w:bidi="fa-IR"/>
        </w:rPr>
        <w:t>دست داده و استعدادش از بین رفته و در شقاوت، به کمال رسیده است؛ بنابراین، دیگر چگونه می تواند به حالت بالقوه برگردد و در بدن دیگری حلول کند؛ آن چنان که اصحاب تناسخ پنداشته اند؟</w:t>
      </w:r>
      <w:r>
        <w:rPr>
          <w:rStyle w:val="FootnoteAnchor"/>
          <w:rtl w:val="true"/>
        </w:rPr>
        <w:footnoteReference w:id="857"/>
      </w:r>
    </w:p>
    <w:p>
      <w:pPr>
        <w:pStyle w:val="Heading4"/>
        <w:numPr>
          <w:ilvl w:val="3"/>
          <w:numId w:val="1"/>
        </w:numPr>
        <w:rPr/>
      </w:pPr>
      <w:bookmarkStart w:id="770" w:name="__RefHeading___Toc7812674_3381743652"/>
      <w:bookmarkStart w:id="771" w:name="_Toc296"/>
      <w:bookmarkEnd w:id="770"/>
      <w:r>
        <w:rPr/>
        <w:t>٣</w:t>
      </w:r>
      <w:r>
        <w:rPr>
          <w:rtl w:val="true"/>
        </w:rPr>
        <w:t xml:space="preserve">. </w:t>
      </w:r>
      <w:r>
        <w:rPr>
          <w:rtl w:val="true"/>
        </w:rPr>
        <w:t>تعذیب و تناسب آن با این جهان</w:t>
      </w:r>
      <w:bookmarkEnd w:id="771"/>
    </w:p>
    <w:p>
      <w:pPr>
        <w:pStyle w:val="BookText"/>
        <w:rPr/>
      </w:pPr>
      <w:r>
        <w:rPr>
          <w:rFonts w:ascii="IRNazanin" w:hAnsi="IRNazanin" w:eastAsia="IRNazanin"/>
          <w:color w:val="111111"/>
          <w:sz w:val="28"/>
          <w:sz w:val="28"/>
          <w:szCs w:val="28"/>
          <w:rtl w:val="true"/>
          <w:lang w:bidi="fa-IR"/>
        </w:rPr>
        <w:t>گروهی پنداشته اند که عالم مناسب تعذیب، باید از همه ظلمانی تر باشد و در بین عوالم، دنیا از همه پست تر و از ظلمت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قرار است گنهکار به عذابی برسد، در همین دنیا باید این کار انجام شود؛ بنابراین، نفس گنهکار پس از خروج از بدن، به بدن دیگر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شبهه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اولآ، عذاب و عقاب، در صورتی شدیدتر است که درک و فهم، قویتر باشد و ادراک در عالم دیگر، قابل مقایسه با این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اشتغال نفس به اعمال بدن، باعث ضعف ادراک آلام می گردد، در حالی که پس از مرگ، این موانع و حجابها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 که نعمت خالص در این دنیا ممکن نیست، عذاب شدید نیز امکان ندارد</w:t>
      </w:r>
      <w:r>
        <w:rPr>
          <w:rFonts w:eastAsia="IRNazanin" w:cs="IRNazanin"/>
          <w:color w:val="111111"/>
          <w:sz w:val="28"/>
          <w:szCs w:val="28"/>
          <w:rtl w:val="true"/>
          <w:lang w:bidi="fa-IR"/>
        </w:rPr>
        <w:t>.</w:t>
      </w:r>
      <w:r>
        <w:rPr>
          <w:rStyle w:val="FootnoteAnchor"/>
          <w:rtl w:val="true"/>
        </w:rPr>
        <w:footnoteReference w:id="858"/>
      </w:r>
    </w:p>
    <w:p>
      <w:pPr>
        <w:pStyle w:val="Heading4"/>
        <w:numPr>
          <w:ilvl w:val="3"/>
          <w:numId w:val="1"/>
        </w:numPr>
        <w:rPr/>
      </w:pPr>
      <w:bookmarkStart w:id="772" w:name="__RefHeading___Toc7812676_3381743652"/>
      <w:bookmarkStart w:id="773" w:name="_Toc297"/>
      <w:bookmarkEnd w:id="772"/>
      <w:r>
        <w:rPr/>
        <w:t>۴</w:t>
      </w:r>
      <w:r>
        <w:rPr>
          <w:rtl w:val="true"/>
        </w:rPr>
        <w:t xml:space="preserve">. </w:t>
      </w:r>
      <w:r>
        <w:rPr>
          <w:rtl w:val="true"/>
        </w:rPr>
        <w:t>یکسان انگاری تناسخ با اصطلاحات مشابه</w:t>
      </w:r>
      <w:bookmarkEnd w:id="773"/>
    </w:p>
    <w:p>
      <w:pPr>
        <w:pStyle w:val="Heading5"/>
        <w:numPr>
          <w:ilvl w:val="4"/>
          <w:numId w:val="1"/>
        </w:numPr>
        <w:rPr/>
      </w:pPr>
      <w:bookmarkStart w:id="774" w:name="__RefHeading___Toc7812678_3381743652"/>
      <w:bookmarkStart w:id="775" w:name="_Toc298"/>
      <w:bookmarkEnd w:id="774"/>
      <w:r>
        <w:rPr>
          <w:rtl w:val="true"/>
        </w:rPr>
        <w:t>اشاره</w:t>
      </w:r>
      <w:bookmarkEnd w:id="775"/>
    </w:p>
    <w:p>
      <w:pPr>
        <w:pStyle w:val="BookText"/>
        <w:rPr/>
      </w:pPr>
      <w:r>
        <w:rPr>
          <w:rFonts w:ascii="IRNazanin" w:hAnsi="IRNazanin" w:eastAsia="IRNazanin"/>
          <w:color w:val="111111"/>
          <w:sz w:val="28"/>
          <w:sz w:val="28"/>
          <w:szCs w:val="28"/>
          <w:rtl w:val="true"/>
          <w:lang w:bidi="fa-IR"/>
        </w:rPr>
        <w:t>یکی از موارد شبهه زا در بحث تناسخ، یکسان انگاری آن با اصطلاحاتی از قبیل معاد، مسخ و رجعت است که برای جلوگیری از آن، ذکر تفاوتها و احیانا تشابهی که با تناسخ دارد، لازم به نظر می رسد؛ بنابراین، به تبیین هر یک از عناوین فوق می پردازیم</w:t>
      </w:r>
      <w:r>
        <w:rPr>
          <w:rFonts w:eastAsia="IRNazanin" w:cs="IRNazanin"/>
          <w:color w:val="111111"/>
          <w:sz w:val="28"/>
          <w:szCs w:val="28"/>
          <w:rtl w:val="true"/>
          <w:lang w:bidi="fa-IR"/>
        </w:rPr>
        <w:t>:</w:t>
      </w:r>
    </w:p>
    <w:p>
      <w:pPr>
        <w:pStyle w:val="Heading5"/>
        <w:numPr>
          <w:ilvl w:val="4"/>
          <w:numId w:val="1"/>
        </w:numPr>
        <w:rPr/>
      </w:pPr>
      <w:bookmarkStart w:id="776" w:name="__RefHeading___Toc7812680_3381743652"/>
      <w:bookmarkStart w:id="777" w:name="_Toc299"/>
      <w:bookmarkEnd w:id="776"/>
      <w:r>
        <w:rPr>
          <w:rtl w:val="true"/>
        </w:rPr>
        <w:t>الف</w:t>
      </w:r>
      <w:r>
        <w:rPr>
          <w:rtl w:val="true"/>
        </w:rPr>
        <w:t xml:space="preserve">) </w:t>
      </w:r>
      <w:r>
        <w:rPr>
          <w:rtl w:val="true"/>
        </w:rPr>
        <w:t>معاد</w:t>
      </w:r>
      <w:bookmarkEnd w:id="777"/>
    </w:p>
    <w:p>
      <w:pPr>
        <w:pStyle w:val="BookText"/>
        <w:rPr/>
      </w:pPr>
      <w:r>
        <w:rPr>
          <w:rFonts w:ascii="IRNazanin" w:hAnsi="IRNazanin" w:eastAsia="IRNazanin"/>
          <w:color w:val="111111"/>
          <w:sz w:val="28"/>
          <w:sz w:val="28"/>
          <w:szCs w:val="28"/>
          <w:rtl w:val="true"/>
          <w:lang w:bidi="fa-IR"/>
        </w:rPr>
        <w:t>چنان که می دانیم، واژه معاد، بیانگر آن است که روح از عالم شهادت به عالم غیب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شهادت، به جهانی گفته می شود که انسان با حواس ظاهری، به درک اشیا می پردازد؛ در مقابل، عالم غیب، جهانی است که تنها با حواس باطنی قابل ادراک و</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وصول است</w:t>
      </w:r>
      <w:r>
        <w:rPr>
          <w:rFonts w:eastAsia="IRNazanin" w:cs="IRNazanin"/>
          <w:color w:val="111111"/>
          <w:sz w:val="28"/>
          <w:szCs w:val="28"/>
          <w:rtl w:val="true"/>
          <w:lang w:bidi="fa-IR"/>
        </w:rPr>
        <w:t xml:space="preserve">. </w:t>
      </w:r>
      <w:bookmarkStart w:id="778" w:name="pg14387_143840"/>
    </w:p>
    <w:p>
      <w:pPr>
        <w:pStyle w:val="BookText"/>
        <w:rPr/>
      </w:pPr>
      <w:bookmarkEnd w:id="778"/>
      <w:r>
        <w:rPr>
          <w:rFonts w:ascii="IRNazanin" w:hAnsi="IRNazanin" w:eastAsia="IRNazanin"/>
          <w:color w:val="111111"/>
          <w:sz w:val="28"/>
          <w:sz w:val="28"/>
          <w:szCs w:val="28"/>
          <w:rtl w:val="true"/>
          <w:lang w:bidi="fa-IR"/>
        </w:rPr>
        <w:t>اصطلاح تناسخ به انتقال روح در همین جهان و تردد آن در ابدان گوناگون نظر دارد؛ بنابراین، معاد و تناسخ، هر یک دارای ملاکهای متفاوتی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در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روح به عالم دیگر است و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روح در همین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جهان دیگر در مسئله معاد، در طول این عالم است و در تناسخ، طولی بودن دو عالم و تعدد آنها معتبر نمی باشد</w:t>
      </w:r>
      <w:r>
        <w:rPr>
          <w:rFonts w:eastAsia="IRNazanin" w:cs="IRNazanin"/>
          <w:color w:val="111111"/>
          <w:sz w:val="28"/>
          <w:szCs w:val="28"/>
          <w:rtl w:val="true"/>
          <w:lang w:bidi="fa-IR"/>
        </w:rPr>
        <w:t>.</w:t>
      </w:r>
      <w:r>
        <w:rPr>
          <w:rStyle w:val="FootnoteAnchor"/>
          <w:rtl w:val="true"/>
        </w:rPr>
        <w:footnoteReference w:id="859"/>
      </w:r>
    </w:p>
    <w:p>
      <w:pPr>
        <w:pStyle w:val="Heading5"/>
        <w:numPr>
          <w:ilvl w:val="4"/>
          <w:numId w:val="1"/>
        </w:numPr>
        <w:rPr/>
      </w:pPr>
      <w:bookmarkStart w:id="779" w:name="__RefHeading___Toc7812682_3381743652"/>
      <w:bookmarkStart w:id="780" w:name="_Toc300"/>
      <w:bookmarkEnd w:id="779"/>
      <w:r>
        <w:rPr>
          <w:rtl w:val="true"/>
        </w:rPr>
        <w:t>ب</w:t>
      </w:r>
      <w:r>
        <w:rPr>
          <w:rtl w:val="true"/>
        </w:rPr>
        <w:t xml:space="preserve">) </w:t>
      </w:r>
      <w:r>
        <w:rPr>
          <w:rtl w:val="true"/>
        </w:rPr>
        <w:t>مسخ</w:t>
      </w:r>
      <w:bookmarkEnd w:id="780"/>
    </w:p>
    <w:p>
      <w:pPr>
        <w:pStyle w:val="BookText"/>
        <w:rPr/>
      </w:pPr>
      <w:r>
        <w:rPr>
          <w:rFonts w:ascii="IRNazanin" w:hAnsi="IRNazanin" w:eastAsia="IRNazanin"/>
          <w:color w:val="111111"/>
          <w:sz w:val="28"/>
          <w:sz w:val="28"/>
          <w:szCs w:val="28"/>
          <w:rtl w:val="true"/>
          <w:lang w:bidi="fa-IR"/>
        </w:rPr>
        <w:t>مسخ عبارت است از تبدیل شدن انسان به حیوان، که آیاتی از قرآن به طور صریح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تبدیل شدن انسانهایی به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و خرس خبر داده است</w:t>
      </w:r>
      <w:r>
        <w:rPr>
          <w:rFonts w:eastAsia="IRNazanin" w:cs="IRNazanin"/>
          <w:color w:val="111111"/>
          <w:sz w:val="28"/>
          <w:szCs w:val="28"/>
          <w:rtl w:val="true"/>
          <w:lang w:bidi="fa-IR"/>
        </w:rPr>
        <w:t>.</w:t>
      </w:r>
      <w:r>
        <w:rPr>
          <w:rStyle w:val="FootnoteAnchor"/>
          <w:rtl w:val="true"/>
        </w:rPr>
        <w:footnoteReference w:id="860"/>
      </w:r>
      <w:r>
        <w:rPr>
          <w:rFonts w:ascii="IRNazanin" w:hAnsi="IRNazanin" w:eastAsia="IRNazanin"/>
          <w:color w:val="111111"/>
          <w:sz w:val="28"/>
          <w:sz w:val="28"/>
          <w:szCs w:val="28"/>
          <w:rtl w:val="true"/>
          <w:lang w:bidi="fa-IR"/>
        </w:rPr>
        <w:t>اگر تبدیل شدن انسان را به حیوان، مسخ بنامیم، پرسشی که مطرح می شود، آن است که چه تفاوتی بین این معنی و تناسخ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بر دو پایه استوار است که هیچ یک در مسخ وجود ندارد نخست، تعدد بدن؛ در تناسخ، دو بدن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که روح از آن جدا می شود و بدنی که روح پس از جدایی از بدن اولیه به آن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بازگشت نفس انسانی از کمالی که واجد آن است و رسیدن به حدی که بدن دوم، مناسب آن است</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پایه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مسخ نیست؛ زیرا انسانی که مورد غضب واقع شده و به حیوانی تبدیل شده است، با همان بدن اولی مسخ شده است و صورت انسانی اش به صورت میمون یا خرس در آمده است؛</w:t>
      </w:r>
      <w:r>
        <w:rPr>
          <w:rStyle w:val="FootnoteAnchor"/>
          <w:rtl w:val="true"/>
        </w:rPr>
        <w:footnoteReference w:id="862"/>
      </w:r>
      <w:r>
        <w:rPr>
          <w:rFonts w:ascii="IRNazanin" w:hAnsi="IRNazanin" w:eastAsia="IRNazanin"/>
          <w:color w:val="111111"/>
          <w:sz w:val="28"/>
          <w:sz w:val="28"/>
          <w:szCs w:val="28"/>
          <w:rtl w:val="true"/>
          <w:lang w:bidi="fa-IR"/>
        </w:rPr>
        <w:t>پس در این جا دو بدن وجود ندارد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اصل دیگر نیز در مسخ وجود ندارد؛ زیرا در مسخ، نفس ممسوخ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مسخ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خود باقی است تا با دیدن صورت جدید، دچار رنج و عذاب گردد، والا اگر نفس انسانی به نفس میمون یا خرس تبدیل می شد، در این صورت، او حقیقتأ حیوان بود </w:t>
      </w:r>
      <w:bookmarkStart w:id="781" w:name="pg14387_143841"/>
    </w:p>
    <w:p>
      <w:pPr>
        <w:pStyle w:val="BookText"/>
        <w:rPr/>
      </w:pPr>
      <w:bookmarkEnd w:id="781"/>
      <w:r>
        <w:rPr>
          <w:rFonts w:ascii="IRNazanin" w:hAnsi="IRNazanin" w:eastAsia="IRNazanin"/>
          <w:color w:val="111111"/>
          <w:sz w:val="28"/>
          <w:sz w:val="28"/>
          <w:szCs w:val="28"/>
          <w:rtl w:val="true"/>
          <w:lang w:bidi="fa-IR"/>
        </w:rPr>
        <w:t>و عقاب و عذاب در حق او بی معنی میگشت</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بنابراین، این که نفس به حال خود باقی باشد و صورت بدن تغییر کند، مسخ است و تفاوت زیادی با موضوع بحث ما که تناسخ است، دارد</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فالممسوخ من الإنسان، إنسان ممسوخ لا أنه ممسوخ فاقد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انسانی که مسخ می شود، انسانیتش به حال خود باقی است، نه این که او با مسخ، از انسانیت خارج شود</w:t>
      </w:r>
      <w:r>
        <w:rPr>
          <w:rFonts w:eastAsia="IRNazanin" w:cs="IRNazanin"/>
          <w:color w:val="111111"/>
          <w:sz w:val="28"/>
          <w:szCs w:val="28"/>
          <w:rtl w:val="true"/>
          <w:lang w:bidi="fa-IR"/>
        </w:rPr>
        <w:t>.</w:t>
      </w:r>
    </w:p>
    <w:p>
      <w:pPr>
        <w:pStyle w:val="Heading5"/>
        <w:numPr>
          <w:ilvl w:val="4"/>
          <w:numId w:val="1"/>
        </w:numPr>
        <w:rPr/>
      </w:pPr>
      <w:bookmarkStart w:id="782" w:name="__RefHeading___Toc7812684_3381743652"/>
      <w:bookmarkStart w:id="783" w:name="_Toc301"/>
      <w:bookmarkEnd w:id="782"/>
      <w:r>
        <w:rPr>
          <w:rtl w:val="true"/>
        </w:rPr>
        <w:t>ج</w:t>
      </w:r>
      <w:r>
        <w:rPr>
          <w:rtl w:val="true"/>
        </w:rPr>
        <w:t xml:space="preserve">) </w:t>
      </w:r>
      <w:r>
        <w:rPr>
          <w:rtl w:val="true"/>
        </w:rPr>
        <w:t>رجعت</w:t>
      </w:r>
      <w:bookmarkEnd w:id="783"/>
    </w:p>
    <w:p>
      <w:pPr>
        <w:pStyle w:val="BookText"/>
        <w:rPr/>
      </w:pPr>
      <w:r>
        <w:rPr>
          <w:rFonts w:ascii="IRNazanin" w:hAnsi="IRNazanin" w:eastAsia="IRNazanin"/>
          <w:color w:val="111111"/>
          <w:sz w:val="28"/>
          <w:sz w:val="28"/>
          <w:szCs w:val="28"/>
          <w:rtl w:val="true"/>
          <w:lang w:bidi="fa-IR"/>
        </w:rPr>
        <w:t>رجعت در لغت به معنای بازگشت و در اصطلاح، عبارت است از بازگشت زندگی و حیات به گروهی از مردگان، بعد از نهضت جهانی حضرت مهدی علیه السلام</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رجعت، یکی از اعتقادات شیعه است که دلایل فراوان بر اثبات آن وجود دارد</w:t>
      </w:r>
      <w:r>
        <w:rPr>
          <w:rStyle w:val="FootnoteAnchor"/>
          <w:rtl w:val="true"/>
        </w:rPr>
        <w:footnoteReference w:id="867"/>
      </w:r>
      <w:r>
        <w:rPr>
          <w:rFonts w:ascii="IRNazanin" w:hAnsi="IRNazanin" w:eastAsia="IRNazanin"/>
          <w:color w:val="111111"/>
          <w:sz w:val="28"/>
          <w:sz w:val="28"/>
          <w:szCs w:val="28"/>
          <w:rtl w:val="true"/>
          <w:lang w:bidi="fa-IR"/>
        </w:rPr>
        <w:t>و هرگز نمی توان آن را باتناسخ، یکی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نیز روشن است؛ زیرا چنان که اشاره کردیم، در تناسخ، دو امر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بدن و تنزل نفس از کمالی که واجد آن بوده است و هیچ کدام از این دو، در رجعت موجود نیست؛ چرا که در رجعت، اولا، نفس به همان بدن نخستین برمی گردد و هرگز دو بدن مطرح نیست و ثانیة، نفس، واجد کمال پیشین خود است و آن را از دست نمی دهد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گذشت، شیخ طوسی در ذیل آیه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سوره آل عمران، پس از اثبات رجعت، با استناد به این آیه شریفه، تصریح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رجعتی که اهل تناسخ به آن معتقدند، کاملا نادرست است و ما با دلایل گوناگون، آن را باطل ساخته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شیخ، به طور روشن، تفاوت بین تناسخ و رجعت را بیان می کند</w:t>
      </w:r>
      <w:r>
        <w:rPr>
          <w:rFonts w:eastAsia="IRNazanin" w:cs="IRNazanin"/>
          <w:color w:val="111111"/>
          <w:sz w:val="28"/>
          <w:szCs w:val="28"/>
          <w:rtl w:val="true"/>
          <w:lang w:bidi="fa-IR"/>
        </w:rPr>
        <w:t>.</w:t>
      </w:r>
      <w:r>
        <w:rPr>
          <w:rStyle w:val="FootnoteAnchor"/>
          <w:rtl w:val="true"/>
        </w:rPr>
        <w:footnoteReference w:id="868"/>
      </w:r>
      <w:bookmarkStart w:id="784" w:name="pg14387_143842"/>
    </w:p>
    <w:p>
      <w:pPr>
        <w:pStyle w:val="Heading2"/>
        <w:numPr>
          <w:ilvl w:val="1"/>
          <w:numId w:val="1"/>
        </w:numPr>
        <w:rPr/>
      </w:pPr>
      <w:bookmarkStart w:id="785" w:name="__RefHeading___Toc7812686_3381743652"/>
      <w:bookmarkStart w:id="786" w:name="_Toc302"/>
      <w:bookmarkEnd w:id="784"/>
      <w:bookmarkEnd w:id="785"/>
      <w:r>
        <w:rPr>
          <w:rtl w:val="true"/>
        </w:rPr>
        <w:t>قاعده لطف</w:t>
      </w:r>
      <w:bookmarkEnd w:id="786"/>
    </w:p>
    <w:p>
      <w:pPr>
        <w:pStyle w:val="Heading3"/>
        <w:numPr>
          <w:ilvl w:val="2"/>
          <w:numId w:val="1"/>
        </w:numPr>
        <w:rPr/>
      </w:pPr>
      <w:bookmarkStart w:id="787" w:name="__RefHeading___Toc7812688_3381743652"/>
      <w:bookmarkStart w:id="788" w:name="_Toc303"/>
      <w:bookmarkEnd w:id="787"/>
      <w:r>
        <w:rPr>
          <w:rtl w:val="true"/>
        </w:rPr>
        <w:t>پیشگفتار</w:t>
      </w:r>
      <w:bookmarkEnd w:id="788"/>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قواعد مهم و کاربردی در کلام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بعد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بنیادی ترین قواعد کلامی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گسترۀ قاعدة لطف در نزد شیعه آشکار است و از آن در اثبات مسائل مهمی چون نبوت، امامت،</w:t>
      </w:r>
    </w:p>
    <w:p>
      <w:pPr>
        <w:pStyle w:val="BookText"/>
        <w:rPr/>
      </w:pPr>
      <w:r>
        <w:rPr>
          <w:rFonts w:ascii="IRNazanin" w:hAnsi="IRNazanin" w:eastAsia="IRNazanin"/>
          <w:color w:val="111111"/>
          <w:sz w:val="28"/>
          <w:sz w:val="28"/>
          <w:szCs w:val="28"/>
          <w:rtl w:val="true"/>
          <w:lang w:bidi="fa-IR"/>
        </w:rPr>
        <w:t>عصمت، وعد و وعید، آلام ابتدایی و حجیت اجماع بهره جسته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متکلمان شیعه، این قاعده را پذیرفته اند و ابوجعفر، محمد بن حسن طوسی، معروف به شیخ الطایفه نیز اهتمام وافری در کتب مهم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عدة الاصول، الغیبة، تمهید الاصول، تفسیر تبیان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مباحث متعلق به آن داشته، در مناسبتهای</w:t>
      </w:r>
    </w:p>
    <w:p>
      <w:pPr>
        <w:pStyle w:val="BookText"/>
        <w:rPr/>
      </w:pPr>
      <w:r>
        <w:rPr>
          <w:rFonts w:ascii="IRNazanin" w:hAnsi="IRNazanin" w:eastAsia="IRNazanin"/>
          <w:color w:val="111111"/>
          <w:sz w:val="28"/>
          <w:sz w:val="28"/>
          <w:szCs w:val="28"/>
          <w:rtl w:val="true"/>
          <w:lang w:bidi="fa-IR"/>
        </w:rPr>
        <w:t>مختلف، از آن سخن گفته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تلاش این محقق، متکلم، فقیه و مفسر بزرگ شیعی، میراث عظیمی از معارف را برای ما به جای گذاشته است و اکنون محافل علمی، بویژه حوزه های علمیه، بر این خوان گسترده نشسته اند و تلاش برای فهم و ارائه اندیشه های ناب او وظیفه ای سترگ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مستمر، تهذیب، پالایش و گسترش اندیشه های کلامی وی، </w:t>
      </w:r>
      <w:bookmarkStart w:id="789" w:name="pg14387_143843"/>
    </w:p>
    <w:p>
      <w:pPr>
        <w:pStyle w:val="BookText"/>
        <w:rPr/>
      </w:pPr>
      <w:bookmarkEnd w:id="789"/>
      <w:r>
        <w:rPr>
          <w:rFonts w:ascii="IRNazanin" w:hAnsi="IRNazanin" w:eastAsia="IRNazanin"/>
          <w:color w:val="111111"/>
          <w:sz w:val="28"/>
          <w:sz w:val="28"/>
          <w:szCs w:val="28"/>
          <w:rtl w:val="true"/>
          <w:lang w:bidi="fa-IR"/>
        </w:rPr>
        <w:t>بایستهای انکارناپذیر است؛ چرا که تداوم و تکامل هر علمی، وامدار اندیشه های ارزشمند گذشتگان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شایسته است قاعده یاد شده را از دیدگاه متکلمان، بویژه شیخ طوسی به نحو مستوفی مورد تحقیق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عناوین و موضوعات زیر را مورد تحقیق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در لغت، اقسام لطف، شرایط لطف، قاعده اصلح، دلایل قاعده الطف، نقد و بررسی شبهه ها، تاریخچه قاعده لطف و نظریه شیخ طوسی، مقایسه اندیشه لطف از نگاه مسیحیان و شیخ طوسی، مصادیق قاعده لطف</w:t>
      </w:r>
      <w:r>
        <w:rPr>
          <w:rFonts w:eastAsia="IRNazanin" w:cs="IRNazanin"/>
          <w:color w:val="111111"/>
          <w:sz w:val="28"/>
          <w:szCs w:val="28"/>
          <w:rtl w:val="true"/>
          <w:lang w:bidi="fa-IR"/>
        </w:rPr>
        <w:t>.</w:t>
      </w:r>
    </w:p>
    <w:p>
      <w:pPr>
        <w:pStyle w:val="Heading3"/>
        <w:numPr>
          <w:ilvl w:val="2"/>
          <w:numId w:val="1"/>
        </w:numPr>
        <w:rPr/>
      </w:pPr>
      <w:bookmarkStart w:id="790" w:name="__RefHeading___Toc7812690_3381743652"/>
      <w:bookmarkStart w:id="791" w:name="_Toc304"/>
      <w:bookmarkEnd w:id="790"/>
      <w:r>
        <w:rPr>
          <w:rtl w:val="true"/>
        </w:rPr>
        <w:t>چیستی لطف</w:t>
      </w:r>
      <w:bookmarkEnd w:id="791"/>
    </w:p>
    <w:p>
      <w:pPr>
        <w:pStyle w:val="Heading4"/>
        <w:numPr>
          <w:ilvl w:val="3"/>
          <w:numId w:val="1"/>
        </w:numPr>
        <w:rPr/>
      </w:pPr>
      <w:bookmarkStart w:id="792" w:name="__RefHeading___Toc7812692_3381743652"/>
      <w:bookmarkStart w:id="793" w:name="_Toc305"/>
      <w:bookmarkEnd w:id="792"/>
      <w:r>
        <w:rPr>
          <w:rtl w:val="true"/>
        </w:rPr>
        <w:t>لطف در لغت</w:t>
      </w:r>
      <w:bookmarkEnd w:id="793"/>
    </w:p>
    <w:p>
      <w:pPr>
        <w:pStyle w:val="Heading5"/>
        <w:numPr>
          <w:ilvl w:val="4"/>
          <w:numId w:val="1"/>
        </w:numPr>
        <w:rPr/>
      </w:pPr>
      <w:bookmarkStart w:id="794" w:name="__RefHeading___Toc7812694_3381743652"/>
      <w:bookmarkStart w:id="795" w:name="_Toc306"/>
      <w:bookmarkEnd w:id="794"/>
      <w:r>
        <w:rPr>
          <w:rtl w:val="true"/>
        </w:rPr>
        <w:t>اشاره</w:t>
      </w:r>
      <w:bookmarkEnd w:id="795"/>
    </w:p>
    <w:p>
      <w:pPr>
        <w:pStyle w:val="BookText"/>
        <w:rPr/>
      </w:pPr>
      <w:r>
        <w:rPr>
          <w:rFonts w:ascii="IRNazanin" w:hAnsi="IRNazanin" w:eastAsia="IRNazanin"/>
          <w:color w:val="111111"/>
          <w:sz w:val="28"/>
          <w:sz w:val="28"/>
          <w:szCs w:val="28"/>
          <w:rtl w:val="true"/>
          <w:lang w:bidi="fa-IR"/>
        </w:rPr>
        <w:t xml:space="preserve">واژه لطف،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معانی گوناگون دارد که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مهربانی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 و لطیف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کوچکی و 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 و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و نزدیک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معجم مقاییس اللغه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اصل آن دلالت بر مدارا و رفق دارد و اصل دیگر آن دلالت بر کوچکی چیزی دارد؛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مدارای در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لطیف بعباده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رؤوف، رفیق</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راغب اصفهانی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لطیف وقتی به جسم گفته شود، ضد ثقیل و سنگینی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حرکت خفیف و دادوستد امور دقیق شده است، گاه چیزهایی که حواس ظاهر از درک آن عاجزند لطیف تعبیر می شود، از همین روی توصیف خداوند به لطیف صحیح است و از آن جهت که خداوند بر دقایق امور آگاه و مهربانی او بر هدایت بندگانش می باشد نیز لطیف گفته می شود</w:t>
      </w:r>
      <w:r>
        <w:rPr>
          <w:rFonts w:eastAsia="IRNazanin" w:cs="IRNazanin"/>
          <w:color w:val="111111"/>
          <w:sz w:val="28"/>
          <w:szCs w:val="28"/>
          <w:rtl w:val="true"/>
          <w:lang w:bidi="fa-IR"/>
        </w:rPr>
        <w:t>.</w:t>
      </w:r>
      <w:r>
        <w:rPr>
          <w:rStyle w:val="FootnoteAnchor"/>
          <w:rtl w:val="true"/>
        </w:rPr>
        <w:footnoteReference w:id="87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لطیف به معنای مهربان و رفیق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علاوه بر مدارای در عمل، به معنای نیکی کردن و احسان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المعجم الوسیط چنین آمده است</w:t>
      </w:r>
      <w:r>
        <w:rPr>
          <w:rFonts w:eastAsia="IRNazanin" w:cs="IRNazanin"/>
          <w:color w:val="111111"/>
          <w:sz w:val="28"/>
          <w:szCs w:val="28"/>
          <w:rtl w:val="true"/>
          <w:lang w:bidi="fa-IR"/>
        </w:rPr>
        <w:t xml:space="preserve">: </w:t>
      </w:r>
      <w:bookmarkStart w:id="796" w:name="pg14387_143844"/>
    </w:p>
    <w:p>
      <w:pPr>
        <w:pStyle w:val="BookText"/>
        <w:rPr/>
      </w:pPr>
      <w:bookmarkEnd w:id="796"/>
      <w:r>
        <w:rPr>
          <w:rFonts w:ascii="IRNazanin" w:hAnsi="IRNazanin" w:eastAsia="IRNazanin"/>
          <w:color w:val="111111"/>
          <w:sz w:val="28"/>
          <w:sz w:val="28"/>
          <w:szCs w:val="28"/>
          <w:rtl w:val="true"/>
          <w:lang w:bidi="fa-IR"/>
        </w:rPr>
        <w:t>قاعده لطف</w:t>
      </w:r>
    </w:p>
    <w:p>
      <w:pPr>
        <w:pStyle w:val="BookText"/>
        <w:rPr/>
      </w:pPr>
      <w:r>
        <w:rPr>
          <w:rFonts w:ascii="IRNazanin" w:hAnsi="IRNazanin" w:eastAsia="IRNazanin"/>
          <w:color w:val="111111"/>
          <w:sz w:val="28"/>
          <w:sz w:val="28"/>
          <w:szCs w:val="28"/>
          <w:rtl w:val="true"/>
          <w:lang w:bidi="fa-IR"/>
        </w:rPr>
        <w:t>اللطف من 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عصمت، مدارا کردن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که از اسماء حسنای خدای تبارک و تعالی است، به معنای بر و رفیق نسبت به بندگان و عالم به دقایق امور و آگاهی به غوامض و امور پنهان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رفیق است؛ همان طور که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جسم لطیف است</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اما درباره معنای لطف در زبان انگلیسی و فرانسوی، در دائرة المعارف دین و فرهنگ آکسفورد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انگلیسی و فرانسوی، معادل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از دو کلمه لاتین </w:t>
      </w:r>
      <w:r>
        <w:rPr>
          <w:rFonts w:eastAsia="Times New Roman" w:cs="Times New Roman" w:ascii="Times New Roman" w:hAnsi="Times New Roman"/>
          <w:color w:val="111111"/>
          <w:sz w:val="28"/>
          <w:szCs w:val="28"/>
          <w:lang w:val="en-US" w:bidi="en-US"/>
        </w:rPr>
        <w:t>gratia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یونانی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charis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شده و این واژه در جهان مسیحیت بار معنوی زیادی دارد و معنای لغوی آن، عنایت خدای متعال نسبت به بشر است و شامل</w:t>
      </w:r>
    </w:p>
    <w:p>
      <w:pPr>
        <w:pStyle w:val="BookText"/>
        <w:rPr/>
      </w:pPr>
      <w:r>
        <w:rPr>
          <w:rFonts w:ascii="IRNazanin" w:hAnsi="IRNazanin" w:eastAsia="IRNazanin"/>
          <w:color w:val="111111"/>
          <w:sz w:val="28"/>
          <w:sz w:val="28"/>
          <w:szCs w:val="28"/>
          <w:rtl w:val="true"/>
          <w:lang w:bidi="fa-IR"/>
        </w:rPr>
        <w:t>نیرویی که خدا می دهد و باعث آمرزش گناهان و سعادت انسان است، می شود</w:t>
      </w:r>
      <w:r>
        <w:rPr>
          <w:rFonts w:eastAsia="IRNazanin" w:cs="IRNazanin"/>
          <w:color w:val="111111"/>
          <w:sz w:val="28"/>
          <w:szCs w:val="28"/>
          <w:rtl w:val="true"/>
          <w:lang w:bidi="fa-IR"/>
        </w:rPr>
        <w:t>.</w:t>
      </w:r>
      <w:r>
        <w:rPr>
          <w:rStyle w:val="FootnoteAnchor"/>
          <w:rtl w:val="true"/>
        </w:rPr>
        <w:footnoteReference w:id="872"/>
      </w:r>
    </w:p>
    <w:p>
      <w:pPr>
        <w:pStyle w:val="Heading5"/>
        <w:numPr>
          <w:ilvl w:val="4"/>
          <w:numId w:val="1"/>
        </w:numPr>
        <w:rPr/>
      </w:pPr>
      <w:bookmarkStart w:id="797" w:name="__RefHeading___Toc7812696_3381743652"/>
      <w:bookmarkStart w:id="798" w:name="_Toc307"/>
      <w:bookmarkEnd w:id="797"/>
      <w:r>
        <w:rPr>
          <w:rtl w:val="true"/>
        </w:rPr>
        <w:t>واژه لطف در نزد مفسران</w:t>
      </w:r>
      <w:bookmarkEnd w:id="798"/>
    </w:p>
    <w:p>
      <w:pPr>
        <w:pStyle w:val="BookText"/>
        <w:rPr/>
      </w:pPr>
      <w:r>
        <w:rPr>
          <w:rFonts w:ascii="IRNazanin" w:hAnsi="IRNazanin" w:eastAsia="IRNazanin"/>
          <w:color w:val="111111"/>
          <w:sz w:val="28"/>
          <w:sz w:val="28"/>
          <w:szCs w:val="28"/>
          <w:rtl w:val="true"/>
          <w:lang w:bidi="fa-IR"/>
        </w:rPr>
        <w:t>امام فخر رازی چهار وجه برای لطیف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لطیف به چیزی گفته می شود که در نهایت کوچکی است و از این روی ادراک نمی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تنزیهیه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یعنی عالم به دقایق امور و پیچیدگیهای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کسی است که به بندگان نیکی میکند و از حیثی که آنها نمی دانند، به آنها لطف دارد و امورشان را مهیا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کسی است که عالم به امور و پیچیدگیهای آن است و سپس با رفق و مدارا و بدون عنف مصالح بندگان را به آنها می رساند</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مرحوم طبرسی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الطیف معانی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لطیف التدبیر در امور خلق و جهان، خدایی که زیاد دهد و کم شمرد، خدایی که اگر او را بخوانی، خود را ملزم به انجام آن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یعنی خدا نسبت به بندگان، نعمت فراوان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کسی است که اگر به او</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افتخار کنند، عزیز گرداند و حاجت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یعنی در عطای او خیر و در منع او ذخیره است</w:t>
      </w:r>
      <w:r>
        <w:rPr>
          <w:rFonts w:eastAsia="IRNazanin" w:cs="IRNazanin"/>
          <w:color w:val="111111"/>
          <w:sz w:val="28"/>
          <w:szCs w:val="28"/>
          <w:rtl w:val="true"/>
          <w:lang w:bidi="fa-IR"/>
        </w:rPr>
        <w:t>.</w:t>
      </w:r>
      <w:r>
        <w:rPr>
          <w:rStyle w:val="FootnoteAnchor"/>
          <w:rtl w:val="true"/>
        </w:rPr>
        <w:footnoteReference w:id="874"/>
      </w:r>
      <w:bookmarkStart w:id="799" w:name="pg14387_143845"/>
    </w:p>
    <w:p>
      <w:pPr>
        <w:pStyle w:val="Heading4"/>
        <w:numPr>
          <w:ilvl w:val="3"/>
          <w:numId w:val="1"/>
        </w:numPr>
        <w:rPr/>
      </w:pPr>
      <w:bookmarkStart w:id="800" w:name="__RefHeading___Toc7812698_3381743652"/>
      <w:bookmarkStart w:id="801" w:name="_Toc308"/>
      <w:bookmarkEnd w:id="799"/>
      <w:bookmarkEnd w:id="800"/>
      <w:r>
        <w:rPr>
          <w:rtl w:val="true"/>
        </w:rPr>
        <w:t>لطف در اصطلاح</w:t>
      </w:r>
      <w:bookmarkEnd w:id="801"/>
    </w:p>
    <w:p>
      <w:pPr>
        <w:pStyle w:val="Heading5"/>
        <w:numPr>
          <w:ilvl w:val="4"/>
          <w:numId w:val="1"/>
        </w:numPr>
        <w:rPr/>
      </w:pPr>
      <w:bookmarkStart w:id="802" w:name="__RefHeading___Toc7812700_3381743652"/>
      <w:bookmarkStart w:id="803" w:name="_Toc309"/>
      <w:bookmarkEnd w:id="802"/>
      <w:r>
        <w:rPr>
          <w:rtl w:val="true"/>
        </w:rPr>
        <w:t>اشاره</w:t>
      </w:r>
      <w:bookmarkEnd w:id="803"/>
    </w:p>
    <w:p>
      <w:pPr>
        <w:pStyle w:val="BookText"/>
        <w:rPr/>
      </w:pPr>
      <w:r>
        <w:rPr>
          <w:rFonts w:ascii="IRNazanin" w:hAnsi="IRNazanin" w:eastAsia="IRNazanin"/>
          <w:color w:val="111111"/>
          <w:sz w:val="28"/>
          <w:sz w:val="28"/>
          <w:szCs w:val="28"/>
          <w:rtl w:val="true"/>
          <w:lang w:bidi="fa-IR"/>
        </w:rPr>
        <w:t>شیخ طوسی در کتب خویش، لطف را این گونه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اللطف فی عرف المتکلمین عبارة عما یدعو إلی فعل واجب أو یصرف عن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در عرف متکلمان عبارت است از آنچه مکلف را به انجام فعل واجب بخواند و از قبیح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ضمن این که قاعده لطف را می پذیرد، مدلول آن را بسیار گسترده می داند که هرگونه مقدمه برای هر نوع تقرب انسان به طاعت و دوری از معصیت را می رساند؛ یعنی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در نزد ایشان عبارت است از مهیا کردن هرگونه مقدمات و دور ساختن هرگونه موانع از سر راه تکلیفی که عقل انسان، خود را ملزم به آن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به لطف مقرب است، گرچه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طاعت منجر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لطف محصلی را که به ترک معصیت بینجامد،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صاحب یاقوت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امری است که خدای متعال نسبت به مکلف انجام می دهد و مستلزم ضرر نمی باشد و از طاعت مکلف، تحقق لطف معلوم می گردد و اگر لطف نبود، وی اطاعت نمیکرد</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شیخ مفید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الطف آن است که مکلف را به اطاعت، نزدیک و از معصیت، دور سازد و نقشی در اصل تمکین و تواناساختن مکلف نداشته باشد و به حد الجا نرسد</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قاضی عبدالجبار معتزلی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الطف عبارت است از آنچه به واسطه آن، انسان واجب را اختیار می کند و از قبیح دوری می کند و یا به انجام واجب و ترک قبیح نزدیک می شود</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سید مرتضی گوید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الطف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و مقرب؛ یعنی یا مکلف به واسطه آن به طاعت می رسد و اگر لطف نبود، آن را اختیار نمی کرد، یا آن که مکلف به واسطه آن، به </w:t>
      </w:r>
      <w:bookmarkStart w:id="804" w:name="pg14387_143846"/>
    </w:p>
    <w:p>
      <w:pPr>
        <w:pStyle w:val="BookText"/>
        <w:rPr/>
      </w:pPr>
      <w:bookmarkEnd w:id="804"/>
      <w:r>
        <w:rPr>
          <w:rFonts w:ascii="IRNazanin" w:hAnsi="IRNazanin" w:eastAsia="IRNazanin"/>
          <w:color w:val="111111"/>
          <w:sz w:val="28"/>
          <w:sz w:val="28"/>
          <w:szCs w:val="28"/>
          <w:rtl w:val="true"/>
          <w:lang w:bidi="fa-IR"/>
        </w:rPr>
        <w:t>اختیار، به طاعت نزدیک گردد</w:t>
      </w:r>
      <w:r>
        <w:rPr>
          <w:rFonts w:eastAsia="IRNazanin" w:cs="IRNazanin"/>
          <w:color w:val="111111"/>
          <w:sz w:val="28"/>
          <w:szCs w:val="28"/>
          <w:rtl w:val="true"/>
          <w:lang w:bidi="fa-IR"/>
        </w:rPr>
        <w:t>.</w:t>
      </w:r>
      <w:r>
        <w:rPr>
          <w:rStyle w:val="FootnoteAnchor"/>
          <w:rtl w:val="true"/>
        </w:rPr>
        <w:footnoteReference w:id="879"/>
      </w:r>
    </w:p>
    <w:p>
      <w:pPr>
        <w:pStyle w:val="Heading5"/>
        <w:numPr>
          <w:ilvl w:val="4"/>
          <w:numId w:val="1"/>
        </w:numPr>
        <w:rPr/>
      </w:pPr>
      <w:bookmarkStart w:id="805" w:name="__RefHeading___Toc7812702_3381743652"/>
      <w:bookmarkStart w:id="806" w:name="_Toc310"/>
      <w:bookmarkEnd w:id="805"/>
      <w:r>
        <w:rPr>
          <w:rtl w:val="true"/>
        </w:rPr>
        <w:t>فرق لطف محصل و مقرب</w:t>
      </w:r>
      <w:bookmarkEnd w:id="806"/>
    </w:p>
    <w:p>
      <w:pPr>
        <w:pStyle w:val="BookText"/>
        <w:rPr/>
      </w:pPr>
      <w:r>
        <w:rPr>
          <w:rFonts w:ascii="IRNazanin" w:hAnsi="IRNazanin" w:eastAsia="IRNazanin"/>
          <w:color w:val="111111"/>
          <w:sz w:val="28"/>
          <w:sz w:val="28"/>
          <w:szCs w:val="28"/>
          <w:rtl w:val="true"/>
          <w:lang w:bidi="fa-IR"/>
        </w:rPr>
        <w:t>همان طور که پیداست، بیشتر متکلمان قبل از سید مرتضی، یک لطف را مطرح کرده اند، ولی سید مرتضی قائل به لطف مقرب و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لطف مقرب، انسان فقط به طاعت، نزدیک و از معصیت، دور می شود، ولی لطف محصل زمانی است که مکلف،</w:t>
      </w:r>
    </w:p>
    <w:p>
      <w:pPr>
        <w:pStyle w:val="BookText"/>
        <w:rPr/>
      </w:pPr>
      <w:r>
        <w:rPr>
          <w:rFonts w:ascii="IRNazanin" w:hAnsi="IRNazanin" w:eastAsia="IRNazanin"/>
          <w:color w:val="111111"/>
          <w:sz w:val="28"/>
          <w:sz w:val="28"/>
          <w:szCs w:val="28"/>
          <w:rtl w:val="true"/>
          <w:lang w:bidi="fa-IR"/>
        </w:rPr>
        <w:t>فعل طاعت را اختیار کند و از معصیت دوری جوید؛ این معنی پس از عمل روشن می شود که لطف محصل بوده است؛ یعنی یکی محصل تکلیف است و دیگری مقرب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بجز سید مرتضی، قاضی عبدالجبار و علامه حلی و تفتازانی نیز قائل به لطف مقرب و محصل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طوسی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آن است که مکلف را به طاعت، نزدیک، و از گناه، دور سازد؛ به شرط آن که موجب اجبار وی نگردد</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ملانظرعلی طالقانی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چیزی است که مکلف را به سوی طاعت نزدیک و از معصیت دور نماید و به حد الجا و اضطرار نرسد؛ یعنی اختیار مکلف باقی بماند</w:t>
      </w:r>
      <w:r>
        <w:rPr>
          <w:rFonts w:eastAsia="IRNazanin" w:cs="IRNazanin"/>
          <w:color w:val="111111"/>
          <w:sz w:val="28"/>
          <w:szCs w:val="28"/>
          <w:rtl w:val="true"/>
          <w:lang w:bidi="fa-IR"/>
        </w:rPr>
        <w:t>».</w:t>
      </w:r>
      <w:r>
        <w:rPr>
          <w:rStyle w:val="FootnoteAnchor"/>
          <w:rtl w:val="true"/>
        </w:rPr>
        <w:footnoteReference w:id="881"/>
      </w:r>
    </w:p>
    <w:p>
      <w:pPr>
        <w:pStyle w:val="Heading3"/>
        <w:numPr>
          <w:ilvl w:val="2"/>
          <w:numId w:val="1"/>
        </w:numPr>
        <w:rPr/>
      </w:pPr>
      <w:bookmarkStart w:id="807" w:name="__RefHeading___Toc7812704_3381743652"/>
      <w:bookmarkStart w:id="808" w:name="_Toc311"/>
      <w:bookmarkEnd w:id="807"/>
      <w:r>
        <w:rPr>
          <w:rtl w:val="true"/>
        </w:rPr>
        <w:t xml:space="preserve">لطف در متون دینی </w:t>
      </w:r>
      <w:r>
        <w:rPr>
          <w:rtl w:val="true"/>
        </w:rPr>
        <w:t>(</w:t>
      </w:r>
      <w:r>
        <w:rPr>
          <w:rtl w:val="true"/>
        </w:rPr>
        <w:t>قرآن، حدیث، دعا</w:t>
      </w:r>
      <w:r>
        <w:rPr>
          <w:rtl w:val="true"/>
        </w:rPr>
        <w:t>)</w:t>
      </w:r>
      <w:bookmarkEnd w:id="808"/>
    </w:p>
    <w:p>
      <w:pPr>
        <w:pStyle w:val="Heading4"/>
        <w:numPr>
          <w:ilvl w:val="3"/>
          <w:numId w:val="1"/>
        </w:numPr>
        <w:rPr/>
      </w:pPr>
      <w:bookmarkStart w:id="809" w:name="__RefHeading___Toc7812706_3381743652"/>
      <w:bookmarkStart w:id="810" w:name="_Toc312"/>
      <w:bookmarkEnd w:id="809"/>
      <w:r>
        <w:rPr>
          <w:rtl w:val="true"/>
        </w:rPr>
        <w:t>اشاره</w:t>
      </w:r>
      <w:bookmarkEnd w:id="810"/>
    </w:p>
    <w:p>
      <w:pPr>
        <w:pStyle w:val="BookText"/>
        <w:rPr/>
      </w:pPr>
      <w:r>
        <w:rPr>
          <w:rFonts w:ascii="IRNazanin" w:hAnsi="IRNazanin" w:eastAsia="IRNazanin"/>
          <w:color w:val="111111"/>
          <w:sz w:val="28"/>
          <w:sz w:val="28"/>
          <w:szCs w:val="28"/>
          <w:rtl w:val="true"/>
          <w:lang w:bidi="fa-IR"/>
        </w:rPr>
        <w:t>مفهوم این واژه در متون دینی، گسترده تر از مفهوم آن نزد متکلمان می باشد؛ زیرا لطف در نزد متکلمان، فقط شامل صفت فعل خدا می شود، ولی در متون دینی، صفت ذات را نیز دربردارد</w:t>
      </w:r>
      <w:r>
        <w:rPr>
          <w:rFonts w:eastAsia="IRNazanin" w:cs="IRNazanin"/>
          <w:color w:val="111111"/>
          <w:sz w:val="28"/>
          <w:szCs w:val="28"/>
          <w:rtl w:val="true"/>
          <w:lang w:bidi="fa-IR"/>
        </w:rPr>
        <w:t>.</w:t>
      </w:r>
    </w:p>
    <w:p>
      <w:pPr>
        <w:pStyle w:val="Heading4"/>
        <w:numPr>
          <w:ilvl w:val="3"/>
          <w:numId w:val="1"/>
        </w:numPr>
        <w:rPr/>
      </w:pPr>
      <w:bookmarkStart w:id="811" w:name="__RefHeading___Toc7812708_3381743652"/>
      <w:bookmarkStart w:id="812" w:name="_Toc313"/>
      <w:bookmarkEnd w:id="811"/>
      <w:r>
        <w:rPr>
          <w:rtl w:val="true"/>
        </w:rPr>
        <w:t>الف</w:t>
      </w:r>
      <w:r>
        <w:rPr>
          <w:rtl w:val="true"/>
        </w:rPr>
        <w:t xml:space="preserve">) </w:t>
      </w:r>
      <w:r>
        <w:rPr>
          <w:rtl w:val="true"/>
        </w:rPr>
        <w:t>لطف به عنوان صفت ذات</w:t>
      </w:r>
      <w:bookmarkEnd w:id="812"/>
    </w:p>
    <w:p>
      <w:pPr>
        <w:pStyle w:val="Heading5"/>
        <w:numPr>
          <w:ilvl w:val="4"/>
          <w:numId w:val="1"/>
        </w:numPr>
        <w:rPr/>
      </w:pPr>
      <w:bookmarkStart w:id="813" w:name="__RefHeading___Toc7812710_3381743652"/>
      <w:bookmarkStart w:id="814" w:name="_Toc314"/>
      <w:bookmarkEnd w:id="813"/>
      <w:r>
        <w:rPr/>
        <w:t>1</w:t>
      </w:r>
      <w:r>
        <w:rPr>
          <w:rtl w:val="true"/>
        </w:rPr>
        <w:t xml:space="preserve">. </w:t>
      </w:r>
      <w:r>
        <w:rPr>
          <w:rtl w:val="true"/>
        </w:rPr>
        <w:t>تجرد خداوند</w:t>
      </w:r>
      <w:bookmarkEnd w:id="81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سوره انعام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 هو یدرک الأبصار و هو اللطیف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دیدگان او را درنیابد و او دیدگان را دریابد؛ و اوست باریک بین آگاه</w:t>
      </w:r>
      <w:r>
        <w:rPr>
          <w:rFonts w:eastAsia="IRNazanin" w:cs="IRNazanin"/>
          <w:color w:val="111111"/>
          <w:sz w:val="28"/>
          <w:szCs w:val="28"/>
          <w:rtl w:val="true"/>
          <w:lang w:bidi="fa-IR"/>
        </w:rPr>
        <w:t xml:space="preserve">. </w:t>
      </w:r>
      <w:bookmarkStart w:id="815" w:name="pg14387_143847"/>
    </w:p>
    <w:p>
      <w:pPr>
        <w:pStyle w:val="BookText"/>
        <w:rPr/>
      </w:pPr>
      <w:bookmarkEnd w:id="815"/>
      <w:r>
        <w:rPr>
          <w:rFonts w:ascii="IRNazanin" w:hAnsi="IRNazanin" w:eastAsia="IRNazanin"/>
          <w:color w:val="111111"/>
          <w:sz w:val="28"/>
          <w:sz w:val="28"/>
          <w:szCs w:val="28"/>
          <w:rtl w:val="true"/>
          <w:lang w:bidi="fa-IR"/>
        </w:rPr>
        <w:t>ولی شیخ طوسی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نظریه وجود دارد؛ نخست آن که خدای متعال نسبت به بندگان، بسیار مهربان است و دیگر آن که او لطیف التدبیر است</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در دعای جوشن کبیر، فقرة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ألطف من کل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سبزواری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نیکوترین و شدیدترین احسان را در رفق و لطف دارد و از باب لطف، لطفا است، ولی اگر از باب لطف لطافة باشد، یعنی از هر لطیف و مجردی، مجردتر است</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یعنی اگر خدا را به عنوان لطیف توصیف می کنیم، او خالق اشیای ناپیدا و دارای افعالی است که از محیط قدرت اتصاع بیرون است و بسیار باریک بین و فوق العاده دقیق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گوییم خداوند لطیف است، به خاطر آن است که مخلوقات لطیف آفریده و از اشیای لطیف و ظریف و ناپیدا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آثار صنع او را در گیاهان لطیف و غیر لطیف نمی بینی؟ و همچنین در مخلوقات و حیوانات کوچک و حشرات ریز و چیزهایی که از آن هم کوچکتر است، موجوداتی که به چشم دیده نمی شود و از بس کوچکند، نر و ماده و تازه و کهنه آنها نیز شناخته نمی شود، هنگامی که اینگونه موضوعات را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اقیانوسها و درون پوست درختان و بیابانها و صحراها وجود دارد به نظر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موجوداتی هستند که با دست خود نیز نمی توانیم آنها را لمس کنیم؛ از همه اینها می فهمیم که آفریننده آنه لطیف است</w:t>
      </w:r>
      <w:r>
        <w:rPr>
          <w:rFonts w:eastAsia="IRNazanin" w:cs="IRNazanin"/>
          <w:color w:val="111111"/>
          <w:sz w:val="28"/>
          <w:szCs w:val="28"/>
          <w:rtl w:val="true"/>
          <w:lang w:bidi="fa-IR"/>
        </w:rPr>
        <w:t>.</w:t>
      </w:r>
      <w:r>
        <w:rPr>
          <w:rStyle w:val="FootnoteAnchor"/>
          <w:rtl w:val="true"/>
        </w:rPr>
        <w:footnoteReference w:id="884"/>
      </w:r>
    </w:p>
    <w:p>
      <w:pPr>
        <w:pStyle w:val="Heading5"/>
        <w:numPr>
          <w:ilvl w:val="4"/>
          <w:numId w:val="1"/>
        </w:numPr>
        <w:rPr/>
      </w:pPr>
      <w:bookmarkStart w:id="816" w:name="__RefHeading___Toc7812712_3381743652"/>
      <w:bookmarkStart w:id="817" w:name="_Toc315"/>
      <w:bookmarkEnd w:id="816"/>
      <w:r>
        <w:rPr/>
        <w:t>۲</w:t>
      </w:r>
      <w:r>
        <w:rPr>
          <w:rtl w:val="true"/>
        </w:rPr>
        <w:t xml:space="preserve">. </w:t>
      </w:r>
      <w:r>
        <w:rPr>
          <w:rtl w:val="true"/>
        </w:rPr>
        <w:t>علم باری تعالی</w:t>
      </w:r>
      <w:bookmarkEnd w:id="81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سوره مبارکه لقمان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إنها إن تک مثقال حبة من خردل فتکن فی صخرة أو فی السموات أو فی الأرض یأت بها الله إن الله لطیف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اندازه دانه خردلی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دل سنگی یا در گوشه ای از آسمانها و زمین قرار گیرد، خداوند آن را در قیامت برای حساب می آورد؛ خداوند دقیق و آگاه است</w:t>
      </w:r>
      <w:r>
        <w:rPr>
          <w:rFonts w:eastAsia="IRNazanin" w:cs="IRNazanin"/>
          <w:color w:val="111111"/>
          <w:sz w:val="28"/>
          <w:szCs w:val="28"/>
          <w:rtl w:val="true"/>
          <w:lang w:bidi="fa-IR"/>
        </w:rPr>
        <w:t xml:space="preserve">! </w:t>
      </w:r>
      <w:bookmarkStart w:id="818" w:name="pg14387_143848"/>
    </w:p>
    <w:p>
      <w:pPr>
        <w:pStyle w:val="BookText"/>
        <w:rPr/>
      </w:pPr>
      <w:bookmarkEnd w:id="818"/>
      <w:r>
        <w:rPr>
          <w:rFonts w:ascii="IRNazanin" w:hAnsi="IRNazanin" w:eastAsia="IRNazanin"/>
          <w:color w:val="111111"/>
          <w:sz w:val="28"/>
          <w:sz w:val="28"/>
          <w:szCs w:val="28"/>
          <w:rtl w:val="true"/>
          <w:lang w:bidi="fa-IR"/>
        </w:rPr>
        <w:t>شیخ طوسی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اللطیف القادر الذی لایحفو عن عمل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الخبیر، العالم</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 لطیف، قادری است که چیزی بر آن پوشیده نیست و احاطه به اشیا دارد و عالم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لعلمه بالشیء اللطیف</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 یعنی یکی از مفاهیم لطیف نامیده شدن خدا، علم او به موجودات لطیف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ایجی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 آن دانایی است که علم او به دقایق امور و غوامض مصالح، نافذ بوده باشد</w:t>
      </w:r>
      <w:r>
        <w:rPr>
          <w:rFonts w:eastAsia="IRNazanin" w:cs="IRNazanin"/>
          <w:color w:val="111111"/>
          <w:sz w:val="28"/>
          <w:szCs w:val="28"/>
          <w:rtl w:val="true"/>
          <w:lang w:bidi="fa-IR"/>
        </w:rPr>
        <w:t>..».</w:t>
      </w:r>
      <w:r>
        <w:rPr>
          <w:rStyle w:val="FootnoteAnchor"/>
          <w:rtl w:val="true"/>
        </w:rPr>
        <w:footnoteReference w:id="887"/>
      </w:r>
    </w:p>
    <w:p>
      <w:pPr>
        <w:pStyle w:val="Heading5"/>
        <w:numPr>
          <w:ilvl w:val="4"/>
          <w:numId w:val="1"/>
        </w:numPr>
        <w:rPr/>
      </w:pPr>
      <w:bookmarkStart w:id="819" w:name="__RefHeading___Toc7812714_3381743652"/>
      <w:bookmarkStart w:id="820" w:name="_Toc316"/>
      <w:bookmarkEnd w:id="819"/>
      <w:r>
        <w:rPr/>
        <w:t>٣</w:t>
      </w:r>
      <w:r>
        <w:rPr>
          <w:rtl w:val="true"/>
        </w:rPr>
        <w:t xml:space="preserve">. </w:t>
      </w:r>
      <w:r>
        <w:rPr>
          <w:rtl w:val="true"/>
        </w:rPr>
        <w:t>خداوند از افق اندیشه بشر فراتر است</w:t>
      </w:r>
      <w:bookmarkEnd w:id="820"/>
    </w:p>
    <w:p>
      <w:pPr>
        <w:pStyle w:val="BookText"/>
        <w:rPr/>
      </w:pPr>
      <w:r>
        <w:rPr>
          <w:rFonts w:ascii="IRNazanin" w:hAnsi="IRNazanin" w:eastAsia="IRNazanin"/>
          <w:color w:val="111111"/>
          <w:sz w:val="28"/>
          <w:sz w:val="28"/>
          <w:szCs w:val="28"/>
          <w:rtl w:val="true"/>
          <w:lang w:bidi="fa-IR"/>
        </w:rPr>
        <w:t>امام هشتم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لطیف درباره خداوند، قلت و کوچکی نیست، بلکه مقصود، نفوذ در اشیا و امتناع از درک اوست؛ چنان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امر،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در مذهب و سخن خود، لطیف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سخنی غامض میگوید که عقل در درک آن مبهوت می گردد و هرچه کاوش می کند، درک حقیقت آن از او فوت میگردد و آن سخن، همچنان متعمق و متلطف باقی می ماند و در اندیشه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از این که ذات یا وصف او به تحدید درآید، لطیف است</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در فقره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دعای جوشن کبیر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لطیفة لایرام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سبزواری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راه پیدا کردن به کنه ذات خداوند ممکن نیست؛ زیرا او تعین ندارد</w:t>
      </w:r>
      <w:r>
        <w:rPr>
          <w:rFonts w:eastAsia="IRNazanin" w:cs="IRNazanin"/>
          <w:color w:val="111111"/>
          <w:sz w:val="28"/>
          <w:szCs w:val="28"/>
          <w:rtl w:val="true"/>
          <w:lang w:bidi="fa-IR"/>
        </w:rPr>
        <w:t>».</w:t>
      </w:r>
      <w:r>
        <w:rPr>
          <w:rStyle w:val="FootnoteAnchor"/>
          <w:rtl w:val="true"/>
        </w:rPr>
        <w:footnoteReference w:id="889"/>
      </w:r>
    </w:p>
    <w:p>
      <w:pPr>
        <w:pStyle w:val="Heading4"/>
        <w:numPr>
          <w:ilvl w:val="3"/>
          <w:numId w:val="1"/>
        </w:numPr>
        <w:rPr/>
      </w:pPr>
      <w:bookmarkStart w:id="821" w:name="__RefHeading___Toc7812716_3381743652"/>
      <w:bookmarkStart w:id="822" w:name="_Toc317"/>
      <w:bookmarkEnd w:id="821"/>
      <w:r>
        <w:rPr>
          <w:rtl w:val="true"/>
        </w:rPr>
        <w:t>ب</w:t>
      </w:r>
      <w:r>
        <w:rPr>
          <w:rtl w:val="true"/>
        </w:rPr>
        <w:t xml:space="preserve">) </w:t>
      </w:r>
      <w:r>
        <w:rPr>
          <w:rtl w:val="true"/>
        </w:rPr>
        <w:t>لطف به عنوان صفت فعل</w:t>
      </w:r>
      <w:bookmarkEnd w:id="822"/>
    </w:p>
    <w:p>
      <w:pPr>
        <w:pStyle w:val="Heading5"/>
        <w:numPr>
          <w:ilvl w:val="4"/>
          <w:numId w:val="1"/>
        </w:numPr>
        <w:rPr/>
      </w:pPr>
      <w:bookmarkStart w:id="823" w:name="__RefHeading___Toc7812718_3381743652"/>
      <w:bookmarkStart w:id="824" w:name="_Toc318"/>
      <w:bookmarkEnd w:id="823"/>
      <w:r>
        <w:rPr/>
        <w:t>1</w:t>
      </w:r>
      <w:r>
        <w:rPr>
          <w:rtl w:val="true"/>
        </w:rPr>
        <w:t>.</w:t>
      </w:r>
      <w:r>
        <w:rPr>
          <w:rtl w:val="true"/>
        </w:rPr>
        <w:t>لطافت در تدبیر</w:t>
      </w:r>
      <w:bookmarkEnd w:id="82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از زبان حضرت یوسف للا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لطیف لما یشاء إنه هو العلیم الحکیم</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شیخ طوسی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لطافت در تدبیر است</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 xml:space="preserve">و در تدبیر امور خلق و </w:t>
      </w:r>
      <w:bookmarkStart w:id="825" w:name="pg14387_143849"/>
    </w:p>
    <w:p>
      <w:pPr>
        <w:pStyle w:val="BookText"/>
        <w:rPr/>
      </w:pPr>
      <w:bookmarkEnd w:id="825"/>
      <w:r>
        <w:rPr>
          <w:rFonts w:ascii="IRNazanin" w:hAnsi="IRNazanin" w:eastAsia="IRNazanin"/>
          <w:color w:val="111111"/>
          <w:sz w:val="28"/>
          <w:sz w:val="28"/>
          <w:szCs w:val="28"/>
          <w:rtl w:val="true"/>
          <w:lang w:bidi="fa-IR"/>
        </w:rPr>
        <w:t>جهان، بسیار تیزبین و دوراندیش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المیزان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و محاسبه نشان می دهد شرایط و اسباب ظاهری زندگی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جز ناکامی و شکست نداشت، ولی تدبیر لطیف الهی که تجلی علم و حکمت و احسان خداوند است، چنان فرجام پیروزمندانه ای را برای وی رقم زد که فرد را به حیرت و تحسین بر می انگیزد</w:t>
      </w:r>
      <w:r>
        <w:rPr>
          <w:rFonts w:eastAsia="IRNazanin" w:cs="IRNazanin"/>
          <w:color w:val="111111"/>
          <w:sz w:val="28"/>
          <w:szCs w:val="28"/>
          <w:rtl w:val="true"/>
          <w:lang w:bidi="fa-IR"/>
        </w:rPr>
        <w:t>.</w:t>
      </w:r>
      <w:r>
        <w:rPr>
          <w:rStyle w:val="FootnoteAnchor"/>
          <w:rtl w:val="true"/>
        </w:rPr>
        <w:footnoteReference w:id="892"/>
      </w:r>
    </w:p>
    <w:p>
      <w:pPr>
        <w:pStyle w:val="Heading5"/>
        <w:numPr>
          <w:ilvl w:val="4"/>
          <w:numId w:val="1"/>
        </w:numPr>
        <w:rPr/>
      </w:pPr>
      <w:bookmarkStart w:id="826" w:name="__RefHeading___Toc7812720_3381743652"/>
      <w:bookmarkStart w:id="827" w:name="_Toc319"/>
      <w:bookmarkEnd w:id="826"/>
      <w:r>
        <w:rPr/>
        <w:t>۲</w:t>
      </w:r>
      <w:r>
        <w:rPr>
          <w:rtl w:val="true"/>
        </w:rPr>
        <w:t xml:space="preserve">. </w:t>
      </w:r>
      <w:r>
        <w:rPr>
          <w:rtl w:val="true"/>
        </w:rPr>
        <w:t>مهربانی و احسان</w:t>
      </w:r>
      <w:bookmarkEnd w:id="827"/>
    </w:p>
    <w:p>
      <w:pPr>
        <w:pStyle w:val="BookText"/>
        <w:rPr/>
      </w:pPr>
      <w:r>
        <w:rPr>
          <w:rFonts w:ascii="IRNazanin" w:hAnsi="IRNazanin" w:eastAsia="IRNazanin"/>
          <w:color w:val="111111"/>
          <w:sz w:val="28"/>
          <w:sz w:val="28"/>
          <w:szCs w:val="28"/>
          <w:rtl w:val="true"/>
          <w:lang w:bidi="fa-IR"/>
        </w:rPr>
        <w:t xml:space="preserve">خدای متعال در آیه شریفه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سوره مبارکه شوری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لطیف بعباده یرزق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والطف، این جا عبارت است از رساندن منافع به بندگان، به طوری که عقلا از درک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عالم، روزی را بین انسانها تقسیم کرده و آفات و بلایا را از آنان دفع نموده و ایشان را مسرور ساخته است و پناهگاه انسان بوده، با اعطای قدرت و اسباب آن، آنان را توانا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سایر الطافی که به دلیل غموض و پیچیدگی آن قابل درک و دستیابی نیست</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در تأیید این مطلب، حضرت علی 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نعمتی که به تو ارزانی می فرماید، گناهی که بر تو می پوشاند، بلیه ای که از تو باز می دارد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یعنی همه اینها بر اساس لطف خداست 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قلبی را شادمان سازد، خداوند از آن شادمانی، برای او لطفی می آفریند و آنگاه که ناگواری به او روی می آورد،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ناگواری را از او دور می سازد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علامه طباطبایی گوید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لطیف درباره خدا یعنی با احاطه و علمش بر دقایق امور نائل می شود و در آن امور دقیق، با رفق و مدارا هرچه بخواهد، می کند و چون خدا لطیف به بندگان خویش و قوی و عزیز است، ایشان را رزق میدهد</w:t>
      </w:r>
      <w:r>
        <w:rPr>
          <w:rFonts w:eastAsia="IRNazanin" w:cs="IRNazanin"/>
          <w:color w:val="111111"/>
          <w:sz w:val="28"/>
          <w:szCs w:val="28"/>
          <w:rtl w:val="true"/>
          <w:lang w:bidi="fa-IR"/>
        </w:rPr>
        <w:t>.</w:t>
      </w:r>
      <w:r>
        <w:rPr>
          <w:rStyle w:val="FootnoteAnchor"/>
          <w:rtl w:val="true"/>
        </w:rPr>
        <w:footnoteReference w:id="896"/>
      </w:r>
      <w:bookmarkStart w:id="828" w:name="pg14387_143850"/>
    </w:p>
    <w:p>
      <w:pPr>
        <w:pStyle w:val="Heading5"/>
        <w:numPr>
          <w:ilvl w:val="4"/>
          <w:numId w:val="1"/>
        </w:numPr>
        <w:rPr/>
      </w:pPr>
      <w:bookmarkStart w:id="829" w:name="__RefHeading___Toc7812722_3381743652"/>
      <w:bookmarkStart w:id="830" w:name="_Toc320"/>
      <w:bookmarkEnd w:id="828"/>
      <w:bookmarkEnd w:id="829"/>
      <w:r>
        <w:rPr/>
        <w:t>٣</w:t>
      </w:r>
      <w:r>
        <w:rPr>
          <w:rtl w:val="true"/>
        </w:rPr>
        <w:t xml:space="preserve">. </w:t>
      </w:r>
      <w:r>
        <w:rPr>
          <w:rtl w:val="true"/>
        </w:rPr>
        <w:t>ظرافت صنع</w:t>
      </w:r>
      <w:bookmarkEnd w:id="830"/>
    </w:p>
    <w:p>
      <w:pPr>
        <w:pStyle w:val="BookText"/>
        <w:rPr/>
      </w:pPr>
      <w:r>
        <w:rPr>
          <w:rFonts w:ascii="IRNazanin" w:hAnsi="IRNazanin" w:eastAsia="IRNazanin"/>
          <w:color w:val="111111"/>
          <w:sz w:val="28"/>
          <w:sz w:val="28"/>
          <w:szCs w:val="28"/>
          <w:rtl w:val="true"/>
          <w:lang w:bidi="fa-IR"/>
        </w:rPr>
        <w:t>واژه لطف به این معنی در نهج البلاغه بسیار یافت می شود، چنان که حضرت علی علیه السلام درباره شگفتی آفرینش انواع پرندگان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 و نمونه هایی از لطافت صنعت گری و قدرت عظیم خویش را به پا داشته است</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همچنین در شگفتی خلقت خفاش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لطایف صنعت گری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ظرافت صنع خداوند و شگفتیهای آفرینش پروردگار، همان اسرار پیچیده حکیمانه در آفریدن خفاشان است</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در دعای جوشن کبیر، فقرۀ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لطیف الصنع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دقیق و ای کسی که در صنع، ظرافت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شگفتی آفرینش پدیده ها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نشانه های توانایی و عظمت خدا و شگفتی لطایف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ظرافتهای صنعت او آن است که از آب دریای موج زننده و امواج فراوان شکننده، خشکی آفرید</w:t>
      </w:r>
      <w:r>
        <w:rPr>
          <w:rFonts w:eastAsia="IRNazanin" w:cs="IRNazanin"/>
          <w:color w:val="111111"/>
          <w:sz w:val="28"/>
          <w:szCs w:val="28"/>
          <w:rtl w:val="true"/>
          <w:lang w:bidi="fa-IR"/>
        </w:rPr>
        <w:t>».</w:t>
      </w:r>
      <w:r>
        <w:rPr>
          <w:rStyle w:val="FootnoteAnchor"/>
          <w:rtl w:val="true"/>
        </w:rPr>
        <w:footnoteReference w:id="899"/>
      </w:r>
    </w:p>
    <w:p>
      <w:pPr>
        <w:pStyle w:val="Heading3"/>
        <w:numPr>
          <w:ilvl w:val="2"/>
          <w:numId w:val="1"/>
        </w:numPr>
        <w:rPr/>
      </w:pPr>
      <w:bookmarkStart w:id="831" w:name="__RefHeading___Toc7812724_3381743652"/>
      <w:bookmarkStart w:id="832" w:name="_Toc321"/>
      <w:bookmarkEnd w:id="831"/>
      <w:r>
        <w:rPr>
          <w:rtl w:val="true"/>
        </w:rPr>
        <w:t>اقسام لطف</w:t>
      </w:r>
      <w:bookmarkEnd w:id="832"/>
    </w:p>
    <w:p>
      <w:pPr>
        <w:pStyle w:val="BookText"/>
        <w:rPr/>
      </w:pPr>
      <w:r>
        <w:rPr>
          <w:rFonts w:ascii="IRNazanin" w:hAnsi="IRNazanin" w:eastAsia="IRNazanin"/>
          <w:color w:val="111111"/>
          <w:sz w:val="28"/>
          <w:sz w:val="28"/>
          <w:szCs w:val="28"/>
          <w:rtl w:val="true"/>
          <w:lang w:bidi="fa-IR"/>
        </w:rPr>
        <w:t xml:space="preserve">شیخ طوسی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اللطف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یکون من فعل الله و ثانیها أن یکون من فعل من هو لطف له و ثالثها أن یکون من فعل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لطف،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خدا، فعل مکلف و فعل انسانهای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به اطاعت دعوت می کند، ولی تحقق آن به سه صورت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فعل خدا و مربوط به کارهای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خدای متعال آن کار را انجام دهد؛ مثل ارسال پیامبران، اعطای معجزه به انسان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فعل ملطوف له و مربوط به کار خود مکلف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پیروی از دستورات پیامبران، آموختن قرآن و احکام شرع و</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فعل انسانهای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امر به معروف و نهی از منکر که بر عهده </w:t>
      </w:r>
      <w:bookmarkStart w:id="833" w:name="pg14387_143851"/>
    </w:p>
    <w:p>
      <w:pPr>
        <w:pStyle w:val="BookText"/>
        <w:rPr/>
      </w:pPr>
      <w:bookmarkEnd w:id="833"/>
      <w:r>
        <w:rPr>
          <w:rFonts w:ascii="IRNazanin" w:hAnsi="IRNazanin" w:eastAsia="IRNazanin"/>
          <w:color w:val="111111"/>
          <w:sz w:val="28"/>
          <w:sz w:val="28"/>
          <w:szCs w:val="28"/>
          <w:rtl w:val="true"/>
          <w:lang w:bidi="fa-IR"/>
        </w:rPr>
        <w:t>مکلف است، وجود واعظ و معلم قرآن، مسجد و مدرسه دینی که نه فعل خدا و نه فعل مکلف، بلکه فعل اجنبی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از نگاه شیخ دو شرط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قسم لطف کننده باید بداند که صدور فعل از وی به گونه لطف بوده و در وقتی که صدور آن فعل لطف است،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لطف کننده به آن دو امر توجه نداشته باشد، تکلیف او بر فعلی که در آن لطف است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لطفی بر غیر، واجب نیست مگر زمانی که بر خود او نیز لطف باشد چنان که درباره انبیا می گوییم که اگر برای خود آنان امر رسالت لطف نباشد تحمل آن بر آنها واجب نمی باشد</w:t>
      </w:r>
      <w:r>
        <w:rPr>
          <w:rFonts w:eastAsia="IRNazanin" w:cs="IRNazanin"/>
          <w:color w:val="111111"/>
          <w:sz w:val="28"/>
          <w:szCs w:val="28"/>
          <w:rtl w:val="true"/>
          <w:lang w:bidi="fa-IR"/>
        </w:rPr>
        <w:t>.</w:t>
      </w:r>
      <w:r>
        <w:rPr>
          <w:rStyle w:val="FootnoteAnchor"/>
          <w:rtl w:val="true"/>
        </w:rPr>
        <w:footnoteReference w:id="901"/>
      </w:r>
    </w:p>
    <w:p>
      <w:pPr>
        <w:pStyle w:val="Heading3"/>
        <w:numPr>
          <w:ilvl w:val="2"/>
          <w:numId w:val="1"/>
        </w:numPr>
        <w:rPr/>
      </w:pPr>
      <w:bookmarkStart w:id="834" w:name="__RefHeading___Toc7812726_3381743652"/>
      <w:bookmarkStart w:id="835" w:name="_Toc322"/>
      <w:bookmarkEnd w:id="834"/>
      <w:r>
        <w:rPr>
          <w:rtl w:val="true"/>
        </w:rPr>
        <w:t>شرایط لطف</w:t>
      </w:r>
      <w:bookmarkEnd w:id="835"/>
    </w:p>
    <w:p>
      <w:pPr>
        <w:pStyle w:val="Heading4"/>
        <w:numPr>
          <w:ilvl w:val="3"/>
          <w:numId w:val="1"/>
        </w:numPr>
        <w:rPr/>
      </w:pPr>
      <w:bookmarkStart w:id="836" w:name="__RefHeading___Toc7812728_3381743652"/>
      <w:bookmarkStart w:id="837" w:name="_Toc323"/>
      <w:bookmarkEnd w:id="836"/>
      <w:r>
        <w:rPr>
          <w:rtl w:val="true"/>
        </w:rPr>
        <w:t>اشاره</w:t>
      </w:r>
      <w:bookmarkEnd w:id="837"/>
    </w:p>
    <w:p>
      <w:pPr>
        <w:pStyle w:val="BookText"/>
        <w:rPr/>
      </w:pPr>
      <w:r>
        <w:rPr>
          <w:rFonts w:ascii="IRNazanin" w:hAnsi="IRNazanin" w:eastAsia="IRNazanin"/>
          <w:color w:val="111111"/>
          <w:sz w:val="28"/>
          <w:sz w:val="28"/>
          <w:szCs w:val="28"/>
          <w:rtl w:val="true"/>
          <w:lang w:bidi="fa-IR"/>
        </w:rPr>
        <w:t>اکثر متکلمان، از جمله شیخ الطایفه چهار شرط را برای لطف ذکر کرده اند</w:t>
      </w:r>
      <w:r>
        <w:rPr>
          <w:rFonts w:eastAsia="IRNazanin" w:cs="IRNazanin"/>
          <w:color w:val="111111"/>
          <w:sz w:val="28"/>
          <w:szCs w:val="28"/>
          <w:rtl w:val="true"/>
          <w:lang w:bidi="fa-IR"/>
        </w:rPr>
        <w:t>:</w:t>
      </w:r>
    </w:p>
    <w:p>
      <w:pPr>
        <w:pStyle w:val="Heading4"/>
        <w:numPr>
          <w:ilvl w:val="3"/>
          <w:numId w:val="1"/>
        </w:numPr>
        <w:rPr/>
      </w:pPr>
      <w:bookmarkStart w:id="838" w:name="__RefHeading___Toc7812730_3381743652"/>
      <w:bookmarkStart w:id="839" w:name="_Toc324"/>
      <w:bookmarkEnd w:id="838"/>
      <w:r>
        <w:rPr/>
        <w:t>١</w:t>
      </w:r>
      <w:r>
        <w:rPr>
          <w:rtl w:val="true"/>
        </w:rPr>
        <w:t xml:space="preserve">. </w:t>
      </w:r>
      <w:r>
        <w:rPr>
          <w:rtl w:val="true"/>
        </w:rPr>
        <w:t>جدا بودن از تمکین</w:t>
      </w:r>
      <w:bookmarkEnd w:id="839"/>
    </w:p>
    <w:p>
      <w:pPr>
        <w:pStyle w:val="BookText"/>
        <w:rPr/>
      </w:pPr>
      <w:r>
        <w:rPr>
          <w:rFonts w:ascii="IRNazanin" w:hAnsi="IRNazanin" w:eastAsia="IRNazanin"/>
          <w:color w:val="111111"/>
          <w:sz w:val="28"/>
          <w:sz w:val="28"/>
          <w:szCs w:val="28"/>
          <w:rtl w:val="true"/>
          <w:lang w:bidi="fa-IR"/>
        </w:rPr>
        <w:t>شیخ طوسی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اللطف منفصل من التمکین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لطف، جدای از تمکین و توانا ساختن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دخالت در توانایی مکلف، شرط اول است و آنچه در اصل توانایی مکلف بر انجام تکلیف مؤثر است، مصداق لطف نیست؛ زیرا از نظر عقل، تکلیف فرد ناتوان، قبیح است و ما گفتیم که لطف آن است که انسان را به اختیار خود به هدف خلقت و کمال مطلوب نزدیک کند و از انحراف از راه سعادت دور سازد و در عین حال، در تمکین و توانا ساختن مکلف دخالت نداشته باشد</w:t>
      </w:r>
      <w:r>
        <w:rPr>
          <w:rFonts w:eastAsia="IRNazanin" w:cs="IRNazanin"/>
          <w:color w:val="111111"/>
          <w:sz w:val="28"/>
          <w:szCs w:val="28"/>
          <w:rtl w:val="true"/>
          <w:lang w:bidi="fa-IR"/>
        </w:rPr>
        <w:t>.</w:t>
      </w:r>
    </w:p>
    <w:p>
      <w:pPr>
        <w:pStyle w:val="Heading4"/>
        <w:numPr>
          <w:ilvl w:val="3"/>
          <w:numId w:val="1"/>
        </w:numPr>
        <w:rPr/>
      </w:pPr>
      <w:bookmarkStart w:id="840" w:name="__RefHeading___Toc7812732_3381743652"/>
      <w:bookmarkStart w:id="841" w:name="_Toc325"/>
      <w:bookmarkEnd w:id="840"/>
      <w:r>
        <w:rPr/>
        <w:t>٢</w:t>
      </w:r>
      <w:r>
        <w:rPr>
          <w:rtl w:val="true"/>
        </w:rPr>
        <w:t xml:space="preserve">. </w:t>
      </w:r>
      <w:r>
        <w:rPr>
          <w:rtl w:val="true"/>
        </w:rPr>
        <w:t>موجب اجبار نبودن</w:t>
      </w:r>
      <w:bookmarkEnd w:id="84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نصیرالدین طوسی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لاتبلغ الإلجاء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سرحد اجبار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اکثر متکلمان؛ مثل شیخ مفید، شعرانی، علامه حلی، بحرانی، فاضل مقداد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bookmarkStart w:id="842" w:name="pg14387_143852"/>
    </w:p>
    <w:p>
      <w:pPr>
        <w:pStyle w:val="BookText"/>
        <w:rPr/>
      </w:pPr>
      <w:bookmarkEnd w:id="842"/>
      <w:r>
        <w:rPr>
          <w:rFonts w:ascii="IRNazanin" w:hAnsi="IRNazanin" w:eastAsia="IRNazanin"/>
          <w:color w:val="111111"/>
          <w:sz w:val="28"/>
          <w:sz w:val="28"/>
          <w:szCs w:val="28"/>
          <w:rtl w:val="true"/>
          <w:lang w:bidi="fa-IR"/>
        </w:rPr>
        <w:t>شرط تصریح کرده اند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در واقع، طبق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خدای متعال، چنان انسان را نزدیک به طاعت و دور از معصیت سازد که انسان چاره ای جز اطاعت فرمان او نداشته باشد؛ زیرا فلسفه تکلیف، تکامل انسان و شکوفایی استعدادهای بالقوه وی است و این تحقق نمی یابد</w:t>
      </w:r>
    </w:p>
    <w:p>
      <w:pPr>
        <w:pStyle w:val="BookText"/>
        <w:rPr/>
      </w:pPr>
      <w:r>
        <w:rPr>
          <w:rFonts w:ascii="IRNazanin" w:hAnsi="IRNazanin" w:eastAsia="IRNazanin"/>
          <w:color w:val="111111"/>
          <w:sz w:val="28"/>
          <w:sz w:val="28"/>
          <w:szCs w:val="28"/>
          <w:rtl w:val="true"/>
          <w:lang w:bidi="fa-IR"/>
        </w:rPr>
        <w:t>مگر با اختیار؛ و اگر لطف، اجبارآور باشد، موجب انعدام تکلیف و موضوع خود می شود و طاعت او نیز طاعت نخواهد بود</w:t>
      </w:r>
      <w:r>
        <w:rPr>
          <w:rFonts w:eastAsia="IRNazanin" w:cs="IRNazanin"/>
          <w:color w:val="111111"/>
          <w:sz w:val="28"/>
          <w:szCs w:val="28"/>
          <w:rtl w:val="true"/>
          <w:lang w:bidi="fa-IR"/>
        </w:rPr>
        <w:t>.</w:t>
      </w:r>
    </w:p>
    <w:p>
      <w:pPr>
        <w:pStyle w:val="Heading4"/>
        <w:numPr>
          <w:ilvl w:val="3"/>
          <w:numId w:val="1"/>
        </w:numPr>
        <w:rPr/>
      </w:pPr>
      <w:bookmarkStart w:id="843" w:name="__RefHeading___Toc7812734_3381743652"/>
      <w:bookmarkStart w:id="844" w:name="_Toc326"/>
      <w:bookmarkEnd w:id="843"/>
      <w:r>
        <w:rPr/>
        <w:t>٣</w:t>
      </w:r>
      <w:r>
        <w:rPr>
          <w:rtl w:val="true"/>
        </w:rPr>
        <w:t xml:space="preserve">. </w:t>
      </w:r>
      <w:r>
        <w:rPr>
          <w:rtl w:val="true"/>
        </w:rPr>
        <w:t>آگاهی مکلف به لطف</w:t>
      </w:r>
      <w:bookmarkEnd w:id="844"/>
    </w:p>
    <w:p>
      <w:pPr>
        <w:pStyle w:val="BookText"/>
        <w:rPr/>
      </w:pPr>
      <w:r>
        <w:rPr>
          <w:rFonts w:ascii="IRNazanin" w:hAnsi="IRNazanin" w:eastAsia="IRNazanin"/>
          <w:color w:val="111111"/>
          <w:sz w:val="28"/>
          <w:sz w:val="28"/>
          <w:szCs w:val="28"/>
          <w:rtl w:val="true"/>
          <w:lang w:bidi="fa-IR"/>
        </w:rPr>
        <w:t>شیخ الطایفه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أن یکون اللطف معلومة علی الوجه الذی هو لطف فیه لأنه داع إلی الفعل فهو کسائر الدواعی و المعتبر فی الدواعی حال الداعی من علم أو ظن أو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واجب است که به گونه ای لطف بودن فعل و مناسبت آن با تکلیف برای مکلف معلوم باشد؛ زیرا لطف، یک داعی مثل سایر دواعی است و آنچه در دواعی معتبر است، حال داعی است که علم، ظن یا اعتقاد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داعویت فعلی نسبت به تکلیف بدون آگاهی به آن دو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غرض لطف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حداقل علم اجمالی نداشته باشد، اراده نخواهد کرد، پس علم مکلف به لطف بودن فعلی و مناسبت آن با تکلیف،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طوسی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مکلف، لطف را اجمالا یا تفصیلا بداند</w:t>
      </w:r>
      <w:r>
        <w:rPr>
          <w:rFonts w:eastAsia="IRNazanin" w:cs="IRNazanin"/>
          <w:color w:val="111111"/>
          <w:sz w:val="28"/>
          <w:szCs w:val="28"/>
          <w:rtl w:val="true"/>
          <w:lang w:bidi="fa-IR"/>
        </w:rPr>
        <w:t>».</w:t>
      </w:r>
      <w:r>
        <w:rPr>
          <w:rStyle w:val="FootnoteAnchor"/>
          <w:rtl w:val="true"/>
        </w:rPr>
        <w:footnoteReference w:id="90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شیخ الطایفه شرط دیگری را اضافه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واجب است که لطف، مقدم بر ملطوف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گونه ای که حصول آن داعی موجب حصول تکلیف گردد </w:t>
      </w:r>
      <w:bookmarkStart w:id="845" w:name="pg14387_143853"/>
    </w:p>
    <w:p>
      <w:pPr>
        <w:pStyle w:val="BookText"/>
        <w:rPr/>
      </w:pPr>
      <w:bookmarkEnd w:id="845"/>
      <w:r>
        <w:rPr>
          <w:rFonts w:ascii="IRNazanin" w:hAnsi="IRNazanin" w:eastAsia="IRNazanin"/>
          <w:color w:val="111111"/>
          <w:sz w:val="28"/>
          <w:sz w:val="28"/>
          <w:szCs w:val="28"/>
          <w:rtl w:val="true"/>
          <w:lang w:bidi="fa-IR"/>
        </w:rPr>
        <w:t>و بدیهی است که داعی، مقدم بر تکلیف است</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گرچه این به شرط چهارم بر می گردد</w:t>
      </w:r>
      <w:r>
        <w:rPr>
          <w:rFonts w:eastAsia="IRNazanin" w:cs="IRNazanin"/>
          <w:color w:val="111111"/>
          <w:sz w:val="28"/>
          <w:szCs w:val="28"/>
          <w:rtl w:val="true"/>
          <w:lang w:bidi="fa-IR"/>
        </w:rPr>
        <w:t>.</w:t>
      </w:r>
    </w:p>
    <w:p>
      <w:pPr>
        <w:pStyle w:val="Heading4"/>
        <w:numPr>
          <w:ilvl w:val="3"/>
          <w:numId w:val="1"/>
        </w:numPr>
        <w:rPr/>
      </w:pPr>
      <w:bookmarkStart w:id="846" w:name="__RefHeading___Toc7812736_3381743652"/>
      <w:bookmarkStart w:id="847" w:name="_Toc327"/>
      <w:bookmarkEnd w:id="846"/>
      <w:r>
        <w:rPr/>
        <w:t>۴</w:t>
      </w:r>
      <w:r>
        <w:rPr>
          <w:rtl w:val="true"/>
        </w:rPr>
        <w:t xml:space="preserve">. </w:t>
      </w:r>
      <w:r>
        <w:rPr>
          <w:rtl w:val="true"/>
        </w:rPr>
        <w:t>مناسبت لطف با تکلیف</w:t>
      </w:r>
      <w:bookmarkEnd w:id="847"/>
    </w:p>
    <w:p>
      <w:pPr>
        <w:pStyle w:val="BookText"/>
        <w:rPr/>
      </w:pPr>
      <w:r>
        <w:rPr>
          <w:rFonts w:ascii="IRNazanin" w:hAnsi="IRNazanin" w:eastAsia="IRNazanin"/>
          <w:color w:val="111111"/>
          <w:sz w:val="28"/>
          <w:sz w:val="28"/>
          <w:szCs w:val="28"/>
          <w:rtl w:val="true"/>
          <w:lang w:bidi="fa-IR"/>
        </w:rPr>
        <w:t>شیخ طوسی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لابد أن یکون بینه و بین ما هو لطف فیه مناسبة</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 باید بین تکلیف و لطف، یک نوع مناسبت باشد؛ زیرا احکام شرعی، لطف است در واجبات عقلی و حکم با حکم مناسب است و اگر مناسبتی نباشد، لطف سبب عمل به تکلیف نمی شود؛ چون نسبت همه چیز به تکلیف، مساوی است؛ مثل خوردن خرما برای ترغیب به نماز، و اگر برای نماز لطف باشد، دلیلی نداریم برای حج لطف نباشد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بلامرجح است و باطل و از طرفی، لطف، داعی است و داعویت فعلی نسبت به تکلیفی بدون مناسبت میان آن دو ممکن نیست</w:t>
      </w:r>
      <w:r>
        <w:rPr>
          <w:rFonts w:eastAsia="IRNazanin" w:cs="IRNazanin"/>
          <w:color w:val="111111"/>
          <w:sz w:val="28"/>
          <w:szCs w:val="28"/>
          <w:rtl w:val="true"/>
          <w:lang w:bidi="fa-IR"/>
        </w:rPr>
        <w:t>.</w:t>
      </w:r>
    </w:p>
    <w:p>
      <w:pPr>
        <w:pStyle w:val="Heading3"/>
        <w:numPr>
          <w:ilvl w:val="2"/>
          <w:numId w:val="1"/>
        </w:numPr>
        <w:rPr/>
      </w:pPr>
      <w:bookmarkStart w:id="848" w:name="__RefHeading___Toc7812738_3381743652"/>
      <w:bookmarkStart w:id="849" w:name="_Toc328"/>
      <w:bookmarkEnd w:id="848"/>
      <w:r>
        <w:rPr>
          <w:rtl w:val="true"/>
        </w:rPr>
        <w:t>قاعدة اصلح</w:t>
      </w:r>
      <w:bookmarkEnd w:id="849"/>
    </w:p>
    <w:p>
      <w:pPr>
        <w:pStyle w:val="Heading4"/>
        <w:numPr>
          <w:ilvl w:val="3"/>
          <w:numId w:val="1"/>
        </w:numPr>
        <w:rPr/>
      </w:pPr>
      <w:bookmarkStart w:id="850" w:name="__RefHeading___Toc7812740_3381743652"/>
      <w:bookmarkStart w:id="851" w:name="_Toc329"/>
      <w:bookmarkEnd w:id="850"/>
      <w:r>
        <w:rPr>
          <w:rtl w:val="true"/>
        </w:rPr>
        <w:t>اشاره</w:t>
      </w:r>
      <w:bookmarkEnd w:id="851"/>
    </w:p>
    <w:p>
      <w:pPr>
        <w:pStyle w:val="BookText"/>
        <w:rPr/>
      </w:pPr>
      <w:r>
        <w:rPr>
          <w:rFonts w:ascii="IRNazanin" w:hAnsi="IRNazanin" w:eastAsia="IRNazanin"/>
          <w:color w:val="111111"/>
          <w:sz w:val="28"/>
          <w:sz w:val="28"/>
          <w:szCs w:val="28"/>
          <w:rtl w:val="true"/>
          <w:lang w:bidi="fa-IR"/>
        </w:rPr>
        <w:t>صاحب تمهید الأصول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الصلاح هو النفع بعینه فإذا تزاید النفع قیل أصلح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صلاح همان عین منافع و سود دادن است، پس هرگاه منافع بیشتر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اصلح در دین از شاخه های قاعده لطف است؛ چنانچه به مصالح کلی و نوعی پرداخته شود، بدان لطف گویند و اگر مصالح جزئی و فردی را شامل شود، آن را اصلح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قاعده لطف را قبول دارند، به قاعده اصلح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یوصف بأنه صلاح فی الدین و أصلح</w:t>
      </w:r>
      <w:r>
        <w:rPr>
          <w:rFonts w:eastAsia="IRNazanin" w:cs="IRNazanin"/>
          <w:color w:val="111111"/>
          <w:sz w:val="28"/>
          <w:szCs w:val="28"/>
          <w:rtl w:val="true"/>
          <w:lang w:bidi="fa-IR"/>
        </w:rPr>
        <w:t>»</w:t>
      </w:r>
      <w:r>
        <w:rPr>
          <w:rStyle w:val="FootnoteAnchor"/>
          <w:rtl w:val="true"/>
        </w:rPr>
        <w:footnoteReference w:id="908"/>
      </w:r>
      <w:r>
        <w:rPr>
          <w:rFonts w:ascii="IRNazanin" w:hAnsi="IRNazanin" w:eastAsia="IRNazanin"/>
          <w:color w:val="111111"/>
          <w:sz w:val="28"/>
          <w:sz w:val="28"/>
          <w:szCs w:val="28"/>
          <w:rtl w:val="true"/>
          <w:lang w:bidi="fa-IR"/>
        </w:rPr>
        <w:t>و شیخ طوسی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یوصف بأنه صلاح فی الدین</w:t>
      </w:r>
      <w:r>
        <w:rPr>
          <w:rFonts w:eastAsia="IRNazanin" w:cs="IRNazanin"/>
          <w:color w:val="111111"/>
          <w:sz w:val="28"/>
          <w:szCs w:val="28"/>
          <w:rtl w:val="true"/>
          <w:lang w:bidi="fa-IR"/>
        </w:rPr>
        <w:t>».</w:t>
      </w:r>
      <w:r>
        <w:rPr>
          <w:rStyle w:val="FootnoteAnchor"/>
          <w:rtl w:val="true"/>
        </w:rPr>
        <w:footnoteReference w:id="909"/>
      </w:r>
    </w:p>
    <w:p>
      <w:pPr>
        <w:pStyle w:val="Heading4"/>
        <w:numPr>
          <w:ilvl w:val="3"/>
          <w:numId w:val="1"/>
        </w:numPr>
        <w:rPr/>
      </w:pPr>
      <w:bookmarkStart w:id="852" w:name="__RefHeading___Toc7812742_3381743652"/>
      <w:bookmarkStart w:id="853" w:name="_Toc330"/>
      <w:bookmarkEnd w:id="852"/>
      <w:r>
        <w:rPr>
          <w:rtl w:val="true"/>
        </w:rPr>
        <w:t>دیدگاه شیخ طوسی درباره قاعده اصلح</w:t>
      </w:r>
      <w:bookmarkEnd w:id="853"/>
    </w:p>
    <w:p>
      <w:pPr>
        <w:pStyle w:val="BookText"/>
        <w:rPr/>
      </w:pPr>
      <w:r>
        <w:rPr>
          <w:rFonts w:ascii="IRNazanin" w:hAnsi="IRNazanin" w:eastAsia="IRNazanin"/>
          <w:color w:val="111111"/>
          <w:sz w:val="28"/>
          <w:sz w:val="28"/>
          <w:szCs w:val="28"/>
          <w:rtl w:val="true"/>
          <w:lang w:bidi="fa-IR"/>
        </w:rPr>
        <w:t>شیخ طوسی اصلح مربوط به امور دینی را می پذیرد و با صراحت، قاعدۀ اصلح در امور دنیا را رد می کند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اصلح در امور دنیا عبارت است از چیزهای نافعتری که لطف، شامل آن نمی شود</w:t>
      </w:r>
      <w:r>
        <w:rPr>
          <w:rFonts w:eastAsia="IRNazanin" w:cs="IRNazanin"/>
          <w:color w:val="111111"/>
          <w:sz w:val="28"/>
          <w:szCs w:val="28"/>
          <w:rtl w:val="true"/>
          <w:lang w:bidi="fa-IR"/>
        </w:rPr>
        <w:t xml:space="preserve">. </w:t>
      </w:r>
      <w:bookmarkStart w:id="854" w:name="pg14387_143854"/>
    </w:p>
    <w:p>
      <w:pPr>
        <w:pStyle w:val="BookText"/>
        <w:rPr/>
      </w:pPr>
      <w:bookmarkEnd w:id="854"/>
      <w:r>
        <w:rPr>
          <w:rFonts w:ascii="IRNazanin" w:hAnsi="IRNazanin" w:eastAsia="IRNazanin"/>
          <w:color w:val="111111"/>
          <w:sz w:val="28"/>
          <w:sz w:val="28"/>
          <w:szCs w:val="28"/>
          <w:rtl w:val="true"/>
          <w:lang w:bidi="fa-IR"/>
        </w:rPr>
        <w:t>پس اصلح در امور دنیا بر خدا واجب نیست؛ زیرا اگر چنین باشد، منجر به ایجاد فعل غیر متناهی می شود که محال است</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یعنی هرچه اصلح فرض کنی، اصلحتر از آن تصور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 اصلح، غیر متناهی می شود و ایجاد فعل غیر متناهی، محال است و بر خداوند، فعل غیر متناهی واجب نخواهد بود</w:t>
      </w:r>
      <w:r>
        <w:rPr>
          <w:rFonts w:eastAsia="IRNazanin" w:cs="IRNazanin"/>
          <w:color w:val="111111"/>
          <w:sz w:val="28"/>
          <w:szCs w:val="28"/>
          <w:rtl w:val="true"/>
          <w:lang w:bidi="fa-IR"/>
        </w:rPr>
        <w:t>.</w:t>
      </w:r>
    </w:p>
    <w:p>
      <w:pPr>
        <w:pStyle w:val="Heading4"/>
        <w:numPr>
          <w:ilvl w:val="3"/>
          <w:numId w:val="1"/>
        </w:numPr>
        <w:rPr/>
      </w:pPr>
      <w:bookmarkStart w:id="855" w:name="__RefHeading___Toc7812744_3381743652"/>
      <w:bookmarkStart w:id="856" w:name="_Toc331"/>
      <w:bookmarkEnd w:id="855"/>
      <w:r>
        <w:rPr>
          <w:rtl w:val="true"/>
        </w:rPr>
        <w:t>دلایل شیخ بر عدم وجوب اصلح در دنیا</w:t>
      </w:r>
      <w:bookmarkEnd w:id="856"/>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اصلح در امور دنیا واجب باشد، یکی از سه محذور زیر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غیر متناهی بر خدا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اخلال به واجب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خدا لازم می آید و این که وی فقط قادر به انجام فعل متناهی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مفهوم اصلح، غیر متناهی است و ایجاد فعل غیر متناهی بر خداوند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خداوند توان فعل غیر متناهی را دارد و اخلال به واجب کرده است، فاسد و باطل است و اگر گفته شود خدای متعال فقط بر فعل متناهی قادر است، این کفر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 عدم وجوب اصلح در امور دنیا آن است که اگر چنین باشد، خداوند مستحق شکر نخواهد بود؛ زیرا کسی که واجبی را مثل ادای امانت یا رد ودیعه انجام دهد، مستحق شکر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مستحق عبادت نخواهد بود و این خلاف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اصلح در امور دینی و الهی را می پذیرد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واجب است؛ زیرا معلوم، مقدور و متناهی است و متعلق تکلیف می باشد و اگر غیر متناهی و غیر مقدور باشد، تکلیف ساقط خواهد بود</w:t>
      </w:r>
      <w:r>
        <w:rPr>
          <w:rFonts w:eastAsia="IRNazanin" w:cs="IRNazanin"/>
          <w:color w:val="111111"/>
          <w:sz w:val="28"/>
          <w:szCs w:val="28"/>
          <w:rtl w:val="true"/>
          <w:lang w:bidi="fa-IR"/>
        </w:rPr>
        <w:t>.</w:t>
      </w:r>
      <w:r>
        <w:rPr>
          <w:rStyle w:val="FootnoteAnchor"/>
          <w:rtl w:val="true"/>
        </w:rPr>
        <w:footnoteReference w:id="91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ملاعلی قوشجی در کتاب شرح تجرید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معتزله معتقدند که </w:t>
      </w:r>
      <w:bookmarkStart w:id="857" w:name="pg14387_143855"/>
    </w:p>
    <w:p>
      <w:pPr>
        <w:pStyle w:val="BookText"/>
        <w:rPr/>
      </w:pPr>
      <w:bookmarkEnd w:id="857"/>
      <w:r>
        <w:rPr>
          <w:rFonts w:ascii="IRNazanin" w:hAnsi="IRNazanin" w:eastAsia="IRNazanin"/>
          <w:color w:val="111111"/>
          <w:sz w:val="28"/>
          <w:sz w:val="28"/>
          <w:szCs w:val="28"/>
          <w:rtl w:val="true"/>
          <w:lang w:bidi="fa-IR"/>
        </w:rPr>
        <w:t>خداوند باید آنچه درباره بندگانش شایسته است، انجام دهد</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و گروهی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اصلح، غیر متناهی است و خداوند برای ایجاد اصلح، توانایی بی نهایت دارد، ولی چون انسان توان انجام فعل غیر متناهی را ندارد، بر خداوند اصلح واجب نیست</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ابوالهذیل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متعال تنها کاری را انجام می دهد که برای بندگان او شایسته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نسبت به مکلفان از بندگان خود، جز آنچه برای دین و دنیای آنها اصلح باشد، انجام نخواهد داد و نفع و مصلحتی را از آنان دریغ نمی کند و نسبت به فردی که او را ثروت بخشیده و آن که او را فقیر کرده و آن که به او سلامتی بخشیده و یا کسی که بیمارش کرده است، تدبیر اصلح را اعمال کرده است</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البته مراد وی همان قاعده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گوهر مراد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قاعده اصلح آن است که با وجود اصلحیت نظر به آن چیز، منافی مصلحت کل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 نیست در وجویش از خدای تعالی</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و نیز در کتاب سرمایه ایمان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چیزی مقتضای مصلحت کل باشد و منافی مصلحت جزء و یا بر عکس، واجب است تقدیم مقتضای کل بر مقتضای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ترک اصلح قبیح باشد، وجود اصلح واجب است، لکن ترک اصلح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کل و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دهد که وجود اصلح واجب است</w:t>
      </w:r>
      <w:r>
        <w:rPr>
          <w:rFonts w:eastAsia="IRNazanin" w:cs="IRNazanin"/>
          <w:color w:val="111111"/>
          <w:sz w:val="28"/>
          <w:szCs w:val="28"/>
          <w:rtl w:val="true"/>
          <w:lang w:bidi="fa-IR"/>
        </w:rPr>
        <w:t>.</w:t>
      </w:r>
      <w:r>
        <w:rPr>
          <w:rStyle w:val="FootnoteAnchor"/>
          <w:rtl w:val="true"/>
        </w:rPr>
        <w:footnoteReference w:id="917"/>
      </w:r>
    </w:p>
    <w:p>
      <w:pPr>
        <w:pStyle w:val="Heading3"/>
        <w:numPr>
          <w:ilvl w:val="2"/>
          <w:numId w:val="1"/>
        </w:numPr>
        <w:rPr/>
      </w:pPr>
      <w:bookmarkStart w:id="858" w:name="__RefHeading___Toc7812746_3381743652"/>
      <w:bookmarkStart w:id="859" w:name="_Toc332"/>
      <w:bookmarkEnd w:id="858"/>
      <w:r>
        <w:rPr>
          <w:rtl w:val="true"/>
        </w:rPr>
        <w:t>پیشینه قاعده لطف</w:t>
      </w:r>
      <w:bookmarkEnd w:id="859"/>
    </w:p>
    <w:p>
      <w:pPr>
        <w:pStyle w:val="Heading4"/>
        <w:numPr>
          <w:ilvl w:val="3"/>
          <w:numId w:val="1"/>
        </w:numPr>
        <w:rPr/>
      </w:pPr>
      <w:bookmarkStart w:id="860" w:name="__RefHeading___Toc7812748_3381743652"/>
      <w:bookmarkStart w:id="861" w:name="_Toc333"/>
      <w:bookmarkEnd w:id="860"/>
      <w:r>
        <w:rPr>
          <w:rtl w:val="true"/>
        </w:rPr>
        <w:t>اشاره</w:t>
      </w:r>
      <w:bookmarkEnd w:id="86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به مباحث عقلی در تاریخ اسلام با مباحث معتزله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متکلمانی که به بحث از امور عقلی پرداخته اند، معتزله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اعتزال با </w:t>
      </w:r>
      <w:bookmarkStart w:id="862" w:name="pg14387_143856"/>
    </w:p>
    <w:p>
      <w:pPr>
        <w:pStyle w:val="BookText"/>
        <w:rPr/>
      </w:pPr>
      <w:bookmarkEnd w:id="862"/>
      <w:r>
        <w:rPr>
          <w:rFonts w:ascii="IRNazanin" w:hAnsi="IRNazanin" w:eastAsia="IRNazanin"/>
          <w:color w:val="111111"/>
          <w:sz w:val="28"/>
          <w:sz w:val="28"/>
          <w:szCs w:val="28"/>
          <w:rtl w:val="true"/>
          <w:lang w:bidi="fa-IR"/>
        </w:rPr>
        <w:t xml:space="preserve">کناره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مشخصه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بر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جریانی یک امر درونی در جهان اسلام بوده است و نمی توان آن را به تأثیر یونان و ایران باستان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ترجمه متون یونانی و ایرانی در قرنهای بعدی سوم و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رشد این مباحث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دوره ترجمه، بیشتر مربوط به عصر خلفای عباسی، بویژه مأمون است، در حالی که شکل گیری جریان معتزله به قرن دوم هجری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متکلمان مکتب اعتزال قائل به قاعده لطف بوده اند، ولی نقل است که بشر بن 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از معتزله بغداد بودند، با آن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گویند آن دو نیز از نظر خود برگشتند و قاعده لطف را پذیرفتند، ولی مخالفان مشهور قاعده لطف، اشاعره هستند؛ زیرا آنان حسن و قبح عقلی را قبول ندارند و با توجه به اعتقادشان به جبر، بحث از قاعده لطف، بدون بحث از اختیار انسان بی معنی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قاضی عبدالجبار معتزلی بحث از قاعده را با آنان بی فایده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لطف جز به اختیار انسان در فعل و ترک برنمی گردد و اشاعره قول به اختیار را از اساس رد کرده اند، پس گفت وگو با ایشان در باب قاعده لطف،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ما لطف را به طور مطلق واجب می دانستند</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سید مرتضی نیز در الذخیره نظریه ابوعلی و ابوهاشم جبائی را در فروعات قاعدة لطف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لطف نیز مثل حسن و قبح عقلی، جزء نخستین مسائلی است که در علم کلام مطرح بوده و فضل بن شاذان و شیخ صدوق نیز به قاعده لطف و</w:t>
      </w:r>
    </w:p>
    <w:p>
      <w:pPr>
        <w:pStyle w:val="BookText"/>
        <w:rPr/>
      </w:pPr>
      <w:r>
        <w:rPr>
          <w:rFonts w:ascii="IRNazanin" w:hAnsi="IRNazanin" w:eastAsia="IRNazanin"/>
          <w:color w:val="111111"/>
          <w:sz w:val="28"/>
          <w:sz w:val="28"/>
          <w:szCs w:val="28"/>
          <w:rtl w:val="true"/>
          <w:lang w:bidi="fa-IR"/>
        </w:rPr>
        <w:t>اصلح پرداخته اند</w:t>
      </w:r>
      <w:r>
        <w:rPr>
          <w:rFonts w:eastAsia="IRNazanin" w:cs="IRNazanin"/>
          <w:color w:val="111111"/>
          <w:sz w:val="28"/>
          <w:szCs w:val="28"/>
          <w:rtl w:val="true"/>
          <w:lang w:bidi="fa-IR"/>
        </w:rPr>
        <w:t>.</w:t>
      </w:r>
    </w:p>
    <w:p>
      <w:pPr>
        <w:pStyle w:val="Heading4"/>
        <w:numPr>
          <w:ilvl w:val="3"/>
          <w:numId w:val="1"/>
        </w:numPr>
        <w:rPr/>
      </w:pPr>
      <w:bookmarkStart w:id="863" w:name="__RefHeading___Toc7812750_3381743652"/>
      <w:bookmarkStart w:id="864" w:name="_Toc334"/>
      <w:bookmarkEnd w:id="863"/>
      <w:r>
        <w:rPr>
          <w:rtl w:val="true"/>
        </w:rPr>
        <w:t>دیدگاه شیخ طوسی</w:t>
      </w:r>
      <w:bookmarkEnd w:id="864"/>
    </w:p>
    <w:p>
      <w:pPr>
        <w:pStyle w:val="BookText"/>
        <w:rPr/>
      </w:pPr>
      <w:r>
        <w:rPr>
          <w:rFonts w:ascii="IRNazanin" w:hAnsi="IRNazanin" w:eastAsia="IRNazanin"/>
          <w:color w:val="111111"/>
          <w:sz w:val="28"/>
          <w:sz w:val="28"/>
          <w:szCs w:val="28"/>
          <w:rtl w:val="true"/>
          <w:lang w:bidi="fa-IR"/>
        </w:rPr>
        <w:t>وی در کتاب الفهرست گوید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کتابهای کلامی هشام بن حکم،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هشام از متکلمان قرن دوم هجری است و به گفته کشی در سال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و به گفته نجاشی در </w:t>
      </w:r>
      <w:bookmarkStart w:id="865" w:name="pg14387_143857"/>
    </w:p>
    <w:p>
      <w:pPr>
        <w:pStyle w:val="BookText"/>
        <w:rPr/>
      </w:pPr>
      <w:bookmarkEnd w:id="865"/>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درگذشته است و در هر حال با نخستین طبقه از متکلمان، مانند عمرو بن عبید معاصر بوده است</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بنابراین، قاعده لطف در میان امامیه، حتی پیش از تولد شیخ الطایفه مطرح بوده است و مباحث زیادی میان اندیشمندان اسلامی صورت گرفته است و تاریخی طولانی دارد</w:t>
      </w:r>
      <w:r>
        <w:rPr>
          <w:rFonts w:eastAsia="IRNazanin" w:cs="IRNazanin"/>
          <w:color w:val="111111"/>
          <w:sz w:val="28"/>
          <w:szCs w:val="28"/>
          <w:rtl w:val="true"/>
          <w:lang w:bidi="fa-IR"/>
        </w:rPr>
        <w:t>.</w:t>
      </w:r>
    </w:p>
    <w:p>
      <w:pPr>
        <w:pStyle w:val="Heading3"/>
        <w:numPr>
          <w:ilvl w:val="2"/>
          <w:numId w:val="1"/>
        </w:numPr>
        <w:rPr/>
      </w:pPr>
      <w:bookmarkStart w:id="866" w:name="__RefHeading___Toc7812752_3381743652"/>
      <w:bookmarkStart w:id="867" w:name="_Toc335"/>
      <w:bookmarkEnd w:id="866"/>
      <w:r>
        <w:rPr>
          <w:rtl w:val="true"/>
        </w:rPr>
        <w:t>دلایل قاعده لطف</w:t>
      </w:r>
      <w:bookmarkEnd w:id="867"/>
    </w:p>
    <w:p>
      <w:pPr>
        <w:pStyle w:val="Heading4"/>
        <w:numPr>
          <w:ilvl w:val="3"/>
          <w:numId w:val="1"/>
        </w:numPr>
        <w:rPr/>
      </w:pPr>
      <w:bookmarkStart w:id="868" w:name="__RefHeading___Toc7812754_3381743652"/>
      <w:bookmarkStart w:id="869" w:name="_Toc336"/>
      <w:bookmarkEnd w:id="868"/>
      <w:r>
        <w:rPr>
          <w:rtl w:val="true"/>
        </w:rPr>
        <w:t>الف</w:t>
      </w:r>
      <w:r>
        <w:rPr>
          <w:rtl w:val="true"/>
        </w:rPr>
        <w:t xml:space="preserve">) </w:t>
      </w:r>
      <w:r>
        <w:rPr>
          <w:rtl w:val="true"/>
        </w:rPr>
        <w:t>دلایل عقلی</w:t>
      </w:r>
      <w:bookmarkEnd w:id="869"/>
    </w:p>
    <w:p>
      <w:pPr>
        <w:pStyle w:val="Heading5"/>
        <w:numPr>
          <w:ilvl w:val="4"/>
          <w:numId w:val="1"/>
        </w:numPr>
        <w:rPr/>
      </w:pPr>
      <w:bookmarkStart w:id="870" w:name="__RefHeading___Toc7812756_3381743652"/>
      <w:bookmarkStart w:id="871" w:name="_Toc337"/>
      <w:bookmarkEnd w:id="870"/>
      <w:r>
        <w:rPr/>
        <w:t>1</w:t>
      </w:r>
      <w:r>
        <w:rPr>
          <w:rtl w:val="true"/>
        </w:rPr>
        <w:t xml:space="preserve">. </w:t>
      </w:r>
      <w:r>
        <w:rPr>
          <w:rtl w:val="true"/>
        </w:rPr>
        <w:t>اصل تکلیف و حکمت</w:t>
      </w:r>
      <w:bookmarkEnd w:id="871"/>
    </w:p>
    <w:p>
      <w:pPr>
        <w:pStyle w:val="BookText"/>
        <w:rPr/>
      </w:pPr>
      <w:r>
        <w:rPr>
          <w:rFonts w:ascii="IRNazanin" w:hAnsi="IRNazanin" w:eastAsia="IRNazanin"/>
          <w:color w:val="111111"/>
          <w:sz w:val="28"/>
          <w:sz w:val="28"/>
          <w:szCs w:val="28"/>
          <w:rtl w:val="true"/>
          <w:lang w:bidi="fa-IR"/>
        </w:rPr>
        <w:t>شیخ طوسی از تمثیل مشهور متکلمان استفاده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میزبان، مهمانی را برای صرف غذا و رساندن نفع به او دعوت کند و میزبان بتواند مقدماتی را فراهم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ماشین بفرستد و یا تلفن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از این کار سر باز زند، عقل،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می کند و فعل او بر خلاف حکمت است</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یعنی خداوند، انسان را به واجب، امر و از حرام، نهی کرده که بدون غرض نیست و هدف وی شکوفایی استعدادهای انسان است و آن، بدون آماده کردن مقدمات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خدای متعال تمام وسایل مورد نیاز را برای به انجام رساندن دستورات الهی، از باب لطف،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نوبختی در یاقوت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تکلیف مقتضی وجوب لطف است، مانند وجوب اعطای قدرت و توانا ساختن مکلف</w:t>
      </w:r>
      <w:r>
        <w:rPr>
          <w:rFonts w:eastAsia="IRNazanin" w:cs="IRNazanin"/>
          <w:color w:val="111111"/>
          <w:sz w:val="28"/>
          <w:szCs w:val="28"/>
          <w:rtl w:val="true"/>
          <w:lang w:bidi="fa-IR"/>
        </w:rPr>
        <w:t>.</w:t>
      </w:r>
      <w:r>
        <w:rPr>
          <w:rStyle w:val="FootnoteAnchor"/>
          <w:rtl w:val="true"/>
        </w:rPr>
        <w:footnoteReference w:id="92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غرض از تکلیف، طاعت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مثلا اگر خداوند تکلیفی کند </w:t>
      </w:r>
      <w:bookmarkStart w:id="872" w:name="pg14387_143858"/>
    </w:p>
    <w:p>
      <w:pPr>
        <w:pStyle w:val="BookText"/>
        <w:rPr/>
      </w:pPr>
      <w:bookmarkEnd w:id="872"/>
      <w:r>
        <w:rPr>
          <w:rFonts w:ascii="IRNazanin" w:hAnsi="IRNazanin" w:eastAsia="IRNazanin"/>
          <w:color w:val="111111"/>
          <w:sz w:val="28"/>
          <w:sz w:val="28"/>
          <w:szCs w:val="28"/>
          <w:rtl w:val="true"/>
          <w:lang w:bidi="fa-IR"/>
        </w:rPr>
        <w:t>و انسان قادر به فعل و ترک آن باشد و خدای متعال بنده را تشویق به انجام امرش نکند، این نقض غرض است؛ مثل دعوت کردن و آدرس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خواجه نصیرالدین طوسی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اللطف واجب لیحصل الغرض</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 یعنی لطف واجب است تا غرض از تکلیف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غرض، قبیح است و خداوند متعال نیز مرتکب فعل قبیح نمی شود</w:t>
      </w:r>
      <w:r>
        <w:rPr>
          <w:rFonts w:eastAsia="IRNazanin" w:cs="IRNazanin"/>
          <w:color w:val="111111"/>
          <w:sz w:val="28"/>
          <w:szCs w:val="28"/>
          <w:rtl w:val="true"/>
          <w:lang w:bidi="fa-IR"/>
        </w:rPr>
        <w:t>.</w:t>
      </w:r>
    </w:p>
    <w:p>
      <w:pPr>
        <w:pStyle w:val="Heading5"/>
        <w:numPr>
          <w:ilvl w:val="4"/>
          <w:numId w:val="1"/>
        </w:numPr>
        <w:rPr/>
      </w:pPr>
      <w:bookmarkStart w:id="873" w:name="__RefHeading___Toc7812758_3381743652"/>
      <w:bookmarkStart w:id="874" w:name="_Toc338"/>
      <w:bookmarkEnd w:id="873"/>
      <w:r>
        <w:rPr/>
        <w:t>۲</w:t>
      </w:r>
      <w:r>
        <w:rPr>
          <w:rtl w:val="true"/>
        </w:rPr>
        <w:t xml:space="preserve">. </w:t>
      </w:r>
      <w:r>
        <w:rPr>
          <w:rtl w:val="true"/>
        </w:rPr>
        <w:t>عدل خداوند</w:t>
      </w:r>
      <w:bookmarkEnd w:id="874"/>
    </w:p>
    <w:p>
      <w:pPr>
        <w:pStyle w:val="BookText"/>
        <w:rPr/>
      </w:pPr>
      <w:r>
        <w:rPr>
          <w:rFonts w:ascii="IRNazanin" w:hAnsi="IRNazanin" w:eastAsia="IRNazanin"/>
          <w:color w:val="111111"/>
          <w:sz w:val="28"/>
          <w:sz w:val="28"/>
          <w:szCs w:val="28"/>
          <w:rtl w:val="true"/>
          <w:lang w:bidi="fa-IR"/>
        </w:rPr>
        <w:t>از کلام شیخ مفید چنین استفاده می شود که معتزله، لطف را از عدل خداوند می دانند، در حالی که امامیه، آن را به عموم فیض و لطف خدا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تأمل در سخنان معتزله و امامیه و تحقیق در معنای عدل، روشن می شود که هر دو گروه، قاعده لطف را به دلیل عقلی استناد می کنند که خدای متعال برای حصول غرض، مقدمات انجام واجبات و ترک محرمات را فراهم می سازد، والا نقض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مبتنی دانستن قاعده الطف بر عدل الهی، باطل است؛ زیرا علت قبح ترک لطف، همان نقض غرض است که مبنای برهان حکمت بود</w:t>
      </w:r>
      <w:r>
        <w:rPr>
          <w:rFonts w:eastAsia="IRNazanin" w:cs="IRNazanin"/>
          <w:color w:val="111111"/>
          <w:sz w:val="28"/>
          <w:szCs w:val="28"/>
          <w:rtl w:val="true"/>
          <w:lang w:bidi="fa-IR"/>
        </w:rPr>
        <w:t>.</w:t>
      </w:r>
    </w:p>
    <w:p>
      <w:pPr>
        <w:pStyle w:val="Heading5"/>
        <w:numPr>
          <w:ilvl w:val="4"/>
          <w:numId w:val="1"/>
        </w:numPr>
        <w:rPr/>
      </w:pPr>
      <w:bookmarkStart w:id="875" w:name="__RefHeading___Toc7812760_3381743652"/>
      <w:bookmarkStart w:id="876" w:name="_Toc339"/>
      <w:bookmarkEnd w:id="875"/>
      <w:r>
        <w:rPr/>
        <w:t>٣</w:t>
      </w:r>
      <w:r>
        <w:rPr>
          <w:rtl w:val="true"/>
        </w:rPr>
        <w:t xml:space="preserve">. </w:t>
      </w:r>
      <w:r>
        <w:rPr>
          <w:rtl w:val="true"/>
        </w:rPr>
        <w:t>جود و کرم خداوند</w:t>
      </w:r>
      <w:bookmarkEnd w:id="876"/>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لطف که اصحاب، لطف آن را واجب دانسته اند، از ناحیه جود و کرم واجب است</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البته قاعده لطف بر مبنای جود و کرم، گسترده تر از مفاد آن بر مبنای اصل حکمت است؛ زیرا بر پایه اصل حکمت، فقط افعالی که موجب نقض غرض است، مصداق لطف خواهد بود، ولی بر مبنای جود و کرم الهی، اگر انجام فعلی از جانب خداوند، انفع باشد و</w:t>
      </w:r>
    </w:p>
    <w:p>
      <w:pPr>
        <w:pStyle w:val="BookText"/>
        <w:rPr/>
      </w:pPr>
      <w:r>
        <w:rPr>
          <w:rFonts w:ascii="IRNazanin" w:hAnsi="IRNazanin" w:eastAsia="IRNazanin"/>
          <w:color w:val="111111"/>
          <w:sz w:val="28"/>
          <w:sz w:val="28"/>
          <w:szCs w:val="28"/>
          <w:rtl w:val="true"/>
          <w:lang w:bidi="fa-IR"/>
        </w:rPr>
        <w:t>پاداش مکلف را زیاد کند، بر خدا واجب است آن را انجام دهد</w:t>
      </w:r>
      <w:r>
        <w:rPr>
          <w:rFonts w:eastAsia="IRNazanin" w:cs="IRNazanin"/>
          <w:color w:val="111111"/>
          <w:sz w:val="28"/>
          <w:szCs w:val="28"/>
          <w:rtl w:val="true"/>
          <w:lang w:bidi="fa-IR"/>
        </w:rPr>
        <w:t>.</w:t>
      </w:r>
    </w:p>
    <w:p>
      <w:pPr>
        <w:pStyle w:val="Heading5"/>
        <w:numPr>
          <w:ilvl w:val="4"/>
          <w:numId w:val="1"/>
        </w:numPr>
        <w:rPr/>
      </w:pPr>
      <w:bookmarkStart w:id="877" w:name="__RefHeading___Toc7812762_3381743652"/>
      <w:bookmarkStart w:id="878" w:name="_Toc340"/>
      <w:bookmarkEnd w:id="877"/>
      <w:r>
        <w:rPr/>
        <w:t>۴</w:t>
      </w:r>
      <w:r>
        <w:rPr>
          <w:rtl w:val="true"/>
        </w:rPr>
        <w:t xml:space="preserve">. </w:t>
      </w:r>
      <w:r>
        <w:rPr>
          <w:rtl w:val="true"/>
        </w:rPr>
        <w:t>ترک لطف، لطف در ترک طاعت</w:t>
      </w:r>
      <w:bookmarkEnd w:id="87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نوبختی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ترک لطف، لطف در ترک طاعت است و لطف در مفسده، مفسده و ناروا </w:t>
      </w:r>
      <w:bookmarkStart w:id="879" w:name="pg14387_143859"/>
    </w:p>
    <w:p>
      <w:pPr>
        <w:pStyle w:val="BookText"/>
        <w:rPr/>
      </w:pPr>
      <w:bookmarkEnd w:id="879"/>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 یعنی ترک لطف، نتیجه معکوس دارد؛ زیرا ترک طاعت، قبیح است، پس آنچه موجب ترک طاعت است نیز قبیح است و در نتیجه، لطف که موجب ترک طاعت از خدای متعال است، قبیح است و خدا از هرگونه قبحی منه است</w:t>
      </w:r>
      <w:r>
        <w:rPr>
          <w:rFonts w:eastAsia="IRNazanin" w:cs="IRNazanin"/>
          <w:color w:val="111111"/>
          <w:sz w:val="28"/>
          <w:szCs w:val="28"/>
          <w:rtl w:val="true"/>
          <w:lang w:bidi="fa-IR"/>
        </w:rPr>
        <w:t>.</w:t>
      </w:r>
    </w:p>
    <w:p>
      <w:pPr>
        <w:pStyle w:val="Heading5"/>
        <w:numPr>
          <w:ilvl w:val="4"/>
          <w:numId w:val="1"/>
        </w:numPr>
        <w:rPr/>
      </w:pPr>
      <w:bookmarkStart w:id="880" w:name="__RefHeading___Toc7812764_3381743652"/>
      <w:bookmarkStart w:id="881" w:name="_Toc341"/>
      <w:bookmarkEnd w:id="880"/>
      <w:r>
        <w:rPr/>
        <w:t>۵</w:t>
      </w:r>
      <w:r>
        <w:rPr>
          <w:rtl w:val="true"/>
        </w:rPr>
        <w:t xml:space="preserve">. </w:t>
      </w:r>
      <w:r>
        <w:rPr>
          <w:rtl w:val="true"/>
        </w:rPr>
        <w:t>داعی بر تکلیف، داعی بر لطف است</w:t>
      </w:r>
      <w:bookmarkEnd w:id="881"/>
    </w:p>
    <w:p>
      <w:pPr>
        <w:pStyle w:val="BookText"/>
        <w:rPr/>
      </w:pPr>
      <w:r>
        <w:rPr>
          <w:rFonts w:ascii="IRNazanin" w:hAnsi="IRNazanin" w:eastAsia="IRNazanin"/>
          <w:color w:val="111111"/>
          <w:sz w:val="28"/>
          <w:sz w:val="28"/>
          <w:szCs w:val="28"/>
          <w:rtl w:val="true"/>
          <w:lang w:bidi="fa-IR"/>
        </w:rPr>
        <w:t>یعنی هر فعلی که انجام آن داعی داشته باشد و فاقد انگیزه ترک باشد و فاعل قدرت انجام آن را داشته باشد، وقوع آن ضروری است، والا تخلف علت از معلول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خدا بر انجام آن قادر است، انگیزه آن را هم دارد و هیچ صارفی هم تصور</w:t>
      </w:r>
    </w:p>
    <w:p>
      <w:pPr>
        <w:pStyle w:val="BookText"/>
        <w:rPr/>
      </w:pPr>
      <w:r>
        <w:rPr>
          <w:rFonts w:ascii="IRNazanin" w:hAnsi="IRNazanin" w:eastAsia="IRNazanin"/>
          <w:color w:val="111111"/>
          <w:sz w:val="28"/>
          <w:sz w:val="28"/>
          <w:szCs w:val="28"/>
          <w:rtl w:val="true"/>
          <w:lang w:bidi="fa-IR"/>
        </w:rPr>
        <w:t>نمی شود، پس صدور این فعل از خدا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سید مرتضی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داعی بر اراده فعل است، داعی بر اراده چیزی که آن فعل بدون آن اختیار نمی گردد نیز می باشد و هرگاه داعی بر فعل تکلیف، قراردادن بندگان در معرض ثواب و رستگاری است، و از طرفی خداوند می داند که بندگان، طاعت را برنمی گزینند، مگر در صورتی که فعل ویژه ای در مورد آن انجام شود، در این صورت، انجام آن فعل لازم خواهد بود؛ زیرا مکمل داعی او بر تکلیف می باشد</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آقای ربانی گلپایگانی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این استدلال به همان برهان حکمت است؛ زیرا حاصل آن، این است که بدون لطف، داعی بر تکلیف که قرار گرفتن بندگان در معرض پاداش و رستگاری است، تحصیل نخواهد شد و نقض غرض لازم می آید</w:t>
      </w:r>
      <w:r>
        <w:rPr>
          <w:rFonts w:eastAsia="IRNazanin" w:cs="IRNazanin"/>
          <w:color w:val="111111"/>
          <w:sz w:val="28"/>
          <w:szCs w:val="28"/>
          <w:rtl w:val="true"/>
          <w:lang w:bidi="fa-IR"/>
        </w:rPr>
        <w:t>.</w:t>
      </w:r>
      <w:r>
        <w:rPr>
          <w:rStyle w:val="FootnoteAnchor"/>
          <w:rtl w:val="true"/>
        </w:rPr>
        <w:footnoteReference w:id="926"/>
      </w:r>
    </w:p>
    <w:p>
      <w:pPr>
        <w:pStyle w:val="Heading4"/>
        <w:numPr>
          <w:ilvl w:val="3"/>
          <w:numId w:val="1"/>
        </w:numPr>
        <w:rPr/>
      </w:pPr>
      <w:bookmarkStart w:id="882" w:name="__RefHeading___Toc7812766_3381743652"/>
      <w:bookmarkStart w:id="883" w:name="_Toc342"/>
      <w:bookmarkEnd w:id="882"/>
      <w:r>
        <w:rPr>
          <w:rtl w:val="true"/>
        </w:rPr>
        <w:t>ب</w:t>
      </w:r>
      <w:r>
        <w:rPr>
          <w:rtl w:val="true"/>
        </w:rPr>
        <w:t xml:space="preserve">) </w:t>
      </w:r>
      <w:r>
        <w:rPr>
          <w:rtl w:val="true"/>
        </w:rPr>
        <w:t>دلایل نقلی</w:t>
      </w:r>
      <w:bookmarkEnd w:id="883"/>
    </w:p>
    <w:p>
      <w:pPr>
        <w:pStyle w:val="Heading5"/>
        <w:numPr>
          <w:ilvl w:val="4"/>
          <w:numId w:val="1"/>
        </w:numPr>
        <w:rPr/>
      </w:pPr>
      <w:bookmarkStart w:id="884" w:name="__RefHeading___Toc7812768_3381743652"/>
      <w:bookmarkStart w:id="885" w:name="_Toc343"/>
      <w:bookmarkEnd w:id="884"/>
      <w:r>
        <w:rPr>
          <w:rtl w:val="true"/>
        </w:rPr>
        <w:t>قرآن و قاعده لطف</w:t>
      </w:r>
      <w:bookmarkEnd w:id="8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تکوینی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قصص، آیه شریفه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لاتهدی من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در این آیه، همان لطف خاص خداست که بنده برای کسب ایمان بدان محتاج است؛ زیرا این لطف، یا فعل خاص اوست یا با اعلام او، زیرا بنده نمی داند که صلاح و فساد کار او چیست و چون تدبیر در صلاح بندۀ خود کند، در حق او لطف کرده و این تدبیر هم فقط از ناحیه خدا ممکن است</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همچنین ذیل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هدی الله یهدی به من یشاء</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اهتدوا زادهم هدی</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الله الذین اهتدوا هدی</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هدی الله</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به هدایت خاص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شیخ طوسی در اینجا هدایت را به هدایت تکوینی خاص که همان لطف الهی است و تنها شامل مؤمنان می گردد و جز او توان اعطای چنین هدایتی را ندارد، تفسیر کرده و از هدایت تکوینی عام و هدایت تشریعی، جدا ساخته است</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خویی پیامبر مظهر رحمت خداوندی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رحمة من الله لنت لهم و لو کنت فظا غلیظ القلب لانفضوا من حولک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در پرتو رحمت و لطف پروردگار، تو با مردم مهربان شدی، در حالی که اگر خشن و تندخو و سنگدل بودی، از اطراف تو پراکنده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پیامبران جلوه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خدای متعال در سوره مبارکه زخرف آیه شریفه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أهم یقسمون رحمة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طوسی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تعجب کردند که این موهبت و رحمت الهی، چرا بر یکی از ثروتمندان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 مخزومی و عروة بن مسعود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است، بلکه بر یتیمی چون محمد رسول الله نازل شده است که قرآن پاسخ فوق را به این طرز تفکر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رحمت پروردگارت را تقسیم می کنند؟ شیخ الطایفه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غلط لأن الله تعالی یقسم الرحمة بالنبوة کما یقسم الرزق فی المعیشة علی حسب ما یعلم من مصالح عباده</w:t>
      </w:r>
      <w:r>
        <w:rPr>
          <w:rFonts w:eastAsia="IRNazanin" w:cs="IRNazanin"/>
          <w:color w:val="111111"/>
          <w:sz w:val="28"/>
          <w:szCs w:val="28"/>
          <w:rtl w:val="true"/>
          <w:lang w:bidi="fa-IR"/>
        </w:rPr>
        <w:t>...».</w:t>
      </w:r>
      <w:r>
        <w:rPr>
          <w:rStyle w:val="FootnoteAnchor"/>
          <w:rtl w:val="true"/>
        </w:rPr>
        <w:footnoteReference w:id="93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 پیامبران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رسلا مبشرین و منذرین لئلا یکون للناس حجة بعد </w:t>
      </w:r>
    </w:p>
    <w:p>
      <w:pPr>
        <w:pStyle w:val="BookText"/>
        <w:rPr/>
      </w:pP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شیخ طوسی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با ارسال پیامبران و بشارت و انذار آنان، حجت خدا را بر انسانها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معلوم است که فرستادن پیامبران، بشارتها و انذارهای الهی توسط آنان از مصادیق لطف است؛ یعنی با بعثت انبیا، انسان راه مصالح و مفاسد را می داند و به سعادت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لطف و رحمت خداوندی حاصل است که هر کس به دستورات شرع عمل کند، هدایت و آن که کافر شد، هیچ عذری بر تمرد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خدای متعال با ارسال رسل و بشارت و انذار آنها، حجت را بر مردم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انذار و تبشیر، با تشریع قوانین و وضع تکالیف دینی، تفاوت دارد و بیشتر در جهت ایجاد رغبت مردم به سوی طاعت و دوری آنان از گناه است</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تنبه و تحذر دیگران بر آگاهان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سوره توبه، آیه شریفه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نفر من کل فرقة منهم طائفة لیتفقهوا فی الدین و لینذروا قومهم إذا رجعوا إلیهم 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در این آیه شریفه به معنای دوری از معصیت و روی آوردن به طاعت است که همان معنای لطف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شیخ طوسی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الحذر یقتضی وجوب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الحذر تجنب الشیء لما فیه من المضرة</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نعمتهای خداوندی، حسن شکرگزاری و طاعت از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سوره نحل، آیه مبارکه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تری الفلک مواخر فیه و لتبتغوا من فضله و لعلکم تشکرون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نمونه دیگری از لطف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موجب کاهش گناه گناهکاران و افزایش کمالات بی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سوره اعراف، آیه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فی قریة من نبی إلا أخذنا أهلها بالبأساء والضراء لعلهم یضعون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شریفه استفاده می شود که گرفتاری و سختی، زمینه ساز تضرع و خضوع انسان به درگاه ایزد 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پروردگار عالم، همزمان با فرستادن پیامبران، پیروان آنان را به سختی و بلا گرفتار می کند تا زمینه تقرب برای آنان فراهم </w:t>
      </w:r>
      <w:bookmarkStart w:id="886" w:name="pg14387_143862"/>
    </w:p>
    <w:p>
      <w:pPr>
        <w:pStyle w:val="BookText"/>
        <w:rPr/>
      </w:pPr>
      <w:bookmarkEnd w:id="886"/>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شیخ طوسی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یفعل بهم ذلک لعلمه بما لهم فیه من الصلاح لکی یتضرعوا</w:t>
      </w:r>
      <w:r>
        <w:rPr>
          <w:rFonts w:eastAsia="IRNazanin" w:cs="IRNazanin"/>
          <w:color w:val="111111"/>
          <w:sz w:val="28"/>
          <w:szCs w:val="28"/>
          <w:rtl w:val="true"/>
          <w:lang w:bidi="fa-IR"/>
        </w:rPr>
        <w:t>».</w:t>
      </w:r>
      <w:r>
        <w:rPr>
          <w:rStyle w:val="FootnoteAnchor"/>
          <w:rtl w:val="true"/>
        </w:rPr>
        <w:footnoteReference w:id="938"/>
      </w:r>
    </w:p>
    <w:p>
      <w:pPr>
        <w:pStyle w:val="Heading5"/>
        <w:numPr>
          <w:ilvl w:val="4"/>
          <w:numId w:val="1"/>
        </w:numPr>
        <w:rPr/>
      </w:pPr>
      <w:bookmarkStart w:id="887" w:name="__RefHeading___Toc7812770_3381743652"/>
      <w:bookmarkStart w:id="888" w:name="_Toc344"/>
      <w:bookmarkEnd w:id="887"/>
      <w:r>
        <w:rPr>
          <w:rtl w:val="true"/>
        </w:rPr>
        <w:t>سخنان معصومان درباره لطف</w:t>
      </w:r>
      <w:bookmarkEnd w:id="888"/>
    </w:p>
    <w:p>
      <w:pPr>
        <w:pStyle w:val="BookText"/>
        <w:rPr/>
      </w:pPr>
      <w:r>
        <w:rPr>
          <w:rFonts w:ascii="IRNazanin" w:hAnsi="IRNazanin" w:eastAsia="IRNazanin"/>
          <w:color w:val="111111"/>
          <w:sz w:val="28"/>
          <w:sz w:val="28"/>
          <w:szCs w:val="28"/>
          <w:rtl w:val="true"/>
          <w:lang w:bidi="fa-IR"/>
        </w:rPr>
        <w:t>حضرت زهرا سلام الله علیها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را بدون آن که قبل از آنها پدیده ای باشد، آفرید تا حکمت خود را ثابت نماید، خلق را بر طاعت خویش فراخواند و آنان را به عبودیت برگزید، آنگاه بر طاعت خود پاداش و بر معصیت خویش، عقاب مقرر نمود تا انسان را از نقمت خود برحذر دارد و به جانب بهشت سوق دهد</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نسبت به بندگان خویش، جز آنچه برای آنان اصلح است، انجام نمی دهد و به آنان کمترین ظلمی روا نمی کند، ولی انسان به خویش ستم می نماید</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در جای دیگر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من أنبیاءه من خزائن لطفه و کرمه و رحمته</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حضرت امام حسین 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یکن حکیمة لجاز أن یخلق الخلق عبثا</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و علامه شعرانی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اصول مقرر در مذهب ما وجوب لطف بر خداست که همان چیزی است که باعث تقرب به خدا و دوری از معصیت می شود</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در روایتی از علی علیه السلام نیز به مواردی از لطف اشاره شده و نقش ترغیب، ترهیب در گرایش مردم به انجام وظایف دینی و ترک گناهان، بازگو گردیده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آنگاه که بندگان را آفرید، اراده کرد که آنان دارای آدابی والا و اخلاقی بلندمرتبه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دانست که چنین نخواهد شد، مگر آنچه را به سود و زیان مردم است، به ایشان بشناساند، و آن جز از طریق امر و نهی نمی شود و امر و نهی </w:t>
      </w:r>
      <w:bookmarkStart w:id="889" w:name="pg14387_143863"/>
    </w:p>
    <w:p>
      <w:pPr>
        <w:pStyle w:val="BookText"/>
        <w:rPr/>
      </w:pPr>
      <w:bookmarkEnd w:id="889"/>
      <w:r>
        <w:rPr>
          <w:rFonts w:ascii="IRNazanin" w:hAnsi="IRNazanin" w:eastAsia="IRNazanin"/>
          <w:color w:val="111111"/>
          <w:sz w:val="28"/>
          <w:sz w:val="28"/>
          <w:szCs w:val="28"/>
          <w:rtl w:val="true"/>
          <w:lang w:bidi="fa-IR"/>
        </w:rPr>
        <w:t>تحقق نمی یابد، مگر با وعد و وعید، و وعد جز از طریق ایجاد رغبت تحقق نمی یابد و وعید، بدون ترساندن حاصل نمی شود</w:t>
      </w:r>
      <w:r>
        <w:rPr>
          <w:rFonts w:eastAsia="IRNazanin" w:cs="IRNazanin"/>
          <w:color w:val="111111"/>
          <w:sz w:val="28"/>
          <w:szCs w:val="28"/>
          <w:rtl w:val="true"/>
          <w:lang w:bidi="fa-IR"/>
        </w:rPr>
        <w:t>.... .</w:t>
      </w:r>
      <w:r>
        <w:rPr>
          <w:rStyle w:val="FootnoteAnchor"/>
          <w:rtl w:val="true"/>
        </w:rPr>
        <w:footnoteReference w:id="944"/>
      </w:r>
    </w:p>
    <w:p>
      <w:pPr>
        <w:pStyle w:val="Heading3"/>
        <w:numPr>
          <w:ilvl w:val="2"/>
          <w:numId w:val="1"/>
        </w:numPr>
        <w:rPr/>
      </w:pPr>
      <w:bookmarkStart w:id="890" w:name="__RefHeading___Toc7812772_3381743652"/>
      <w:bookmarkStart w:id="891" w:name="_Toc345"/>
      <w:bookmarkEnd w:id="890"/>
      <w:r>
        <w:rPr>
          <w:rtl w:val="true"/>
        </w:rPr>
        <w:t>نقد و بررسی شبهه ها</w:t>
      </w:r>
      <w:bookmarkEnd w:id="891"/>
    </w:p>
    <w:p>
      <w:pPr>
        <w:pStyle w:val="BookText"/>
        <w:rPr/>
      </w:pPr>
      <w:r>
        <w:rPr>
          <w:rFonts w:ascii="IRNazanin" w:hAnsi="IRNazanin" w:eastAsia="IRNazanin"/>
          <w:color w:val="111111"/>
          <w:sz w:val="28"/>
          <w:sz w:val="28"/>
          <w:szCs w:val="28"/>
          <w:rtl w:val="true"/>
          <w:lang w:bidi="fa-IR"/>
        </w:rPr>
        <w:t>مرحوم طبرسی اشکالات وارد شده بر قاعده را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نسبت به انسان لطف دارد، باید کافر مبتلا به امراض و بدبختی را نیافریند یا او را قبل از تکلیف، بمیراند؛ زیرا به مقتضای کفر، عذاب می شود، لکن خداوند چنین نمی کند، بنابراین، خدای متعال لطف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علامه حلی نیز به بیان دیگر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شده که اگر لطف بر خداوند واجب بود، باید گناهکار و کافری نباشد و پروردگار، می تواند کاری کند که آنان ایمان آورند، بنابراین از وجود کافران پی می بریم که خدا لطف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و سایر متکلمان در پاسخ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علت تام قرب نسبت به حق تعالی نیست، بلکه جزء العلة است و جزء دیگر آن، اراده فرد مورد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با اراده خود، از تقرب سرباز می زنند و از آن سو گفتیم که لطف، در صورتی است که اختیار را از</w:t>
      </w:r>
    </w:p>
    <w:p>
      <w:pPr>
        <w:pStyle w:val="BookText"/>
        <w:rPr/>
      </w:pPr>
      <w:r>
        <w:rPr>
          <w:rFonts w:ascii="IRNazanin" w:hAnsi="IRNazanin" w:eastAsia="IRNazanin"/>
          <w:color w:val="111111"/>
          <w:sz w:val="28"/>
          <w:sz w:val="28"/>
          <w:szCs w:val="28"/>
          <w:rtl w:val="true"/>
          <w:lang w:bidi="fa-IR"/>
        </w:rPr>
        <w:t>انسان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نمودن بندگان، لطف است، اما خداوند چندین سال، این لطف را از انسان دریغ کرده و حال آن که فرقی بین صبی مکلف با صبی در آستانه تکلیف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تأخیر در تکلیف، به معنای دریغ کردن لطف نیست و ثانیة، هر جا لطف دریغ شده، تکلیف، حسین نداشته است و علاوه بر آن، مشتمل بر مفسده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حضرت ختمی مرتبت این لطفی است بر انسان، ولی خداوند تا سن چهل سالگی، این لطف را از انسان دریغ فرمود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دریغ شده، لطف نبوده است، علاوه بر آن، قبل از بعثت، طاعتی متصور نبوده تا بگوییم مقرب عبد است و در واقع، تکلیف، محرز نبوده است</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علامه حلی نیز پاسخ سه اشکال از اشاعره را در کتاب تجرید الاعتقاد بیان می کند که اشکال نخست در پاسخ آن مطرح شد، اما در اشکال دیگر،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معتقدند ما به همه جهات مصالح و افعال، احاطه نداریم و خوب و بد بسیاری از اعمال، بر ما روشن نیست؛ مثل روز عید فطر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وجود مفسده خفیه در افعال وجود دارد و نمی توان حکم کرد که انجام آن فعل بر خدای متعال واجب باشد؛ زیرا ممکن است معتقد به قبح خفی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قبحی منتفی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چه انسان را به طاعت نزدیک و از معصیت دور سازد، هیچ مفسده ای ندارد و قبح خفی که انسان نتواند درک کند، بی معنی است؛ زیرا انسان، حسن و قبح افعال را با عقل و یا با ملاک شرع می فهمد و عقل و شرع، روشنگر حسن و قبح افعالی است که به نحوی بشر با آن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خبر داده است که ابولهب، دوزخی و ابلیس در جهنم خواهد بود، باعث عدم طاعت چنین افرادی است و اخبار به سعادت و شقاوت، معارض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به سعادت و شقاوت بندگان از سوی پروردگار عالم، مفسده ندارد؛ زیرا مثل ابولهب که به خبر خداوند آگاه نیست و ایمان ندارد و خبر، تأثیری بر او و امثالش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هم که به صدق خبر خداوندی آگاه است و می داند که گناه بیشتر، عذاب بیشتر دارد، باز هم خبر به خلود او در دوزخ، موجب تشویق او به گناه نیست و اختیار گناه نکردن را از وی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خدای متعال به هیچ وجه بدون قید و شرط، به کسی وعده بهشت یا جهنم نداده و همواره در کنار امید و بخشش، انذار و ترس از مخالفت و سرکشی فرمان خدا مطرح بوده است تا باعث سوء استفاده مطیعان و یأس گنهکاران نگردد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 سخن خدا با اشرف مخلوقات، محمد مصطفی اش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 لیحبط عملک و لتکون من الخاسرین</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 xml:space="preserve">و از سوی دیگر، خدای متعال با </w:t>
      </w:r>
      <w:bookmarkStart w:id="892" w:name="pg14387_143865"/>
    </w:p>
    <w:p>
      <w:pPr>
        <w:pStyle w:val="BookText"/>
        <w:rPr/>
      </w:pPr>
      <w:bookmarkEnd w:id="892"/>
      <w:r>
        <w:rPr>
          <w:rFonts w:ascii="IRNazanin" w:hAnsi="IRNazanin" w:eastAsia="IRNazanin"/>
          <w:color w:val="111111"/>
          <w:sz w:val="28"/>
          <w:sz w:val="28"/>
          <w:szCs w:val="28"/>
          <w:rtl w:val="true"/>
          <w:lang w:bidi="fa-IR"/>
        </w:rPr>
        <w:t xml:space="preserve">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لاتقنطوا من رحمة الله</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از یأس نسبت به رحمت پروردگار، سخت جلوگیری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نیز در مقام طرح اشکال،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الطف، آن است که داعی بر انجام طاعت را در مکلف، راجح می سازد، به گونه ای که به سرحد الجاء می رسد، و این داعی، امری ممکن است و خداوند بر انجام هر فعل ممکنی تواناست؛ بنابراین، ایجاد داعی بدون لطف نیز ممکن است</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یکی از شرایط قاعده لطف، آن است که به سرحد الجاء نرسد؛ پس نظریه فخر رازی باطل است</w:t>
      </w:r>
      <w:r>
        <w:rPr>
          <w:rFonts w:eastAsia="IRNazanin" w:cs="IRNazanin"/>
          <w:color w:val="111111"/>
          <w:sz w:val="28"/>
          <w:szCs w:val="28"/>
          <w:rtl w:val="true"/>
          <w:lang w:bidi="fa-IR"/>
        </w:rPr>
        <w:t>.</w:t>
      </w:r>
    </w:p>
    <w:p>
      <w:pPr>
        <w:pStyle w:val="Heading3"/>
        <w:numPr>
          <w:ilvl w:val="2"/>
          <w:numId w:val="1"/>
        </w:numPr>
        <w:rPr/>
      </w:pPr>
      <w:bookmarkStart w:id="893" w:name="__RefHeading___Toc7812774_3381743652"/>
      <w:bookmarkStart w:id="894" w:name="_Toc346"/>
      <w:bookmarkEnd w:id="893"/>
      <w:r>
        <w:rPr>
          <w:rtl w:val="true"/>
        </w:rPr>
        <w:t>اندیشه لطف از نگاه مسیحیان و شیخ طوسی</w:t>
      </w:r>
      <w:bookmarkEnd w:id="894"/>
    </w:p>
    <w:p>
      <w:pPr>
        <w:pStyle w:val="Heading4"/>
        <w:numPr>
          <w:ilvl w:val="3"/>
          <w:numId w:val="1"/>
        </w:numPr>
        <w:rPr/>
      </w:pPr>
      <w:bookmarkStart w:id="895" w:name="__RefHeading___Toc7812776_3381743652"/>
      <w:bookmarkStart w:id="896" w:name="_Toc347"/>
      <w:bookmarkEnd w:id="895"/>
      <w:r>
        <w:rPr>
          <w:rtl w:val="true"/>
        </w:rPr>
        <w:t>اشاره</w:t>
      </w:r>
      <w:bookmarkEnd w:id="896"/>
    </w:p>
    <w:p>
      <w:pPr>
        <w:pStyle w:val="BookText"/>
        <w:rPr/>
      </w:pPr>
      <w:r>
        <w:rPr>
          <w:rFonts w:ascii="IRNazanin" w:hAnsi="IRNazanin" w:eastAsia="IRNazanin"/>
          <w:color w:val="111111"/>
          <w:sz w:val="28"/>
          <w:sz w:val="28"/>
          <w:szCs w:val="28"/>
          <w:rtl w:val="true"/>
          <w:lang w:bidi="fa-IR"/>
        </w:rPr>
        <w:t xml:space="preserve">اندیشه لطف از دیدگاه شیخ طوسی و مقایسه آن با تصور مسیحیان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بررسی است</w:t>
      </w:r>
      <w:r>
        <w:rPr>
          <w:rFonts w:eastAsia="IRNazanin" w:cs="IRNazanin"/>
          <w:color w:val="111111"/>
          <w:sz w:val="28"/>
          <w:szCs w:val="28"/>
          <w:rtl w:val="true"/>
          <w:lang w:bidi="fa-IR"/>
        </w:rPr>
        <w:t>.</w:t>
      </w:r>
    </w:p>
    <w:p>
      <w:pPr>
        <w:pStyle w:val="Heading4"/>
        <w:numPr>
          <w:ilvl w:val="3"/>
          <w:numId w:val="1"/>
        </w:numPr>
        <w:rPr/>
      </w:pPr>
      <w:bookmarkStart w:id="897" w:name="__RefHeading___Toc7812778_3381743652"/>
      <w:bookmarkStart w:id="898" w:name="_Toc348"/>
      <w:bookmarkEnd w:id="897"/>
      <w:r>
        <w:rPr>
          <w:rtl w:val="true"/>
        </w:rPr>
        <w:t>وجوه افتراق</w:t>
      </w:r>
      <w:bookmarkEnd w:id="8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هسته اصلی اختلاف،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مسیحیان اولیه، مثل آگوستین و آکویناس، توجه خود را صرف توجیه عقلانی قاعده لطف کرده اند تا مبانی عقلی،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مقدس و آبای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 را مسلم دانسته اند، ولی</w:t>
      </w:r>
    </w:p>
    <w:p>
      <w:pPr>
        <w:pStyle w:val="BookText"/>
        <w:rPr/>
      </w:pPr>
      <w:r>
        <w:rPr>
          <w:rFonts w:ascii="IRNazanin" w:hAnsi="IRNazanin" w:eastAsia="IRNazanin"/>
          <w:color w:val="111111"/>
          <w:sz w:val="28"/>
          <w:sz w:val="28"/>
          <w:szCs w:val="28"/>
          <w:rtl w:val="true"/>
          <w:lang w:bidi="fa-IR"/>
        </w:rPr>
        <w:t>شیخ طوسی بیشتر به مبانی عقلانی قاعده لطف و رفع اشکالات آن پرداخته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شیخ طوسی به روشنی عقل گرایی بر نقل گرایی غلبه دارد و کمتر دچار تکلفات حاشیه ای شده است، بر خلاف مسیحیان که در این مورد، نقل گرایی غلبه دارد و در صدد بیان مسائل حاشیه ای چون، توجیه کم و کیف، خواص و ماهیت لطف که مقولهای لاهوتی است، برآمده اند و تکلفات فراوانی را بر خود هموار ساخته اند؛ مثل این که، ماهیت لطف چیست؟ آیا عرض است، جوهر است یا فضیلت متحدالحقیقه است؟ آیا کم و زیاد می پذیرد یا خیر؟ </w:t>
      </w:r>
      <w:bookmarkStart w:id="899" w:name="pg14387_143866"/>
    </w:p>
    <w:p>
      <w:pPr>
        <w:pStyle w:val="BookText"/>
        <w:rPr/>
      </w:pPr>
      <w:bookmarkEnd w:id="899"/>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مسیحیان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جبلی</w:t>
      </w:r>
      <w:r>
        <w:rPr>
          <w:rFonts w:eastAsia="IRNazanin" w:cs="IRNazanin"/>
          <w:color w:val="111111"/>
          <w:sz w:val="28"/>
          <w:szCs w:val="28"/>
          <w:rtl w:val="true"/>
          <w:lang w:bidi="fa-IR"/>
        </w:rPr>
        <w:t>»</w:t>
      </w:r>
      <w:r>
        <w:rPr>
          <w:rStyle w:val="FootnoteAnchor"/>
          <w:rtl w:val="true"/>
        </w:rPr>
        <w:footnoteReference w:id="949"/>
      </w:r>
      <w:r>
        <w:rPr>
          <w:rFonts w:ascii="IRNazanin" w:hAnsi="IRNazanin" w:eastAsia="IRNazanin"/>
          <w:color w:val="111111"/>
          <w:sz w:val="28"/>
          <w:sz w:val="28"/>
          <w:szCs w:val="28"/>
          <w:rtl w:val="true"/>
          <w:lang w:bidi="fa-IR"/>
        </w:rPr>
        <w:t>هستند و با اصلاح و معرفت در آمیخته اند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همسایه دیوار به دیوار، گناه جبلی است؛ چرا که انسان مبتلا به گناه جبلی موروثی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طبیعت اولیه خود خارج شد و به شر، تمایل دارد و راه معرفت و سعادت به روی او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بشری، هیچ امیدی به سعادت ندارد، مگر خدای متعال وی را از باب لطف،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رهایی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جبلی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بازگرداندن وی به حالت انسان طبیعی، یکی از دستاوردهای پروردگار عالم است؛ ولی چنان که می دانید، شیخ طوسی اعتقادی به گناه جبلی ندارد</w:t>
      </w:r>
      <w:r>
        <w:rPr>
          <w:rFonts w:eastAsia="IRNazanin" w:cs="IRNazanin"/>
          <w:color w:val="111111"/>
          <w:sz w:val="28"/>
          <w:szCs w:val="28"/>
          <w:rtl w:val="true"/>
          <w:lang w:bidi="fa-IR"/>
        </w:rPr>
        <w:t>.</w:t>
      </w:r>
    </w:p>
    <w:p>
      <w:pPr>
        <w:pStyle w:val="Heading4"/>
        <w:numPr>
          <w:ilvl w:val="3"/>
          <w:numId w:val="1"/>
        </w:numPr>
        <w:rPr/>
      </w:pPr>
      <w:bookmarkStart w:id="900" w:name="__RefHeading___Toc7812780_3381743652"/>
      <w:bookmarkStart w:id="901" w:name="_Toc349"/>
      <w:bookmarkEnd w:id="900"/>
      <w:r>
        <w:rPr>
          <w:rtl w:val="true"/>
        </w:rPr>
        <w:t>نقاط اشتراک</w:t>
      </w:r>
      <w:bookmarkEnd w:id="901"/>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فرمایشات شیخ طوسی چنین استفاده می شود که لطف، نوعی دست خداوندی در امورات انسان است که او را به سعادت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نیز که بحث محرک اول را مطرح کرد، در واقع، نزدیک به بحث توفیق، امداد و تقرب انسان به خداوند و دوری از</w:t>
      </w:r>
    </w:p>
    <w:p>
      <w:pPr>
        <w:pStyle w:val="BookText"/>
        <w:rPr/>
      </w:pPr>
      <w:r>
        <w:rPr>
          <w:rFonts w:ascii="IRNazanin" w:hAnsi="IRNazanin" w:eastAsia="IRNazanin"/>
          <w:color w:val="111111"/>
          <w:sz w:val="28"/>
          <w:sz w:val="28"/>
          <w:szCs w:val="28"/>
          <w:rtl w:val="true"/>
          <w:lang w:bidi="fa-IR"/>
        </w:rPr>
        <w:t>معصیت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اخروی در نگاه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و برخی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طریق لطف پروردگار ممکن است و شیخ طوسی و شیعه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مقدس، مصالح و مفاسد </w:t>
      </w:r>
      <w:bookmarkStart w:id="902" w:name="pg14387_143867"/>
    </w:p>
    <w:p>
      <w:pPr>
        <w:pStyle w:val="BookText"/>
        <w:rPr/>
      </w:pPr>
      <w:bookmarkEnd w:id="902"/>
      <w:r>
        <w:rPr>
          <w:rFonts w:ascii="IRNazanin" w:hAnsi="IRNazanin" w:eastAsia="IRNazanin"/>
          <w:color w:val="111111"/>
          <w:sz w:val="28"/>
          <w:sz w:val="28"/>
          <w:szCs w:val="28"/>
          <w:rtl w:val="true"/>
          <w:lang w:bidi="fa-IR"/>
        </w:rPr>
        <w:t>اخروی را بیان می کند و عقل از درک آن عاجز است و لطف، محرک انسان به طاعت و در نتیجه،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نیز حیات جاوید و رستگاری را برتر از همه اعمال انسان می دانند و از طریق لطف الهی، چنین امری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هسته اصلی در دو دیدگاه، همان تجلی عنایت الهی نسبت به انسان از طریق فرستادن پیامبران و وحی و دستگیری بشر برای توفیق او به عمل به خیر و به سعادت رساندن انسان که هدف از خلقت نیز هست، خواهد بود</w:t>
      </w:r>
      <w:r>
        <w:rPr>
          <w:rFonts w:eastAsia="IRNazanin" w:cs="IRNazanin"/>
          <w:color w:val="111111"/>
          <w:sz w:val="28"/>
          <w:szCs w:val="28"/>
          <w:rtl w:val="true"/>
          <w:lang w:bidi="fa-IR"/>
        </w:rPr>
        <w:t>.</w:t>
      </w:r>
      <w:r>
        <w:rPr>
          <w:rStyle w:val="FootnoteAnchor"/>
          <w:rtl w:val="true"/>
        </w:rPr>
        <w:footnoteReference w:id="950"/>
      </w:r>
    </w:p>
    <w:p>
      <w:pPr>
        <w:pStyle w:val="Heading3"/>
        <w:numPr>
          <w:ilvl w:val="2"/>
          <w:numId w:val="1"/>
        </w:numPr>
        <w:rPr/>
      </w:pPr>
      <w:bookmarkStart w:id="903" w:name="__RefHeading___Toc7812782_3381743652"/>
      <w:bookmarkStart w:id="904" w:name="_Toc350"/>
      <w:bookmarkEnd w:id="903"/>
      <w:r>
        <w:rPr>
          <w:rtl w:val="true"/>
        </w:rPr>
        <w:t>مصادیق قاعده لطف</w:t>
      </w:r>
      <w:bookmarkEnd w:id="904"/>
    </w:p>
    <w:p>
      <w:pPr>
        <w:pStyle w:val="Heading4"/>
        <w:numPr>
          <w:ilvl w:val="3"/>
          <w:numId w:val="1"/>
        </w:numPr>
        <w:rPr/>
      </w:pPr>
      <w:bookmarkStart w:id="905" w:name="__RefHeading___Toc7812784_3381743652"/>
      <w:bookmarkStart w:id="906" w:name="_Toc351"/>
      <w:bookmarkEnd w:id="905"/>
      <w:r>
        <w:rPr/>
        <w:t>١</w:t>
      </w:r>
      <w:r>
        <w:rPr>
          <w:rtl w:val="true"/>
        </w:rPr>
        <w:t xml:space="preserve">. </w:t>
      </w:r>
      <w:r>
        <w:rPr>
          <w:rtl w:val="true"/>
        </w:rPr>
        <w:t>نبوت</w:t>
      </w:r>
      <w:bookmarkEnd w:id="906"/>
    </w:p>
    <w:p>
      <w:pPr>
        <w:pStyle w:val="BookText"/>
        <w:rPr/>
      </w:pPr>
      <w:r>
        <w:rPr>
          <w:rFonts w:ascii="IRNazanin" w:hAnsi="IRNazanin" w:eastAsia="IRNazanin"/>
          <w:color w:val="111111"/>
          <w:sz w:val="28"/>
          <w:sz w:val="28"/>
          <w:szCs w:val="28"/>
          <w:rtl w:val="true"/>
          <w:lang w:bidi="fa-IR"/>
        </w:rPr>
        <w:t>از موارد استناد به قاعده لطف، بحث نبوت است که با حسن تکلیف مرتبط است؛ چرا که با اثبات حسن تکلیف، ضرورت ارسال نبی نیز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شیخ طوسی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حسن بعثت آن که پیامبران، مصالح و الطاف را به ما می رسانند؛ زیرا خدا می داند که در پاره ای از افعال مکلفان چیزی هست که هرگاه مکلف، آن را انجام دهد، به واجب عقلی فراخوانده می شود و از ارتکاب به فعل قبیح منع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برخی افعال، چیزی وجود دارد که اگر آن را انجام دهد، به فعل قبیح و اخلال به واجب واداشته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تبیین آن بر خدا واجب است؛ زیرا در اولی، لطف و در دومی، مفسده است</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شیخ مفید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بر این مطلب، آن است که فرستادن پیامبران الهی، الطف است و لطف بر پایه اصل حکمت، واجب است</w:t>
      </w:r>
      <w:r>
        <w:rPr>
          <w:rFonts w:eastAsia="IRNazanin" w:cs="IRNazanin"/>
          <w:color w:val="111111"/>
          <w:sz w:val="28"/>
          <w:szCs w:val="28"/>
          <w:rtl w:val="true"/>
          <w:lang w:bidi="fa-IR"/>
        </w:rPr>
        <w:t xml:space="preserve">». </w:t>
      </w:r>
      <w:r>
        <w:rPr>
          <w:rStyle w:val="FootnoteAnchor"/>
          <w:rtl w:val="true"/>
        </w:rPr>
        <w:footnoteReference w:id="952"/>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نصیرالدین طوسی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واجب است؛ زیرا مشتمل بر لطف در تکالیف عقلی است</w:t>
      </w:r>
      <w:r>
        <w:rPr>
          <w:rFonts w:eastAsia="IRNazanin" w:cs="IRNazanin"/>
          <w:color w:val="111111"/>
          <w:sz w:val="28"/>
          <w:szCs w:val="28"/>
          <w:rtl w:val="true"/>
          <w:lang w:bidi="fa-IR"/>
        </w:rPr>
        <w:t>».</w:t>
      </w:r>
      <w:r>
        <w:rPr>
          <w:rStyle w:val="FootnoteAnchor"/>
          <w:rtl w:val="true"/>
        </w:rPr>
        <w:footnoteReference w:id="953"/>
      </w:r>
      <w:bookmarkStart w:id="907" w:name="pg14387_143868"/>
    </w:p>
    <w:p>
      <w:pPr>
        <w:pStyle w:val="BookText"/>
        <w:rPr/>
      </w:pPr>
      <w:bookmarkEnd w:id="907"/>
      <w:r>
        <w:rPr>
          <w:rFonts w:ascii="IRNazanin" w:hAnsi="IRNazanin" w:eastAsia="IRNazanin"/>
          <w:color w:val="111111"/>
          <w:sz w:val="28"/>
          <w:sz w:val="28"/>
          <w:szCs w:val="28"/>
          <w:rtl w:val="true"/>
          <w:lang w:bidi="fa-IR"/>
        </w:rPr>
        <w:t xml:space="preserve">بر اساس چنین نظریه هایی از جایگاه عقل در مقابل شرع و وحی، روشن است که از نظر متکلمان شیعه با تأکید بر آرای شیخ طوسی و مفید، عقل به تنهایی قادر به تحصیل سعادت بشر نیست و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سمعیه، الطاف در تکالیف عقلیه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تکلیف شرعی از طریق وحی، لطف است در احکام عقلی، و چون لطف واجب است، پس تکلیف عقلی نیز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اهمیت دارد، این که شرع مقدس در مقام بیان جمیع آنچه در زندگی انسان بدان نیاز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یکی از جنبه های هم زندگی انسان، حیات اجتماعی اوست؛ جنبه ای که خود زندگی فردی را نیز تحت تأثیر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نظریه شیخ طوسی در التبیان راجع به لطف در باب نبوت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برای هدایت بشر، پیامبران عظام را برانگیخت تا انسان را به راه سعادت و کمال رهنمون سازد و چون او از طرق و وسایلی که انسانها را به عمل واجب</w:t>
      </w:r>
    </w:p>
    <w:p>
      <w:pPr>
        <w:pStyle w:val="BookText"/>
        <w:rPr/>
      </w:pPr>
      <w:r>
        <w:rPr>
          <w:rFonts w:ascii="IRNazanin" w:hAnsi="IRNazanin" w:eastAsia="IRNazanin"/>
          <w:color w:val="111111"/>
          <w:sz w:val="28"/>
          <w:sz w:val="28"/>
          <w:szCs w:val="28"/>
          <w:rtl w:val="true"/>
          <w:lang w:bidi="fa-IR"/>
        </w:rPr>
        <w:t>عقلی و نهی از قبیح برمی انگیزد، آگاه است، لطف او ایجاب می کند که انبیای گرامی را مبعوث کند که اینان برای تبلیغ احکام الهی و انذار و تبشیر و هدایت مردم، از میان آنها برگزیده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نرسل المرسلین إلا مبشرین و منذرین، فمن آمن و أصلح فلا خوف علیهم</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خدای سبحان در این آیه شریفه، ضمن بیان وظیفه پیامبران خویش، به مسئله اختیار مخاطبان اشاره دارد؛ زیرا انسان در راه رسیدن به نیکبختی و شقاوت، مختار است و در جای دیگر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کتا معذبین حتی نبعث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ما پیش از آن که پیامبری را مبعوث کنیم، کسی را کیفر نمی کنیم</w:t>
      </w:r>
      <w:r>
        <w:rPr>
          <w:rFonts w:eastAsia="IRNazanin" w:cs="IRNazanin"/>
          <w:color w:val="111111"/>
          <w:sz w:val="28"/>
          <w:szCs w:val="28"/>
          <w:rtl w:val="true"/>
          <w:lang w:bidi="fa-IR"/>
        </w:rPr>
        <w:t>.</w:t>
      </w:r>
      <w:r>
        <w:rPr>
          <w:rStyle w:val="FootnoteAnchor"/>
          <w:rtl w:val="true"/>
        </w:rPr>
        <w:footnoteReference w:id="956"/>
      </w:r>
    </w:p>
    <w:p>
      <w:pPr>
        <w:pStyle w:val="Heading4"/>
        <w:numPr>
          <w:ilvl w:val="3"/>
          <w:numId w:val="1"/>
        </w:numPr>
        <w:rPr/>
      </w:pPr>
      <w:bookmarkStart w:id="908" w:name="__RefHeading___Toc7812786_3381743652"/>
      <w:bookmarkStart w:id="909" w:name="_Toc352"/>
      <w:bookmarkEnd w:id="908"/>
      <w:r>
        <w:rPr/>
        <w:t>۲</w:t>
      </w:r>
      <w:r>
        <w:rPr>
          <w:rtl w:val="true"/>
        </w:rPr>
        <w:t xml:space="preserve">. </w:t>
      </w:r>
      <w:r>
        <w:rPr>
          <w:rtl w:val="true"/>
        </w:rPr>
        <w:t>عصمت پیامبران</w:t>
      </w:r>
      <w:bookmarkEnd w:id="90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به ترک کبائر اختصاص ندارد، بلکه در مورد صغائر و همه اموری که به نحوی موجب تنفر عمومی می گردد، جاری است و تصریح می کند که </w:t>
      </w:r>
      <w:bookmarkStart w:id="910" w:name="pg14387_143869"/>
    </w:p>
    <w:p>
      <w:pPr>
        <w:pStyle w:val="BookText"/>
        <w:rPr/>
      </w:pPr>
      <w:bookmarkEnd w:id="910"/>
      <w:r>
        <w:rPr>
          <w:rFonts w:ascii="IRNazanin" w:hAnsi="IRNazanin" w:eastAsia="IRNazanin"/>
          <w:color w:val="111111"/>
          <w:sz w:val="28"/>
          <w:sz w:val="28"/>
          <w:szCs w:val="28"/>
          <w:rtl w:val="true"/>
          <w:lang w:bidi="fa-IR"/>
        </w:rPr>
        <w:t>واجب است پیامبر، از گناهان صغیر، کبیر، قبل از نبوت و بعد از آن، چه عمدی و چه سهوی، معصوم باشد</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لذا آیاتی را که ظاهر آنها مورد تمسک و استناد مخالفان قرار گرفته یا اشاره ای به غفران و یا ارتکاب امر قبیحی دارد، تأویل یا حمل بر ترک اولی و نظیر آن نموده، نسبتهای مذکور را عقلا نادرست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چهار قول را نقل می کند و آنگاه آن را باطل خوانده، قول کسانی که آیه را حمل بر حبط صغائر نموده اند، باطل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استناد به 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کبیرهم هذا</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إنی سقیم</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و قول حضرت یوسف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لسارقون</w:t>
      </w:r>
      <w:r>
        <w:rPr>
          <w:rFonts w:eastAsia="IRNazanin" w:cs="IRNazanin"/>
          <w:color w:val="111111"/>
          <w:sz w:val="28"/>
          <w:szCs w:val="28"/>
          <w:rtl w:val="true"/>
          <w:lang w:bidi="fa-IR"/>
        </w:rPr>
        <w:t>»</w:t>
      </w:r>
      <w:r>
        <w:rPr>
          <w:rStyle w:val="FootnoteAnchor"/>
          <w:rtl w:val="true"/>
        </w:rPr>
        <w:footnoteReference w:id="961"/>
      </w:r>
      <w:r>
        <w:rPr>
          <w:rFonts w:ascii="IRNazanin" w:hAnsi="IRNazanin" w:eastAsia="IRNazanin"/>
          <w:color w:val="111111"/>
          <w:sz w:val="28"/>
          <w:sz w:val="28"/>
          <w:szCs w:val="28"/>
          <w:rtl w:val="true"/>
          <w:lang w:bidi="fa-IR"/>
        </w:rPr>
        <w:t>نسبت کذب به انبیا داده اند، خلاف عصمت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 به هر صورت که باشد، قبیح است و توجیه آن نسبت به انبیا و خبر نادرست گفتن و تقیه کردن که موجب بروز شک در اقوال آنان می شود، درست نیست و دلایل عقلی نیز این ارتکاب قبیح را از انبیا مردود می داند</w:t>
      </w:r>
      <w:r>
        <w:rPr>
          <w:rFonts w:eastAsia="IRNazanin" w:cs="IRNazanin"/>
          <w:color w:val="111111"/>
          <w:sz w:val="28"/>
          <w:szCs w:val="28"/>
          <w:rtl w:val="true"/>
          <w:lang w:bidi="fa-IR"/>
        </w:rPr>
        <w:t>...</w:t>
      </w:r>
      <w:r>
        <w:rPr>
          <w:rStyle w:val="FootnoteAnchor"/>
          <w:rtl w:val="true"/>
        </w:rPr>
        <w:footnoteReference w:id="962"/>
      </w:r>
    </w:p>
    <w:p>
      <w:pPr>
        <w:pStyle w:val="Heading4"/>
        <w:numPr>
          <w:ilvl w:val="3"/>
          <w:numId w:val="1"/>
        </w:numPr>
        <w:rPr/>
      </w:pPr>
      <w:bookmarkStart w:id="911" w:name="__RefHeading___Toc7812788_3381743652"/>
      <w:bookmarkStart w:id="912" w:name="_Toc353"/>
      <w:bookmarkEnd w:id="911"/>
      <w:r>
        <w:rPr/>
        <w:t>٣</w:t>
      </w:r>
      <w:r>
        <w:rPr>
          <w:rtl w:val="true"/>
        </w:rPr>
        <w:t xml:space="preserve">. </w:t>
      </w:r>
      <w:r>
        <w:rPr>
          <w:rtl w:val="true"/>
        </w:rPr>
        <w:t>امامت</w:t>
      </w:r>
      <w:bookmarkEnd w:id="912"/>
    </w:p>
    <w:p>
      <w:pPr>
        <w:pStyle w:val="BookText"/>
        <w:rPr/>
      </w:pPr>
      <w:r>
        <w:rPr>
          <w:rFonts w:ascii="IRNazanin" w:hAnsi="IRNazanin" w:eastAsia="IRNazanin"/>
          <w:color w:val="111111"/>
          <w:sz w:val="28"/>
          <w:sz w:val="28"/>
          <w:szCs w:val="28"/>
          <w:rtl w:val="true"/>
          <w:lang w:bidi="fa-IR"/>
        </w:rPr>
        <w:t>مورد دیگری که قاعده لطف به عنوان دلیل کلامی در آن به کار رفته، بحث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دلالت به وجوب امامت می کند، قاعده اثبات شده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لطفی است در تکلیف عقلی، به طوری که بدون امامت، تکلیف مزبور انجام نمی 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امامت مانند سایر الطاف در معارف و غیر معارف است که تکلیف به آنها بدون الطاف حسن نیست</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وی همچنین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بر لزوم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این است که ریاست، لطفی در واجبات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مانند معرفت که هیچ مکلفی از وجوب آن مبرا نیست، واجب است</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شیخ مفید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لطف الهی است و لطف، بر مبنای حکمت، واجب است</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 xml:space="preserve">شیخ الطایفه در پاسخ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نصب امام، لطف است، چرا در عصر غیبت، امام حاضر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لطف است و تصرف کردن وی در امور، لطف دیگر و خداوند به وسیله ایجاد امام، لطف خودش را به عمل آورده و فردی که مناسب</w:t>
      </w:r>
    </w:p>
    <w:p>
      <w:pPr>
        <w:pStyle w:val="BookText"/>
        <w:rPr/>
      </w:pPr>
      <w:r>
        <w:rPr>
          <w:rFonts w:ascii="IRNazanin" w:hAnsi="IRNazanin" w:eastAsia="IRNazanin"/>
          <w:color w:val="111111"/>
          <w:sz w:val="28"/>
          <w:sz w:val="28"/>
          <w:szCs w:val="28"/>
          <w:rtl w:val="true"/>
          <w:lang w:bidi="fa-IR"/>
        </w:rPr>
        <w:t>است را آفریده و حجت را بر مردم تمام کرده تا اگر خواستند، از وجودش بهره مند شوند، ولی مردم هستند که اسباب رعب و غیبت امام را فراهم کردند و از سوی خداوند، کوتاهی نشده است</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خواجه نصیرالدین طوسی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وجوده لطف و تصرفه لطف آخر و عدمه منا</w:t>
      </w:r>
      <w:r>
        <w:rPr>
          <w:rFonts w:eastAsia="IRNazanin" w:cs="IRNazanin"/>
          <w:color w:val="111111"/>
          <w:sz w:val="28"/>
          <w:szCs w:val="28"/>
          <w:rtl w:val="true"/>
          <w:lang w:bidi="fa-IR"/>
        </w:rPr>
        <w:t>»</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جا بین مقام تصرف امام و وجود شریفش فرق قائل است و در واقع، شیخ طوسی و خواجه نصیرالدین به دو نوع لطف معتقد هستند؛ لطف وجود و لطف تصرف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شیعه معتقد است که نصب امام بر خداوند واجب است؛ زیرا وجود امام، لطف است؛ چون مردم به واسطه او به طاعت، نزدیک و از معصیت، دور می شوند و اگر امام نباشد، فتنه و فساد برمی خیزد و همه خواهند دانست که بدون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آشفتگی ای در معیشت مردم روی می دهد و اگر امام باشد، هم امر دین منظم است و هم امر دنیا؛ لذا شیعه سه مسئله را ضروری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 فرمانروایی برای جامعه بشری لازم و ضروری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این ضرورت، حکم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و تعیین امام، بر خداوند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وجود امام و رهبر برای جامعه، یک لطف و عصمت او، لطف دیگر است، و با فقدان شرط عصمت در زمامدار، مانند عصر غیبت، باز هم لطف اول برای اصلاح نظام جامعه و جلوگیری از مفاسد هرج و مرج، وجوب حکومت را عقلا بر خداوند اثبات و نصب را لازم می سازد و از فرمایش شیخ طوسی برمی آید که معنای حقیقی قاعده لطف، آن است که شریعت، راهنمای راستین به سوی خردمندی و کامیابی خردمندانه است و انسانها را با آموزش و تعلیمات الهی خود، به رشد و تکامل عقلانی می رساند تا راه رستگاری را به آنان بیاموزد و تحت تأثیر انگیزه های طبیعی حیوانی خود، از راه و رسم خردمندی تجاوز نکند، بلکه قیام به عدل و اجرای عدالت که همان برقراری حکومت عادلانه برای تدبیر امور مملکتی است، به عهده امام است؛ زیرا اولا، متکلمان اسلامی و شیخ طوسی، امامت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دینی و دنیوی تفسیر کرده اند و خواجه، ریاست دنیوی را جزئی از تعریف امام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کلام اسلامی، امام را صرف آموزگار عدل و داد معرفی نمی کند، بلکه تدبیر جامعه و اداره اجتماع را بر عهده</w:t>
      </w:r>
    </w:p>
    <w:p>
      <w:pPr>
        <w:pStyle w:val="BookText"/>
        <w:rPr/>
      </w:pPr>
      <w:r>
        <w:rPr>
          <w:rFonts w:ascii="IRNazanin" w:hAnsi="IRNazanin" w:eastAsia="IRNazanin"/>
          <w:color w:val="111111"/>
          <w:sz w:val="28"/>
          <w:sz w:val="28"/>
          <w:szCs w:val="28"/>
          <w:rtl w:val="true"/>
          <w:lang w:bidi="fa-IR"/>
        </w:rPr>
        <w:t>او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مدعیان امامت، در طول تاریخ اسلام، هرگز در صدد رسیدن به مقام معلمی صرف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ثانیة، تقریر قاعده لطف در نگاه متکلمان و شیخ طوسی، خود گویای آن است که آنان امام را مجری عدل و به پادارنده قسط می دانند؛ یعنی شخصیتی که باید تدبیر جامعه را در دست داشته باشد، چنان که علامه حلی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عقلا آشکار است که وقتی برای خردمندان، رئیس و فرمانروایی باشد که آنان را از آزار رساندن به دیگران باز دارد، مانع گناه از طرف آنان شده، به انجام طاعات و دنبال کردن عدل و انصاف ترغیب کند، آنان به صلاح و نیکی نزدیکتر و از فساد دورتر می شوند و این، مطلبی ضروری است که هیچ عاقلی نمی تواند آن را مورد تردید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امام لطف است و چون لطف بر خداوند واجب می باشد، وجود امام بر خداوند، لازم خواهد بود</w:t>
      </w:r>
      <w:r>
        <w:rPr>
          <w:rFonts w:eastAsia="IRNazanin" w:cs="IRNazanin"/>
          <w:color w:val="111111"/>
          <w:sz w:val="28"/>
          <w:szCs w:val="28"/>
          <w:rtl w:val="true"/>
          <w:lang w:bidi="fa-IR"/>
        </w:rPr>
        <w:t>.</w:t>
      </w:r>
      <w:r>
        <w:rPr>
          <w:rStyle w:val="FootnoteAnchor"/>
          <w:rtl w:val="true"/>
        </w:rPr>
        <w:footnoteReference w:id="96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در این تقریر، لزوم و ضرورت وجود فردی اثبات می شود که به عنوان </w:t>
      </w:r>
    </w:p>
    <w:p>
      <w:pPr>
        <w:pStyle w:val="BookText"/>
        <w:rPr/>
      </w:pPr>
      <w:r>
        <w:rPr>
          <w:rFonts w:ascii="IRNazanin" w:hAnsi="IRNazanin" w:eastAsia="IRNazanin"/>
          <w:color w:val="111111"/>
          <w:sz w:val="28"/>
          <w:sz w:val="28"/>
          <w:szCs w:val="28"/>
          <w:rtl w:val="true"/>
          <w:lang w:bidi="fa-IR"/>
        </w:rPr>
        <w:t>رئیس، در میان مردم، جلوی فتنه و فساد را می گیرد، نه فردی که با تعلیم خود، مردم را به رشد عقلانی می رساند تا تحت تأثیر انگیزه های حیوانی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مطابق نظر شیخ طوسی و سایر متکلمان، امام فردی است که در مقام تصرف، فرمان صادر می کند و به امر و نهی و تأدیب می پردازد و فساد را ریشه کن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فقط مسندنشین تعلیم احکام خداوند و ارشاد به اخلاق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نبوت و امامت، بر اساس قاعده لطف، به شکل یکسانی تحلیل نمی شود و در نظر متکلمان و شیخ طوسی، این دو منصب، نقش و تأثیر یگانه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امامت، دو مصداق قاعده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لطف است، چون نیاز جامعه انسانی از جهت قانون</w:t>
      </w:r>
    </w:p>
    <w:p>
      <w:pPr>
        <w:pStyle w:val="BookText"/>
        <w:rPr/>
      </w:pPr>
      <w:r>
        <w:rPr>
          <w:rFonts w:ascii="IRNazanin" w:hAnsi="IRNazanin" w:eastAsia="IRNazanin"/>
          <w:color w:val="111111"/>
          <w:sz w:val="28"/>
          <w:sz w:val="28"/>
          <w:szCs w:val="28"/>
          <w:rtl w:val="true"/>
          <w:lang w:bidi="fa-IR"/>
        </w:rPr>
        <w:t>و شریعت، به اوست و امامت لطف است، از جهت نیاز بشر به مدیر و زمامدار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شیخ طوسی نبوت و امامت را دو منصب می داند و ضرورت هر یک را بر اساس فلسفه خاصی تبیین می کند، نه آن که امامت، عین نبوت و یا لازمه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w:t>
      </w:r>
    </w:p>
    <w:p>
      <w:pPr>
        <w:pStyle w:val="BookText"/>
        <w:rPr/>
      </w:pPr>
      <w:r>
        <w:rPr>
          <w:rFonts w:ascii="IRNazanin" w:hAnsi="IRNazanin" w:eastAsia="IRNazanin"/>
          <w:color w:val="111111"/>
          <w:sz w:val="28"/>
          <w:sz w:val="28"/>
          <w:szCs w:val="28"/>
          <w:rtl w:val="true"/>
          <w:lang w:bidi="fa-IR"/>
        </w:rPr>
        <w:t>ممکن است پیامبری مانند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منصب امامت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مفاد قاعده لطف درباره امامت، با مفاد آن درباره نبوت، فرق دارد و نباید حضور و تأثیر امام را در جامعه، با حضور و تأثیر نبی، یکسان شمرد؛ همچنان که نباید آموزش احکام را به عنوان محتوای یگانه آنان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حدیثی را که شیخ طوسی در کتاب تهذیب الاحکام آورده است، جهت ملموس ساختن این قاعده،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حج، مردی که از کیفیت سخن او هویدا بود عرب نیست، وارد مسجد شد،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جاری می کرد و پیوسته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احرام بر تن کرده و زیر آن، پیراهن دوخته پوشیده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او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پیراهن خود را شکافته و آن را از طرف پا درآوری؛ زیرا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باز باشد و در آوردن پیراهن از طرف سر، مایه پوشش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باید این کار را انجام دهی، بلکه باید شتری را به</w:t>
      </w:r>
    </w:p>
    <w:p>
      <w:pPr>
        <w:pStyle w:val="BookText"/>
        <w:rPr/>
      </w:pPr>
      <w:r>
        <w:rPr>
          <w:rFonts w:ascii="IRNazanin" w:hAnsi="IRNazanin" w:eastAsia="IRNazanin"/>
          <w:color w:val="111111"/>
          <w:sz w:val="28"/>
          <w:sz w:val="28"/>
          <w:szCs w:val="28"/>
          <w:rtl w:val="true"/>
          <w:lang w:bidi="fa-IR"/>
        </w:rPr>
        <w:t>عنوان کفاره قربانی کنی و سال آینده نیز از نو، اعمال حج را انجام دهی؛ زیرا به خاطر پوشیدن پیراهن دوخته زیر لباس احرام، حج تو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 مسجد نمایان گشت در حالی که رو به کعبه ایستاده بود، تکبیر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و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این مرد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حلقه این گروه را </w:t>
      </w:r>
    </w:p>
    <w:p>
      <w:pPr>
        <w:pStyle w:val="BookText"/>
        <w:rPr/>
      </w:pPr>
      <w:r>
        <w:rPr>
          <w:rFonts w:ascii="IRNazanin" w:hAnsi="IRNazanin" w:eastAsia="IRNazanin"/>
          <w:color w:val="111111"/>
          <w:sz w:val="28"/>
          <w:sz w:val="28"/>
          <w:szCs w:val="28"/>
          <w:rtl w:val="true"/>
          <w:lang w:bidi="fa-IR"/>
        </w:rPr>
        <w:t>شکافت و به طرف امام صادق عل رفت و پیوسته خود را می زد و موی خود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رو به حضرت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 فقیر و ناتوانی هستم که با دست خود کار می کنم و مختصر مالی گرد آورده ام تا به زیارت خانه خدا بیایم و مسئله را نیز از کسی نپرسیدم؛ این گروه شاگردان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باید پیراهن خود را بشکافی و آن را از جانب پا بیرون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حج تو فاسد است و باید شتری را قربانی کنی و بار دیگر حج خود را در سال آینده تجدید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ل وی را دلداری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پیش از احرام پوشیدی یا پس از آن؟ گفت قبل از احرام بستن، پیراهن بر تنم بود و لباس احرام را بر روی آن و در حال تلبیه گفتن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 این است که پیراهن را از طرف سر بیرون بیاوری و کفارهای بر گردن تو نیست و حج تو صحیح است و نیازی به تجدید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ضابطه ای را یادآور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رجل رکب أمرأ بجهالة فلا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انسانی کاری را از روی نادانی انجام دهد، چیزی بر او نیست و</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این حدیث نشان می دهد که امام معصوم طلا انسان را نجات می دهد و خطاکار را رهنمون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شیعه وجود مبارک امام را لطف و تداوم بخش راه انبیا می داند؛ همان طور که رسول گرامی اسلام در موارد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 حدیث منزلت، حدیث</w:t>
      </w:r>
    </w:p>
    <w:p>
      <w:pPr>
        <w:pStyle w:val="BookText"/>
        <w:rPr/>
      </w:pP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فرمودند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خالی نبودن زمین از حجت خدا نیز از جمله مسائل مورد اتفاق شیعه و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معتزله به وجود امام معصوم معتقد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تأیید وجود امام معصوم در هر زمان در التبیان به چند آیه استناد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نبعث من کل أمة شهیدا</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بر این که هیچ عصری از وجود امام خالی نیست و این مسئله را معتزله نیز پذیرفته اند؛ گرچه ما با آنها در عدالت و عصمت، اختلاف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خلقنا أمة یهدون بالحق</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w:t>
      </w:r>
      <w:r>
        <w:rPr>
          <w:rStyle w:val="FootnoteAnchor"/>
          <w:rtl w:val="true"/>
        </w:rPr>
        <w:footnoteReference w:id="972"/>
      </w:r>
      <w:r>
        <w:rPr>
          <w:rFonts w:ascii="IRNazanin" w:hAnsi="IRNazanin" w:eastAsia="IRNazanin"/>
          <w:color w:val="111111"/>
          <w:sz w:val="28"/>
          <w:sz w:val="28"/>
          <w:szCs w:val="28"/>
          <w:rtl w:val="true"/>
          <w:lang w:bidi="fa-IR"/>
        </w:rPr>
        <w:t xml:space="preserve">به مسئله حضور امام معصوم در تمام زمانها اشاره می کند و </w:t>
      </w:r>
      <w:bookmarkStart w:id="913" w:name="pg14387_143874"/>
    </w:p>
    <w:p>
      <w:pPr>
        <w:pStyle w:val="BookText"/>
        <w:rPr/>
      </w:pPr>
      <w:bookmarkEnd w:id="913"/>
      <w:r>
        <w:rPr>
          <w:rFonts w:ascii="IRNazanin" w:hAnsi="IRNazanin" w:eastAsia="IRNazanin"/>
          <w:color w:val="111111"/>
          <w:sz w:val="28"/>
          <w:sz w:val="28"/>
          <w:szCs w:val="28"/>
          <w:rtl w:val="true"/>
          <w:lang w:bidi="fa-IR"/>
        </w:rPr>
        <w:t xml:space="preserve">در تأیید این مطلب، به حدیث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خلقنا فی أمة محمد</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ما در امت محمد خلق شدیم</w:t>
      </w:r>
      <w:r>
        <w:rPr>
          <w:rFonts w:eastAsia="IRNazanin" w:cs="IRNazanin"/>
          <w:color w:val="111111"/>
          <w:sz w:val="28"/>
          <w:szCs w:val="28"/>
          <w:rtl w:val="true"/>
          <w:lang w:bidi="fa-IR"/>
        </w:rPr>
        <w:t>.</w:t>
      </w:r>
    </w:p>
    <w:p>
      <w:pPr>
        <w:pStyle w:val="Heading4"/>
        <w:numPr>
          <w:ilvl w:val="3"/>
          <w:numId w:val="1"/>
        </w:numPr>
        <w:rPr/>
      </w:pPr>
      <w:bookmarkStart w:id="914" w:name="__RefHeading___Toc7812790_3381743652"/>
      <w:bookmarkStart w:id="915" w:name="_Toc354"/>
      <w:bookmarkEnd w:id="914"/>
      <w:r>
        <w:rPr/>
        <w:t>۴</w:t>
      </w:r>
      <w:r>
        <w:rPr>
          <w:rtl w:val="true"/>
        </w:rPr>
        <w:t xml:space="preserve">. </w:t>
      </w:r>
      <w:r>
        <w:rPr>
          <w:rtl w:val="true"/>
        </w:rPr>
        <w:t>عصمت امام</w:t>
      </w:r>
      <w:bookmarkEnd w:id="915"/>
    </w:p>
    <w:p>
      <w:pPr>
        <w:pStyle w:val="BookText"/>
        <w:rPr/>
      </w:pPr>
      <w:r>
        <w:rPr>
          <w:rFonts w:ascii="IRNazanin" w:hAnsi="IRNazanin" w:eastAsia="IRNazanin"/>
          <w:color w:val="111111"/>
          <w:sz w:val="28"/>
          <w:sz w:val="28"/>
          <w:szCs w:val="28"/>
          <w:rtl w:val="true"/>
          <w:lang w:bidi="fa-IR"/>
        </w:rPr>
        <w:t>از جمله صفات مشترک بین نبی و امام، عصمت است که واجب است ایشان از هرگونه گناه و امر قبیحی معصوم باشند تا مورد اطمینان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قول، فعل و تقریر امام، مانند پیامبر، ملاک 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معصوم نباشد، باید معصوم دیگری باشد تا امام را راهنمایی کند و خطای او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امام دیگر معصوم باشد، فهو المطلوب و اگر معصوم نباشد، به امام سومی نیاز است و هکذا تسلسل لازم می آید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تسلسل</w:t>
      </w:r>
    </w:p>
    <w:p>
      <w:pPr>
        <w:pStyle w:val="BookText"/>
        <w:rPr/>
      </w:pPr>
      <w:r>
        <w:rPr>
          <w:rFonts w:ascii="IRNazanin" w:hAnsi="IRNazanin" w:eastAsia="IRNazanin"/>
          <w:color w:val="111111"/>
          <w:sz w:val="28"/>
          <w:sz w:val="28"/>
          <w:szCs w:val="28"/>
          <w:rtl w:val="true"/>
          <w:lang w:bidi="fa-IR"/>
        </w:rPr>
        <w:t>محال است باید به امام معصوم منتهی شود؛ پس امام باید معصوم باشد</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 xml:space="preserve">وی در تفسیر التبیان،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 إبراهیم ربه بکلمات</w:t>
      </w:r>
      <w:r>
        <w:rPr>
          <w:rFonts w:eastAsia="IRNazanin" w:cs="IRNazanin"/>
          <w:color w:val="111111"/>
          <w:sz w:val="28"/>
          <w:szCs w:val="28"/>
          <w:rtl w:val="true"/>
          <w:lang w:bidi="fa-IR"/>
        </w:rPr>
        <w:t>»</w:t>
      </w:r>
      <w:r>
        <w:rPr>
          <w:rStyle w:val="FootnoteAnchor"/>
          <w:rtl w:val="true"/>
        </w:rPr>
        <w:footnoteReference w:id="975"/>
      </w:r>
      <w:r>
        <w:rPr>
          <w:rFonts w:ascii="IRNazanin" w:hAnsi="IRNazanin" w:eastAsia="IRNazanin"/>
          <w:color w:val="111111"/>
          <w:sz w:val="28"/>
          <w:sz w:val="28"/>
          <w:szCs w:val="28"/>
          <w:rtl w:val="true"/>
          <w:lang w:bidi="fa-IR"/>
        </w:rPr>
        <w:t xml:space="preserve">معنای عهد در آیه را با استناد به روایتی از امام باقرال،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درباره عصمت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امامیه با استناد به این آیه، گفته اند که امام باید معصوم از زشتیها باشد؛ زیرا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ظالم را به عهدش که امامت باشد، نائل نمیکند؛ چون کسی که معصوم نباشد، یا ظالم به خود است یا به دیگری</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 xml:space="preserve">و نیز با استناد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 فإن تنازعتم فی شیء فردوه إلی الله و الرسول</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 علاوه بر عصمت، اطاعت از ایشان را نیز واجب می شمارد</w:t>
      </w:r>
      <w:r>
        <w:rPr>
          <w:rFonts w:eastAsia="IRNazanin" w:cs="IRNazanin"/>
          <w:color w:val="111111"/>
          <w:sz w:val="28"/>
          <w:szCs w:val="28"/>
          <w:rtl w:val="true"/>
          <w:lang w:bidi="fa-IR"/>
        </w:rPr>
        <w:t>.</w:t>
      </w:r>
      <w:r>
        <w:rPr>
          <w:rStyle w:val="FootnoteAnchor"/>
          <w:rtl w:val="true"/>
        </w:rPr>
        <w:footnoteReference w:id="978"/>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روشن است که عصمت ائمه اطهار از اعتقادات ویژه شیخ طوسی و </w:t>
      </w:r>
      <w:bookmarkStart w:id="916" w:name="pg14387_143875"/>
    </w:p>
    <w:p>
      <w:pPr>
        <w:pStyle w:val="BookText"/>
        <w:rPr/>
      </w:pPr>
      <w:bookmarkEnd w:id="916"/>
      <w:r>
        <w:rPr>
          <w:rFonts w:ascii="IRNazanin" w:hAnsi="IRNazanin" w:eastAsia="IRNazanin"/>
          <w:color w:val="111111"/>
          <w:sz w:val="28"/>
          <w:sz w:val="28"/>
          <w:szCs w:val="28"/>
          <w:rtl w:val="true"/>
          <w:lang w:bidi="fa-IR"/>
        </w:rPr>
        <w:t>امامیه است و چون نصب امام را از باب لطف، بر خداوند واجب می دانند، همچنان که فرستادن پیامبران بر خداوند واجب است، ناگزیر به عصمت امام هم اعتقاد دارند؛ زیرا آنان اجرا کننده احکامی هستند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نگهبان شرع و برپادارند؛ همه رسالتهایی هستند که رسول خدا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خطا و دروغ بر امام روا باشد، هدفی که مقصود از امامت اوست، حاصل نخواهد شد؛ چه، خداوند، آنان را امام و پیشوا قرار داده تا مردم را به سوی حق رهبری و خطاهای آنها را اصلاح کنند و اگر امام مانند دیگران باشد، به گفته شیخ طوسی</w:t>
      </w:r>
      <w:r>
        <w:rPr>
          <w:rStyle w:val="FootnoteAnchor"/>
          <w:rtl w:val="true"/>
        </w:rPr>
        <w:footnoteReference w:id="979"/>
      </w:r>
      <w:r>
        <w:rPr>
          <w:rFonts w:ascii="IRNazanin" w:hAnsi="IRNazanin" w:eastAsia="IRNazanin"/>
          <w:color w:val="111111"/>
          <w:sz w:val="28"/>
          <w:sz w:val="28"/>
          <w:szCs w:val="28"/>
          <w:rtl w:val="true"/>
          <w:lang w:bidi="fa-IR"/>
        </w:rPr>
        <w:t>بر خدا واجب است که امام دیگری را بر او بگمارد تا او را به راه حق و صلاح ارشاد کند و در مورد همین امام نیز این سخن وارد است؛ لذا باید امر به امامی منتهی شود که خطا بر او جایز نباشد</w:t>
      </w:r>
      <w:r>
        <w:rPr>
          <w:rFonts w:eastAsia="IRNazanin" w:cs="IRNazanin"/>
          <w:color w:val="111111"/>
          <w:sz w:val="28"/>
          <w:szCs w:val="28"/>
          <w:rtl w:val="true"/>
          <w:lang w:bidi="fa-IR"/>
        </w:rPr>
        <w:t>.</w:t>
      </w:r>
    </w:p>
    <w:p>
      <w:pPr>
        <w:pStyle w:val="Heading4"/>
        <w:numPr>
          <w:ilvl w:val="3"/>
          <w:numId w:val="1"/>
        </w:numPr>
        <w:rPr/>
      </w:pPr>
      <w:bookmarkStart w:id="917" w:name="__RefHeading___Toc7812792_3381743652"/>
      <w:bookmarkStart w:id="918" w:name="_Toc355"/>
      <w:bookmarkEnd w:id="917"/>
      <w:r>
        <w:rPr/>
        <w:t>۵</w:t>
      </w:r>
      <w:r>
        <w:rPr>
          <w:rtl w:val="true"/>
        </w:rPr>
        <w:t xml:space="preserve">. </w:t>
      </w:r>
      <w:r>
        <w:rPr>
          <w:rtl w:val="true"/>
        </w:rPr>
        <w:t>وعده و وعید</w:t>
      </w:r>
      <w:bookmarkEnd w:id="918"/>
    </w:p>
    <w:p>
      <w:pPr>
        <w:pStyle w:val="BookText"/>
        <w:rPr/>
      </w:pPr>
      <w:r>
        <w:rPr>
          <w:rFonts w:ascii="IRNazanin" w:hAnsi="IRNazanin" w:eastAsia="IRNazanin"/>
          <w:color w:val="111111"/>
          <w:sz w:val="28"/>
          <w:sz w:val="28"/>
          <w:szCs w:val="28"/>
          <w:rtl w:val="true"/>
          <w:lang w:bidi="fa-IR"/>
        </w:rPr>
        <w:t>این مسئله از مصادیق قاعده لطف است؛ زیرا لطف عبارت است از نزدیک ساختن مکلف به طاعت و دوری کردن از معصیت؛ و نوید دادن به خیرات در مقابل انجام کردار نیک و بیم دادن از شرور در برابر معصیت، خود موجب نزدیک شدن به طاعت و دوری</w:t>
      </w:r>
    </w:p>
    <w:p>
      <w:pPr>
        <w:pStyle w:val="BookText"/>
        <w:rPr/>
      </w:pPr>
      <w:r>
        <w:rPr>
          <w:rFonts w:ascii="IRNazanin" w:hAnsi="IRNazanin" w:eastAsia="IRNazanin"/>
          <w:color w:val="111111"/>
          <w:sz w:val="28"/>
          <w:sz w:val="28"/>
          <w:szCs w:val="28"/>
          <w:rtl w:val="true"/>
          <w:lang w:bidi="fa-IR"/>
        </w:rPr>
        <w:t>از معصیت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محقق طوسی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حسن و قبح عقلی، وعده پاداش به مکلفان را لطف و واجب می دانند و وعید را نیز اصلح و حسن و لطف می دانند، آنگاه وفای به وعده را واجب می دانند، ولی در مورد وعید، دو گروه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تفضلیه آن روا واجب ندانسته اند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وعید، حق خداست و او می تواند از حق خود چشم بپوشد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واجب دانسته اند تا وعید، دروغ نباشد</w:t>
      </w:r>
      <w:r>
        <w:rPr>
          <w:rFonts w:eastAsia="IRNazanin" w:cs="IRNazanin"/>
          <w:color w:val="111111"/>
          <w:sz w:val="28"/>
          <w:szCs w:val="28"/>
          <w:rtl w:val="true"/>
          <w:lang w:bidi="fa-IR"/>
        </w:rPr>
        <w:t>.</w:t>
      </w:r>
      <w:r>
        <w:rPr>
          <w:rStyle w:val="FootnoteAnchor"/>
          <w:rtl w:val="true"/>
        </w:rPr>
        <w:footnoteReference w:id="980"/>
      </w:r>
    </w:p>
    <w:p>
      <w:pPr>
        <w:pStyle w:val="Heading4"/>
        <w:numPr>
          <w:ilvl w:val="3"/>
          <w:numId w:val="1"/>
        </w:numPr>
        <w:rPr/>
      </w:pPr>
      <w:bookmarkStart w:id="919" w:name="__RefHeading___Toc7812794_3381743652"/>
      <w:bookmarkStart w:id="920" w:name="_Toc356"/>
      <w:bookmarkEnd w:id="919"/>
      <w:r>
        <w:rPr/>
        <w:t>۶</w:t>
      </w:r>
      <w:r>
        <w:rPr>
          <w:rtl w:val="true"/>
        </w:rPr>
        <w:t xml:space="preserve">. </w:t>
      </w:r>
      <w:r>
        <w:rPr>
          <w:rtl w:val="true"/>
        </w:rPr>
        <w:t>آلام ابتدایی</w:t>
      </w:r>
      <w:bookmarkEnd w:id="92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مصادیق قاعده لطف، آلام ابتدایی است؛ چنان که صاحب الذخیره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الم، لطف در تکلیف باشد، وجوب آن، مقتضای تکلیف است؛ زیرا الم مصلحت </w:t>
      </w:r>
      <w:bookmarkStart w:id="921" w:name="pg14387_143876"/>
    </w:p>
    <w:p>
      <w:pPr>
        <w:pStyle w:val="BookText"/>
        <w:rPr/>
      </w:pPr>
      <w:bookmarkEnd w:id="921"/>
      <w:r>
        <w:rPr>
          <w:rFonts w:ascii="IRNazanin" w:hAnsi="IRNazanin" w:eastAsia="IRNazanin"/>
          <w:color w:val="111111"/>
          <w:sz w:val="28"/>
          <w:sz w:val="28"/>
          <w:szCs w:val="28"/>
          <w:rtl w:val="true"/>
          <w:lang w:bidi="fa-IR"/>
        </w:rPr>
        <w:t>در تکلیف می باشد</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ابوصلاح حلبی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موجب حسن آلام بر بندگان از جانب خداوند می شود، یکی استحقاق آنان است و دیگری، لطف بودن آن آلام</w:t>
      </w:r>
      <w:r>
        <w:rPr>
          <w:rFonts w:eastAsia="IRNazanin" w:cs="IRNazanin"/>
          <w:color w:val="111111"/>
          <w:sz w:val="28"/>
          <w:szCs w:val="28"/>
          <w:rtl w:val="true"/>
          <w:lang w:bidi="fa-IR"/>
        </w:rPr>
        <w:t>».</w:t>
      </w:r>
      <w:r>
        <w:rPr>
          <w:rStyle w:val="FootnoteAnchor"/>
          <w:rtl w:val="true"/>
        </w:rPr>
        <w:footnoteReference w:id="982"/>
      </w:r>
    </w:p>
    <w:p>
      <w:pPr>
        <w:pStyle w:val="Heading4"/>
        <w:numPr>
          <w:ilvl w:val="3"/>
          <w:numId w:val="1"/>
        </w:numPr>
        <w:rPr/>
      </w:pPr>
      <w:bookmarkStart w:id="922" w:name="__RefHeading___Toc7812796_3381743652"/>
      <w:bookmarkStart w:id="923" w:name="_Toc357"/>
      <w:bookmarkEnd w:id="922"/>
      <w:r>
        <w:rPr/>
        <w:t>۷</w:t>
      </w:r>
      <w:r>
        <w:rPr>
          <w:rtl w:val="true"/>
        </w:rPr>
        <w:t xml:space="preserve">. </w:t>
      </w:r>
      <w:r>
        <w:rPr>
          <w:rtl w:val="true"/>
        </w:rPr>
        <w:t>قاعده لطف در وجوب تکالیف شرعی</w:t>
      </w:r>
      <w:bookmarkEnd w:id="923"/>
    </w:p>
    <w:p>
      <w:pPr>
        <w:pStyle w:val="BookText"/>
        <w:rPr/>
      </w:pPr>
      <w:r>
        <w:rPr>
          <w:rFonts w:ascii="IRNazanin" w:hAnsi="IRNazanin" w:eastAsia="IRNazanin"/>
          <w:color w:val="111111"/>
          <w:sz w:val="28"/>
          <w:sz w:val="28"/>
          <w:szCs w:val="28"/>
          <w:rtl w:val="true"/>
          <w:lang w:bidi="fa-IR"/>
        </w:rPr>
        <w:t>متکلمان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تکالیف سمعی، الطاف در تکالیف عقلی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تکلیف شرعی از طریق وحی، لطف است در احکام عقلی و چون لطف، واجب است، پس تکلیف عقلی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کسی بر انجام واجبات شرعی و ترک نواهی آن مواظبت کند، به فعل واجبات عقلی و ترک نواهی آن نزدیکتر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که آیا عقل بشری می تواند بدون کمک شرع، مصالح و مفاسد واقعی خویش را کشف کند؟ اساس بحث برای پاسخ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براهمه</w:t>
      </w:r>
      <w:r>
        <w:rPr>
          <w:rFonts w:eastAsia="IRNazanin" w:cs="IRNazanin"/>
          <w:color w:val="111111"/>
          <w:sz w:val="28"/>
          <w:szCs w:val="28"/>
          <w:rtl w:val="true"/>
          <w:lang w:bidi="fa-IR"/>
        </w:rPr>
        <w:t>»</w:t>
      </w:r>
      <w:r>
        <w:rPr>
          <w:rStyle w:val="FootnoteAnchor"/>
          <w:rtl w:val="true"/>
        </w:rPr>
        <w:footnoteReference w:id="983"/>
      </w:r>
      <w:r>
        <w:rPr>
          <w:rFonts w:ascii="IRNazanin" w:hAnsi="IRNazanin" w:eastAsia="IRNazanin"/>
          <w:color w:val="111111"/>
          <w:sz w:val="28"/>
          <w:sz w:val="28"/>
          <w:szCs w:val="28"/>
          <w:rtl w:val="true"/>
          <w:lang w:bidi="fa-IR"/>
        </w:rPr>
        <w:t>بوده است؛ چنان که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بعثت انبیا نیست؛ زیرا آنچه از طریق وحی به ما می رسد، یا موافق عقل است، یا مخالف آن؛ اگر مخالف عقل باشد، عمل به آن ممکن نیست و اگر موافق عقل باشد، عقل، ما را کافی است و نیازی به وحی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جای خود، پاسخهایی به این شبهه داده شده، ولی ما پاسخ خواجه نصیرالدین طوسی را در کتاب شرح تجرید نقل می کنیم که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عقل درک می کند، شرع، مؤید و مؤکد آن است و در برخی موارد، عقل توان درک ندارد و شرع، رأسا اقدام می کند</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گرچه در مذهب شیعه، بیش از معتزله برای عقل، استقلال و حجیت اثبات شده است، از دیدگاه شیعه به حکم روایات معصومان طلا عقل، پیامبر باطنی و درونی است و پیامبر، عقل ظاهری و بیرونی است و در فقه شیعه، عقل، یکی از ادله چهارگانه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عقل به تنهایی قادر به تحصیل سعادت بشر نیست، ولی رابطه عقل و شرع، </w:t>
      </w:r>
      <w:bookmarkStart w:id="924" w:name="pg14387_143877"/>
    </w:p>
    <w:p>
      <w:pPr>
        <w:pStyle w:val="BookText"/>
        <w:rPr/>
      </w:pPr>
      <w:bookmarkEnd w:id="924"/>
      <w:r>
        <w:rPr>
          <w:rFonts w:ascii="IRNazanin" w:hAnsi="IRNazanin" w:eastAsia="IRNazanin"/>
          <w:color w:val="111111"/>
          <w:sz w:val="28"/>
          <w:sz w:val="28"/>
          <w:szCs w:val="28"/>
          <w:rtl w:val="true"/>
          <w:lang w:bidi="fa-IR"/>
        </w:rPr>
        <w:t>استحکام دارد و موجبات تکامل انسان را فراهم می سازد</w:t>
      </w:r>
      <w:r>
        <w:rPr>
          <w:rFonts w:eastAsia="IRNazanin" w:cs="IRNazanin"/>
          <w:color w:val="111111"/>
          <w:sz w:val="28"/>
          <w:szCs w:val="28"/>
          <w:rtl w:val="true"/>
          <w:lang w:bidi="fa-IR"/>
        </w:rPr>
        <w:t>.</w:t>
      </w:r>
    </w:p>
    <w:p>
      <w:pPr>
        <w:pStyle w:val="Heading4"/>
        <w:numPr>
          <w:ilvl w:val="3"/>
          <w:numId w:val="1"/>
        </w:numPr>
        <w:rPr/>
      </w:pPr>
      <w:bookmarkStart w:id="925" w:name="__RefHeading___Toc7812798_3381743652"/>
      <w:bookmarkStart w:id="926" w:name="_Toc358"/>
      <w:bookmarkEnd w:id="925"/>
      <w:r>
        <w:rPr/>
        <w:t>۸</w:t>
      </w:r>
      <w:r>
        <w:rPr>
          <w:rtl w:val="true"/>
        </w:rPr>
        <w:t xml:space="preserve">. </w:t>
      </w:r>
      <w:r>
        <w:rPr>
          <w:rtl w:val="true"/>
        </w:rPr>
        <w:t>قاعده لطف و حجیت اجماع</w:t>
      </w:r>
      <w:bookmarkEnd w:id="926"/>
    </w:p>
    <w:p>
      <w:pPr>
        <w:pStyle w:val="BookText"/>
        <w:rPr/>
      </w:pPr>
      <w:r>
        <w:rPr>
          <w:rFonts w:ascii="IRNazanin" w:hAnsi="IRNazanin" w:eastAsia="IRNazanin"/>
          <w:color w:val="111111"/>
          <w:sz w:val="28"/>
          <w:sz w:val="28"/>
          <w:szCs w:val="28"/>
          <w:rtl w:val="true"/>
          <w:lang w:bidi="fa-IR"/>
        </w:rPr>
        <w:t>اجماع لطفی منسوب به شیخ طوسی است که در کتاب عدة الاصول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امام معصوم، مخالف اجماع امت باشد، بر امام زمان عجل الله واجب است که رأی خویش را ابراز نموده، اجماع را بر هم زند، والا تکلیفی که قول معصوم در میان آن است، قبیح خواهد بود و حال آن که خلاف آن را اعتقاد داریم</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پس قاعده لطف، علاوه بر این که مبنای برخی مسائل کلامی است، در علم اصول نیز در باب حجیت اجماع، بدان استناد می شود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امت اسلامی بر آمری، به خودی خود گواه بر حقانیت و مشروعیت آن نیست، بلکه ملاک اعتبار و حجیت</w:t>
      </w:r>
    </w:p>
    <w:p>
      <w:pPr>
        <w:pStyle w:val="BookText"/>
        <w:rPr/>
      </w:pPr>
      <w:r>
        <w:rPr>
          <w:rFonts w:ascii="IRNazanin" w:hAnsi="IRNazanin" w:eastAsia="IRNazanin"/>
          <w:color w:val="111111"/>
          <w:sz w:val="28"/>
          <w:sz w:val="28"/>
          <w:szCs w:val="28"/>
          <w:rtl w:val="true"/>
          <w:lang w:bidi="fa-IR"/>
        </w:rPr>
        <w:t>اجماع، کاشف بودن آن از قول و رأی معصوم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مرحوم آخوند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قائل به اجماع لطفی است؛ به این بیان که اگر در اجماع، اجماع کنندگان در مسئله ای به خطا رفته باشند، بر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اظهار خلاف کند و آنان را به هر صورت ممکن، از خطا برحذر دارد و چون چنین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تحقق نیافته، پس اجماع آنان حجت است</w:t>
      </w:r>
      <w:r>
        <w:rPr>
          <w:rFonts w:eastAsia="IRNazanin" w:cs="IRNazanin"/>
          <w:color w:val="111111"/>
          <w:sz w:val="28"/>
          <w:szCs w:val="28"/>
          <w:rtl w:val="true"/>
          <w:lang w:bidi="fa-IR"/>
        </w:rPr>
        <w:t>.</w:t>
      </w:r>
      <w:r>
        <w:rPr>
          <w:rStyle w:val="FootnoteAnchor"/>
          <w:rtl w:val="true"/>
        </w:rPr>
        <w:footnoteReference w:id="986"/>
      </w:r>
      <w:bookmarkStart w:id="927" w:name="pg14387_143878"/>
    </w:p>
    <w:p>
      <w:pPr>
        <w:pStyle w:val="Heading2"/>
        <w:numPr>
          <w:ilvl w:val="1"/>
          <w:numId w:val="1"/>
        </w:numPr>
        <w:rPr/>
      </w:pPr>
      <w:bookmarkStart w:id="928" w:name="__RefHeading___Toc7812800_3381743652"/>
      <w:bookmarkStart w:id="929" w:name="_Toc359"/>
      <w:bookmarkEnd w:id="927"/>
      <w:bookmarkEnd w:id="928"/>
      <w:r>
        <w:rPr>
          <w:rtl w:val="true"/>
        </w:rPr>
        <w:t>جبر و اختیار</w:t>
      </w:r>
      <w:bookmarkEnd w:id="929"/>
    </w:p>
    <w:p>
      <w:pPr>
        <w:pStyle w:val="Heading3"/>
        <w:numPr>
          <w:ilvl w:val="2"/>
          <w:numId w:val="1"/>
        </w:numPr>
        <w:rPr/>
      </w:pPr>
      <w:bookmarkStart w:id="930" w:name="__RefHeading___Toc7812802_3381743652"/>
      <w:bookmarkStart w:id="931" w:name="_Toc360"/>
      <w:bookmarkEnd w:id="930"/>
      <w:r>
        <w:rPr>
          <w:rtl w:val="true"/>
        </w:rPr>
        <w:t>مقدمه</w:t>
      </w:r>
      <w:bookmarkEnd w:id="931"/>
    </w:p>
    <w:p>
      <w:pPr>
        <w:pStyle w:val="BookText"/>
        <w:rPr/>
      </w:pPr>
      <w:r>
        <w:rPr>
          <w:rFonts w:ascii="IRNazanin" w:hAnsi="IRNazanin" w:eastAsia="IRNazanin"/>
          <w:color w:val="111111"/>
          <w:sz w:val="28"/>
          <w:sz w:val="28"/>
          <w:szCs w:val="28"/>
          <w:rtl w:val="true"/>
          <w:lang w:bidi="fa-IR"/>
        </w:rPr>
        <w:t>مسئله جبر و اختیار، یکی از پیچیده ترین مسائل فلسفی و کلامی می باشد که از دیرباز، میان دانشوران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سدۀ نخست ظهور اسلام، پرسشهای مهمی راجع به این موضوع در میان مسلمانان مطرح گردید،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آدمیان در افعال خود مختارند؟ به سخن دیگر، آیا ارادۂ حق تعالی شامل افعال و حرکات بندگان می گردد یا خیر؟ بر فرض برگزیدن دیدگاه جبرگرایانه در این باره، تکلیف و در پی آن، مسئله پاداش و کیفر، چگونه قابل تصویر است؟</w:t>
      </w:r>
    </w:p>
    <w:p>
      <w:pPr>
        <w:pStyle w:val="BookText"/>
        <w:rPr/>
      </w:pPr>
      <w:r>
        <w:rPr>
          <w:rFonts w:ascii="IRNazanin" w:hAnsi="IRNazanin" w:eastAsia="IRNazanin"/>
          <w:color w:val="111111"/>
          <w:sz w:val="28"/>
          <w:sz w:val="28"/>
          <w:szCs w:val="28"/>
          <w:rtl w:val="true"/>
          <w:lang w:bidi="fa-IR"/>
        </w:rPr>
        <w:t>در این مسائل، کشمکشهای زیادی میان متکلمان اسلامی به وجود آمده است و دیدگاهها و رهیافتهای متعددی ابراز شده است که از آن میان، می توان به سه دیدگاه جبرانگاران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قائلان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در این باره روی آورد جبرگرایانه ای را در پیش گرفته اند که طبق آن، افعال بندگان، مخلوق خداوند و مقدور اوست</w:t>
      </w:r>
      <w:r>
        <w:rPr>
          <w:rStyle w:val="FootnoteAnchor"/>
          <w:rtl w:val="true"/>
        </w:rPr>
        <w:footnoteReference w:id="987"/>
      </w:r>
      <w:r>
        <w:rPr>
          <w:rFonts w:ascii="IRNazanin" w:hAnsi="IRNazanin" w:eastAsia="IRNazanin"/>
          <w:color w:val="111111"/>
          <w:sz w:val="28"/>
          <w:sz w:val="28"/>
          <w:szCs w:val="28"/>
          <w:rtl w:val="true"/>
          <w:lang w:bidi="fa-IR"/>
        </w:rPr>
        <w:t xml:space="preserve">و قدرت عبد، هیچ اثری در ایجاد فعل ندارد و </w:t>
      </w:r>
      <w:bookmarkStart w:id="932" w:name="pg14387_143879"/>
    </w:p>
    <w:p>
      <w:pPr>
        <w:pStyle w:val="BookText"/>
        <w:rPr/>
      </w:pPr>
      <w:bookmarkEnd w:id="932"/>
      <w:r>
        <w:rPr>
          <w:rFonts w:ascii="IRNazanin" w:hAnsi="IRNazanin" w:eastAsia="IRNazanin"/>
          <w:color w:val="111111"/>
          <w:sz w:val="28"/>
          <w:sz w:val="28"/>
          <w:szCs w:val="28"/>
          <w:rtl w:val="true"/>
          <w:lang w:bidi="fa-IR"/>
        </w:rPr>
        <w:t>تنها مقارن با وجود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اعتزال از بیم گرفتار شدن در دام جبر، رویکرد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اند و بدین سان، هر دو گروه به معضلات کلامی فراوانی دچار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متکلمان امامیه در پرتو هدایت امامان معصوم طلا در برابر اشاعره و معتزله، رهیافت معتدل و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کوششی است در تبیین دیدگاه شیخ طوسی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نخست معنای لغوی و اصطلاحی جبر و تفویض و چند اصطلاح دیگر توضیح داده شده و بعد از ذکر پیشینه کلامی بحث، دیدگاه شیخ طوسی در این باره تبیین گشته</w:t>
      </w:r>
    </w:p>
    <w:p>
      <w:pPr>
        <w:pStyle w:val="BookText"/>
        <w:rPr/>
      </w:pPr>
      <w:r>
        <w:rPr>
          <w:rFonts w:ascii="IRNazanin" w:hAnsi="IRNazanin" w:eastAsia="IRNazanin"/>
          <w:color w:val="111111"/>
          <w:sz w:val="28"/>
          <w:sz w:val="28"/>
          <w:szCs w:val="28"/>
          <w:rtl w:val="true"/>
          <w:lang w:bidi="fa-IR"/>
        </w:rPr>
        <w:t>و ادله نقلی که جبرگرایان بدان تمسک جسته اند، مورد بررسی و نقد قرار گرفته است</w:t>
      </w:r>
      <w:r>
        <w:rPr>
          <w:rFonts w:eastAsia="IRNazanin" w:cs="IRNazanin"/>
          <w:color w:val="111111"/>
          <w:sz w:val="28"/>
          <w:szCs w:val="28"/>
          <w:rtl w:val="true"/>
          <w:lang w:bidi="fa-IR"/>
        </w:rPr>
        <w:t>.</w:t>
      </w:r>
    </w:p>
    <w:p>
      <w:pPr>
        <w:pStyle w:val="Heading3"/>
        <w:numPr>
          <w:ilvl w:val="2"/>
          <w:numId w:val="1"/>
        </w:numPr>
        <w:rPr/>
      </w:pPr>
      <w:bookmarkStart w:id="933" w:name="__RefHeading___Toc7812804_3381743652"/>
      <w:bookmarkStart w:id="934" w:name="_Toc361"/>
      <w:bookmarkEnd w:id="933"/>
      <w:r>
        <w:rPr>
          <w:rtl w:val="true"/>
        </w:rPr>
        <w:t>مفردات بحث</w:t>
      </w:r>
      <w:bookmarkEnd w:id="934"/>
    </w:p>
    <w:p>
      <w:pPr>
        <w:pStyle w:val="Heading4"/>
        <w:numPr>
          <w:ilvl w:val="3"/>
          <w:numId w:val="1"/>
        </w:numPr>
        <w:rPr/>
      </w:pPr>
      <w:bookmarkStart w:id="935" w:name="__RefHeading___Toc7812806_3381743652"/>
      <w:bookmarkStart w:id="936" w:name="_Toc362"/>
      <w:bookmarkEnd w:id="935"/>
      <w:r>
        <w:rPr>
          <w:rtl w:val="true"/>
        </w:rPr>
        <w:t>معنای لغوی جبر</w:t>
      </w:r>
      <w:bookmarkEnd w:id="936"/>
    </w:p>
    <w:p>
      <w:pPr>
        <w:pStyle w:val="BookText"/>
        <w:rPr/>
      </w:pPr>
      <w:r>
        <w:rPr>
          <w:rFonts w:ascii="IRNazanin" w:hAnsi="IRNazanin" w:eastAsia="IRNazanin"/>
          <w:color w:val="111111"/>
          <w:sz w:val="28"/>
          <w:sz w:val="28"/>
          <w:szCs w:val="28"/>
          <w:rtl w:val="true"/>
          <w:lang w:bidi="fa-IR"/>
        </w:rPr>
        <w:t>جبر در لغت به سه معنی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کردن شخص از فقر، یا اصلاح استخوان از شکستگی و بستن استخوان شکسته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اکراه و اجبار، البته در صورتی 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و یا از باب افعال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 و امتناع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نخلة جبارة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نخلی که بسیار بلند است و دست به او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37" w:name="__RefHeading___Toc7812808_3381743652"/>
      <w:bookmarkStart w:id="938" w:name="_Toc363"/>
      <w:bookmarkEnd w:id="937"/>
      <w:r>
        <w:rPr>
          <w:rtl w:val="true"/>
        </w:rPr>
        <w:t>معنای اصطلاحی جبر</w:t>
      </w:r>
      <w:bookmarkEnd w:id="938"/>
    </w:p>
    <w:p>
      <w:pPr>
        <w:pStyle w:val="BookText"/>
        <w:rPr/>
      </w:pPr>
      <w:r>
        <w:rPr>
          <w:rFonts w:ascii="IRNazanin" w:hAnsi="IRNazanin" w:eastAsia="IRNazanin"/>
          <w:color w:val="111111"/>
          <w:sz w:val="28"/>
          <w:sz w:val="28"/>
          <w:szCs w:val="28"/>
          <w:rtl w:val="true"/>
          <w:lang w:bidi="fa-IR"/>
        </w:rPr>
        <w:t>تعریفهای مختلفی از جبر شده است؛ مانند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تفویض امور به خداوند متعال، به طوری که عبد همانند جماد باشد و اختیاری نداشته باشد</w:t>
      </w:r>
      <w:r>
        <w:rPr>
          <w:rFonts w:eastAsia="IRNazanin" w:cs="IRNazanin"/>
          <w:color w:val="111111"/>
          <w:sz w:val="28"/>
          <w:szCs w:val="28"/>
          <w:rtl w:val="true"/>
          <w:lang w:bidi="fa-IR"/>
        </w:rPr>
        <w:t>.</w:t>
      </w:r>
      <w:r>
        <w:rPr>
          <w:rStyle w:val="FootnoteAnchor"/>
          <w:rtl w:val="true"/>
        </w:rPr>
        <w:footnoteReference w:id="988"/>
      </w:r>
      <w:bookmarkStart w:id="939" w:name="pg14387_143880"/>
    </w:p>
    <w:p>
      <w:pPr>
        <w:pStyle w:val="BookText"/>
        <w:rPr/>
      </w:pPr>
      <w:bookmarkEnd w:id="939"/>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کردن فعل از بنده به طور حقیقی و نسبت دادن آن به خداوند متعال</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 که اراده انسان عاقل، از توجیه مجاری امور عاجز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رویدادی که برای او پدید می آید، از قبل مقدر شده؛ بنابراین، انسان، میسر است، نه مخیر</w:t>
      </w:r>
      <w:r>
        <w:rPr>
          <w:rFonts w:eastAsia="IRNazanin" w:cs="IRNazanin"/>
          <w:color w:val="111111"/>
          <w:sz w:val="28"/>
          <w:szCs w:val="28"/>
          <w:rtl w:val="true"/>
          <w:lang w:bidi="fa-IR"/>
        </w:rPr>
        <w:t>.</w:t>
      </w:r>
      <w:r>
        <w:rPr>
          <w:rStyle w:val="FootnoteAnchor"/>
          <w:rtl w:val="true"/>
        </w:rPr>
        <w:footnoteReference w:id="990"/>
      </w:r>
    </w:p>
    <w:p>
      <w:pPr>
        <w:pStyle w:val="Heading4"/>
        <w:numPr>
          <w:ilvl w:val="3"/>
          <w:numId w:val="1"/>
        </w:numPr>
        <w:rPr/>
      </w:pPr>
      <w:bookmarkStart w:id="940" w:name="__RefHeading___Toc7812810_3381743652"/>
      <w:bookmarkStart w:id="941" w:name="_Toc364"/>
      <w:bookmarkEnd w:id="940"/>
      <w:r>
        <w:rPr>
          <w:rtl w:val="true"/>
        </w:rPr>
        <w:t>معرفی جبریه</w:t>
      </w:r>
      <w:bookmarkEnd w:id="9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نفائس الفنون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جبریه، جمعی هستند که قائلند افعال بندگان به جبر است و انسان را در افعال، ارادت و قدرتی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جبر، کسانی هستند که معتقدند خداوند متعال ما را تکلیف مالایطاق می کند و اگر ما آن را انجام ندهیم، عذاب خواهد کرد و ما همانند سنگی هستیم که حرکت می کند، و اگر حرکت داده نشود، حرکت نمی کند</w:t>
      </w:r>
      <w:r>
        <w:rPr>
          <w:rFonts w:eastAsia="IRNazanin" w:cs="IRNazanin"/>
          <w:color w:val="111111"/>
          <w:sz w:val="28"/>
          <w:szCs w:val="28"/>
          <w:rtl w:val="true"/>
          <w:lang w:bidi="fa-IR"/>
        </w:rPr>
        <w:t>».</w:t>
      </w:r>
      <w:r>
        <w:rPr>
          <w:rStyle w:val="FootnoteAnchor"/>
          <w:rtl w:val="true"/>
        </w:rPr>
        <w:footnoteReference w:id="991"/>
      </w:r>
    </w:p>
    <w:p>
      <w:pPr>
        <w:pStyle w:val="Heading4"/>
        <w:numPr>
          <w:ilvl w:val="3"/>
          <w:numId w:val="1"/>
        </w:numPr>
        <w:rPr/>
      </w:pPr>
      <w:bookmarkStart w:id="942" w:name="__RefHeading___Toc7812812_3381743652"/>
      <w:bookmarkStart w:id="943" w:name="_Toc365"/>
      <w:bookmarkEnd w:id="942"/>
      <w:r>
        <w:rPr>
          <w:rtl w:val="true"/>
        </w:rPr>
        <w:t>معنای لغوی تفویض</w:t>
      </w:r>
      <w:bookmarkEnd w:id="943"/>
    </w:p>
    <w:p>
      <w:pPr>
        <w:pStyle w:val="BookText"/>
        <w:rPr/>
      </w:pPr>
      <w:r>
        <w:rPr>
          <w:rFonts w:ascii="IRNazanin" w:hAnsi="IRNazanin" w:eastAsia="IRNazanin"/>
          <w:color w:val="111111"/>
          <w:sz w:val="28"/>
          <w:sz w:val="28"/>
          <w:szCs w:val="28"/>
          <w:rtl w:val="true"/>
          <w:lang w:bidi="fa-IR"/>
        </w:rPr>
        <w:t>تفویض در لغت به معنای واگذار کردن و اختیار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فوض إلیه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صیره إلیه و جعله الحاکم فیه</w:t>
      </w:r>
      <w:r>
        <w:rPr>
          <w:rFonts w:eastAsia="IRNazanin" w:cs="IRNazanin"/>
          <w:color w:val="111111"/>
          <w:sz w:val="28"/>
          <w:szCs w:val="28"/>
          <w:rtl w:val="true"/>
          <w:lang w:bidi="fa-IR"/>
        </w:rPr>
        <w:t xml:space="preserve">». </w:t>
      </w:r>
      <w:r>
        <w:rPr>
          <w:rStyle w:val="FootnoteAnchor"/>
          <w:rtl w:val="true"/>
        </w:rPr>
        <w:footnoteReference w:id="992"/>
      </w:r>
      <w:r>
        <w:rPr>
          <w:rFonts w:ascii="IRNazanin" w:hAnsi="IRNazanin" w:eastAsia="IRNazanin"/>
          <w:color w:val="111111"/>
          <w:sz w:val="28"/>
          <w:sz w:val="28"/>
          <w:szCs w:val="28"/>
          <w:rtl w:val="true"/>
          <w:lang w:bidi="fa-IR"/>
        </w:rPr>
        <w:t>این لفظ، فقط یک بار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أفوض أمری إلی الله، إن الله بصیر بالعباد</w:t>
      </w:r>
      <w:r>
        <w:rPr>
          <w:rFonts w:eastAsia="IRNazanin" w:cs="IRNazanin"/>
          <w:color w:val="111111"/>
          <w:sz w:val="28"/>
          <w:szCs w:val="28"/>
          <w:rtl w:val="true"/>
          <w:lang w:bidi="fa-IR"/>
        </w:rPr>
        <w:t>»</w:t>
      </w:r>
      <w:r>
        <w:rPr>
          <w:rStyle w:val="FootnoteAnchor"/>
          <w:rtl w:val="true"/>
        </w:rPr>
        <w:footnoteReference w:id="993"/>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کارم را به خدا می سپارم، خداست که به حال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w:t>
      </w:r>
      <w:r>
        <w:rPr>
          <w:rStyle w:val="FootnoteAnchor"/>
          <w:rtl w:val="true"/>
        </w:rPr>
        <w:footnoteReference w:id="994"/>
      </w:r>
    </w:p>
    <w:p>
      <w:pPr>
        <w:pStyle w:val="Heading4"/>
        <w:numPr>
          <w:ilvl w:val="3"/>
          <w:numId w:val="1"/>
        </w:numPr>
        <w:rPr/>
      </w:pPr>
      <w:bookmarkStart w:id="944" w:name="__RefHeading___Toc7812814_3381743652"/>
      <w:bookmarkStart w:id="945" w:name="_Toc366"/>
      <w:bookmarkEnd w:id="944"/>
      <w:r>
        <w:rPr>
          <w:rtl w:val="true"/>
        </w:rPr>
        <w:t>معنای اصطلاحی تفویض</w:t>
      </w:r>
      <w:bookmarkEnd w:id="945"/>
    </w:p>
    <w:p>
      <w:pPr>
        <w:pStyle w:val="BookText"/>
        <w:rPr/>
      </w:pPr>
      <w:r>
        <w:rPr>
          <w:rFonts w:ascii="IRNazanin" w:hAnsi="IRNazanin" w:eastAsia="IRNazanin"/>
          <w:color w:val="111111"/>
          <w:sz w:val="28"/>
          <w:sz w:val="28"/>
          <w:szCs w:val="28"/>
          <w:rtl w:val="true"/>
          <w:lang w:bidi="fa-IR"/>
        </w:rPr>
        <w:t>ابوالحسن اشعری می گوید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کفر و گناه هیچ یک از بندگان را نیافریده است، او کافر را از روز نخست کافر نیافریده، بلکه او بعدها کافر شده، و همچنین است مؤمن</w:t>
      </w:r>
      <w:r>
        <w:rPr>
          <w:rFonts w:eastAsia="IRNazanin" w:cs="IRNazanin"/>
          <w:color w:val="111111"/>
          <w:sz w:val="28"/>
          <w:szCs w:val="28"/>
          <w:rtl w:val="true"/>
          <w:lang w:bidi="fa-IR"/>
        </w:rPr>
        <w:t>.</w:t>
      </w:r>
      <w:r>
        <w:rPr>
          <w:rStyle w:val="FootnoteAnchor"/>
          <w:rtl w:val="true"/>
        </w:rPr>
        <w:footnoteReference w:id="995"/>
      </w:r>
      <w:bookmarkStart w:id="946" w:name="pg14387_143881"/>
    </w:p>
    <w:p>
      <w:pPr>
        <w:pStyle w:val="BookText"/>
        <w:rPr/>
      </w:pPr>
      <w:bookmarkEnd w:id="946"/>
      <w:r>
        <w:rPr>
          <w:rFonts w:ascii="IRNazanin" w:hAnsi="IRNazanin" w:eastAsia="IRNazanin"/>
          <w:color w:val="111111"/>
          <w:sz w:val="28"/>
          <w:sz w:val="28"/>
          <w:szCs w:val="28"/>
          <w:rtl w:val="true"/>
          <w:lang w:bidi="fa-IR"/>
        </w:rPr>
        <w:t>ابومنصور بغدادی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معتقدند، انسانها در کسب افعال خود، قادر و توانا هستند و خدای عروجل در قلمرو کارهای آنان و دیگر جانداران، صنع و نقشی ندارد</w:t>
      </w:r>
      <w:r>
        <w:rPr>
          <w:rFonts w:eastAsia="IRNazanin" w:cs="IRNazanin"/>
          <w:color w:val="111111"/>
          <w:sz w:val="28"/>
          <w:szCs w:val="28"/>
          <w:rtl w:val="true"/>
          <w:lang w:bidi="fa-IR"/>
        </w:rPr>
        <w:t>.</w:t>
      </w:r>
      <w:r>
        <w:rPr>
          <w:rStyle w:val="FootnoteAnchor"/>
          <w:rtl w:val="true"/>
        </w:rPr>
        <w:footnoteReference w:id="996"/>
      </w:r>
    </w:p>
    <w:p>
      <w:pPr>
        <w:pStyle w:val="Heading4"/>
        <w:numPr>
          <w:ilvl w:val="3"/>
          <w:numId w:val="1"/>
        </w:numPr>
        <w:rPr/>
      </w:pPr>
      <w:bookmarkStart w:id="947" w:name="__RefHeading___Toc7812816_3381743652"/>
      <w:bookmarkStart w:id="948" w:name="_Toc367"/>
      <w:bookmarkEnd w:id="947"/>
      <w:r>
        <w:rPr>
          <w:rtl w:val="true"/>
        </w:rPr>
        <w:t>معرفی مفوضه</w:t>
      </w:r>
      <w:bookmarkEnd w:id="948"/>
    </w:p>
    <w:p>
      <w:pPr>
        <w:pStyle w:val="BookText"/>
        <w:rPr/>
      </w:pPr>
      <w:r>
        <w:rPr>
          <w:rFonts w:ascii="IRNazanin" w:hAnsi="IRNazanin" w:eastAsia="IRNazanin"/>
          <w:color w:val="111111"/>
          <w:sz w:val="28"/>
          <w:sz w:val="28"/>
          <w:szCs w:val="28"/>
          <w:rtl w:val="true"/>
          <w:lang w:bidi="fa-IR"/>
        </w:rPr>
        <w:t>شیخ الرئیس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متعال، انسان را آفرید، نیاز او به حق تعالی قطع می شود، حتی اگر فاعل از میان برود، معلول او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با از دنیا برود، آسیبی به بنا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گروهی از این افراد، ابایی ندارند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بر خداوند متعال تجویز شود، ضرری به جهان هستی وارد نمی شود؛ زیرا جهان در اصل وجود، به ذات مقدس حق نیاز داشت، نه در بقا</w:t>
      </w:r>
      <w:r>
        <w:rPr>
          <w:rFonts w:eastAsia="IRNazanin" w:cs="IRNazanin"/>
          <w:color w:val="111111"/>
          <w:sz w:val="28"/>
          <w:szCs w:val="28"/>
          <w:rtl w:val="true"/>
          <w:lang w:bidi="fa-IR"/>
        </w:rPr>
        <w:t>.</w:t>
      </w:r>
      <w:r>
        <w:rPr>
          <w:rStyle w:val="FootnoteAnchor"/>
          <w:rtl w:val="true"/>
        </w:rPr>
        <w:footnoteReference w:id="997"/>
      </w:r>
    </w:p>
    <w:p>
      <w:pPr>
        <w:pStyle w:val="Heading4"/>
        <w:numPr>
          <w:ilvl w:val="3"/>
          <w:numId w:val="1"/>
        </w:numPr>
        <w:rPr/>
      </w:pPr>
      <w:bookmarkStart w:id="949" w:name="__RefHeading___Toc7812818_3381743652"/>
      <w:bookmarkStart w:id="950" w:name="_Toc368"/>
      <w:bookmarkEnd w:id="949"/>
      <w:r>
        <w:rPr>
          <w:rtl w:val="true"/>
        </w:rPr>
        <w:t>معنای قضا از نظر شیخ طوسی</w:t>
      </w:r>
      <w:bookmarkEnd w:id="950"/>
    </w:p>
    <w:p>
      <w:pPr>
        <w:pStyle w:val="BookText"/>
        <w:rPr/>
      </w:pPr>
      <w:r>
        <w:rPr>
          <w:rFonts w:ascii="IRNazanin" w:hAnsi="IRNazanin" w:eastAsia="IRNazanin"/>
          <w:color w:val="111111"/>
          <w:sz w:val="28"/>
          <w:sz w:val="28"/>
          <w:szCs w:val="28"/>
          <w:rtl w:val="true"/>
          <w:lang w:bidi="fa-IR"/>
        </w:rPr>
        <w:t>قضا در لغت به چهار معنی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و احداث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الله أفعال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نخست، دوم و سوم مراد نیست، اما به طور مقید می توان به معنای چهارم قائل شد؛ زیرا خداوند متعال ثوابهایی را که مترتب بر طاعات است و کیفرهایی را که مترتب بر گناهان است، به ما اعلام و اخبار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قضا را با چنین معنایی می توان درباره افعال بندگان به حق تعالی نسبت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الله أفعال العباد</w:t>
      </w:r>
      <w:r>
        <w:rPr>
          <w:rFonts w:eastAsia="IRNazanin" w:cs="IRNazanin"/>
          <w:color w:val="111111"/>
          <w:sz w:val="28"/>
          <w:szCs w:val="28"/>
          <w:rtl w:val="true"/>
          <w:lang w:bidi="fa-IR"/>
        </w:rPr>
        <w:t>».</w:t>
      </w:r>
      <w:r>
        <w:rPr>
          <w:rStyle w:val="FootnoteAnchor"/>
          <w:rtl w:val="true"/>
        </w:rPr>
        <w:footnoteReference w:id="998"/>
      </w:r>
    </w:p>
    <w:p>
      <w:pPr>
        <w:pStyle w:val="Heading4"/>
        <w:numPr>
          <w:ilvl w:val="3"/>
          <w:numId w:val="1"/>
        </w:numPr>
        <w:rPr/>
      </w:pPr>
      <w:bookmarkStart w:id="951" w:name="__RefHeading___Toc7812820_3381743652"/>
      <w:bookmarkStart w:id="952" w:name="_Toc369"/>
      <w:bookmarkEnd w:id="951"/>
      <w:r>
        <w:rPr>
          <w:rtl w:val="true"/>
        </w:rPr>
        <w:t>معنای قدر از نظر شیخ طوسی</w:t>
      </w:r>
      <w:bookmarkEnd w:id="95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دارای دو معنی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احداث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و اندازه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فقط معنای دوم را می توان برای افعال بندگان به کار برد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أفعالنا بقدر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متعال ثواب و عقاب را مقدر و مترتب بر اعمال ما کرده است</w:t>
      </w:r>
      <w:r>
        <w:rPr>
          <w:rFonts w:eastAsia="IRNazanin" w:cs="IRNazanin"/>
          <w:color w:val="111111"/>
          <w:sz w:val="28"/>
          <w:szCs w:val="28"/>
          <w:rtl w:val="true"/>
          <w:lang w:bidi="fa-IR"/>
        </w:rPr>
        <w:t>.</w:t>
      </w:r>
      <w:r>
        <w:rPr>
          <w:rStyle w:val="FootnoteAnchor"/>
          <w:rtl w:val="true"/>
        </w:rPr>
        <w:footnoteReference w:id="999"/>
      </w:r>
      <w:bookmarkStart w:id="953" w:name="pg14387_143882"/>
    </w:p>
    <w:p>
      <w:pPr>
        <w:pStyle w:val="Heading4"/>
        <w:numPr>
          <w:ilvl w:val="3"/>
          <w:numId w:val="1"/>
        </w:numPr>
        <w:rPr/>
      </w:pPr>
      <w:bookmarkStart w:id="954" w:name="__RefHeading___Toc7812822_3381743652"/>
      <w:bookmarkStart w:id="955" w:name="_Toc370"/>
      <w:bookmarkEnd w:id="953"/>
      <w:bookmarkEnd w:id="954"/>
      <w:r>
        <w:rPr>
          <w:rtl w:val="true"/>
        </w:rPr>
        <w:t xml:space="preserve">معنای </w:t>
      </w:r>
      <w:r>
        <w:rPr>
          <w:rtl w:val="true"/>
        </w:rPr>
        <w:t>«</w:t>
      </w:r>
      <w:r>
        <w:rPr>
          <w:rtl w:val="true"/>
        </w:rPr>
        <w:t>امر بین الأمرین</w:t>
      </w:r>
      <w:r>
        <w:rPr>
          <w:rtl w:val="true"/>
        </w:rPr>
        <w:t>»</w:t>
      </w:r>
      <w:bookmarkEnd w:id="9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آن به بیان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امر بین الامرین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با ذکر مثالی، این معنی را توضیح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تو شخصی را در حال انجام معصیتی ببینی و او را نهی کنی، اما او به و این نهی ترتیب اثر ندهد و تو او را به حال خودش واگذاری و او مرتکب گناه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جهت این که او نهی تو را نپذیرفته و تو هم او را ترک کرده ای، معنای این ترک کردن، این نیست که تو او را امر به معصیت کرده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معصومان عالم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جبر است و نه تفویض، بلکه امری بین دو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نیست که افعال بندگان، مرکب از جبر و تفویض است و یا این که هیچ کدام نیست و یا این که از جهتی اضطرار</w:t>
      </w:r>
    </w:p>
    <w:p>
      <w:pPr>
        <w:pStyle w:val="BookText"/>
        <w:rPr/>
      </w:pPr>
      <w:r>
        <w:rPr>
          <w:rFonts w:ascii="IRNazanin" w:hAnsi="IRNazanin" w:eastAsia="IRNazanin"/>
          <w:color w:val="111111"/>
          <w:sz w:val="28"/>
          <w:sz w:val="28"/>
          <w:szCs w:val="28"/>
          <w:rtl w:val="true"/>
          <w:lang w:bidi="fa-IR"/>
        </w:rPr>
        <w:t xml:space="preserve">باشد و از جهتی، اختیار، و نه آن که مضطر است در صورت اختیار، و نه آن که او را اختیاری ناقص و جبری ناقص می باشد، بلکه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عبد مختار است از آن جهت که مجبور است، و مجبور است از آن جهت که مختار است؛</w:t>
      </w:r>
    </w:p>
    <w:p>
      <w:pPr>
        <w:pStyle w:val="BookText"/>
        <w:rPr/>
      </w:pPr>
      <w:r>
        <w:rPr>
          <w:rFonts w:ascii="IRNazanin" w:hAnsi="IRNazanin" w:eastAsia="IRNazanin"/>
          <w:color w:val="111111"/>
          <w:sz w:val="28"/>
          <w:sz w:val="28"/>
          <w:szCs w:val="28"/>
          <w:rtl w:val="true"/>
          <w:lang w:bidi="fa-IR"/>
        </w:rPr>
        <w:t>یعنی اختیار او بعینه اضطرار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متوسط بین دو ضد، گاه به معنای امتزاج است که حاصل از شکسته شدن دو طرف است؛ چنان که از اختلاط حار و بارد، فاتر درست می شود که نه حار و نه بارد است و گاهی متوسط میان دو ضد، جامع میان هر دو است، به نحو اعلی و ابسط و</w:t>
      </w:r>
    </w:p>
    <w:p>
      <w:pPr>
        <w:pStyle w:val="BookText"/>
        <w:rPr/>
      </w:pPr>
      <w:r>
        <w:rPr>
          <w:rFonts w:ascii="IRNazanin" w:hAnsi="IRNazanin" w:eastAsia="IRNazanin"/>
          <w:color w:val="111111"/>
          <w:sz w:val="28"/>
          <w:sz w:val="28"/>
          <w:szCs w:val="28"/>
          <w:rtl w:val="true"/>
          <w:lang w:bidi="fa-IR"/>
        </w:rPr>
        <w:t>بدون تضاد و تزاحم؛ مانند جوهر افلاک که در عین بساطت، جامع کیفیات اربعه است بر وجه اعلی و ابسط؛ زیرا آن کیفیات، از افلاک بر ارضیات افاضه می شود و این نوع، بهترین نوع توسط است</w:t>
      </w:r>
      <w:r>
        <w:rPr>
          <w:rFonts w:eastAsia="IRNazanin" w:cs="IRNazanin"/>
          <w:color w:val="111111"/>
          <w:sz w:val="28"/>
          <w:szCs w:val="28"/>
          <w:rtl w:val="true"/>
          <w:lang w:bidi="fa-IR"/>
        </w:rPr>
        <w:t>.</w:t>
      </w:r>
      <w:r>
        <w:rPr>
          <w:rStyle w:val="FootnoteAnchor"/>
          <w:rtl w:val="true"/>
        </w:rPr>
        <w:footnoteReference w:id="1000"/>
      </w:r>
      <w:r>
        <w:rPr>
          <w:rStyle w:val="FootnoteAnchor"/>
          <w:rtl w:val="true"/>
        </w:rPr>
        <w:footnoteReference w:id="1001"/>
      </w:r>
    </w:p>
    <w:p>
      <w:pPr>
        <w:pStyle w:val="Heading3"/>
        <w:numPr>
          <w:ilvl w:val="2"/>
          <w:numId w:val="1"/>
        </w:numPr>
        <w:rPr/>
      </w:pPr>
      <w:bookmarkStart w:id="956" w:name="__RefHeading___Toc7812824_3381743652"/>
      <w:bookmarkStart w:id="957" w:name="_Toc371"/>
      <w:bookmarkEnd w:id="956"/>
      <w:r>
        <w:rPr>
          <w:rtl w:val="true"/>
        </w:rPr>
        <w:t>پیشینه کلامی بحث</w:t>
      </w:r>
      <w:bookmarkEnd w:id="95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عاقل و خردمند، همیشه می خواهد بداند وضعیت او در این جهان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خود مختار است و از روی اختیار، کارهایی را انجام می دهد یا این که عاملی او را به </w:t>
      </w:r>
    </w:p>
    <w:p>
      <w:pPr>
        <w:pStyle w:val="BookText"/>
        <w:rPr/>
      </w:pPr>
      <w:r>
        <w:rPr>
          <w:rFonts w:ascii="IRNazanin" w:hAnsi="IRNazanin" w:eastAsia="IRNazanin"/>
          <w:color w:val="111111"/>
          <w:sz w:val="28"/>
          <w:sz w:val="28"/>
          <w:szCs w:val="28"/>
          <w:rtl w:val="true"/>
          <w:lang w:bidi="fa-IR"/>
        </w:rPr>
        <w:t>سوی هدفی می برد؟ هرچند این عامل برای او مشخص نباشد؟</w:t>
      </w:r>
    </w:p>
    <w:p>
      <w:pPr>
        <w:pStyle w:val="BookText"/>
        <w:rPr/>
      </w:pPr>
      <w:r>
        <w:rPr>
          <w:rFonts w:ascii="IRNazanin" w:hAnsi="IRNazanin" w:eastAsia="IRNazanin"/>
          <w:color w:val="111111"/>
          <w:sz w:val="28"/>
          <w:sz w:val="28"/>
          <w:szCs w:val="28"/>
          <w:rtl w:val="true"/>
          <w:lang w:bidi="fa-IR"/>
        </w:rPr>
        <w:t>با توجه به این اندیشه، نمی توان برای مسئله جبر و اختیار، ریشه تاریخی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میان یونانیان قدیم، رواج کامل داشته</w:t>
      </w:r>
      <w:r>
        <w:rPr>
          <w:rStyle w:val="FootnoteAnchor"/>
          <w:rtl w:val="true"/>
        </w:rPr>
        <w:footnoteReference w:id="1002"/>
      </w:r>
      <w:r>
        <w:rPr>
          <w:rFonts w:ascii="IRNazanin" w:hAnsi="IRNazanin" w:eastAsia="IRNazanin"/>
          <w:color w:val="111111"/>
          <w:sz w:val="28"/>
          <w:sz w:val="28"/>
          <w:szCs w:val="28"/>
          <w:rtl w:val="true"/>
          <w:lang w:bidi="fa-IR"/>
        </w:rPr>
        <w:t>و ارسطو نیز در کتاب اخلاق نیکوماخس آن را مورد تحلیل و بررسی قرار داده است</w:t>
      </w:r>
      <w:r>
        <w:rPr>
          <w:rFonts w:eastAsia="IRNazanin" w:cs="IRNazanin"/>
          <w:color w:val="111111"/>
          <w:sz w:val="28"/>
          <w:szCs w:val="28"/>
          <w:rtl w:val="true"/>
          <w:lang w:bidi="fa-IR"/>
        </w:rPr>
        <w:t>.</w:t>
      </w:r>
      <w:r>
        <w:rPr>
          <w:rStyle w:val="FootnoteAnchor"/>
          <w:rtl w:val="true"/>
        </w:rPr>
        <w:footnoteReference w:id="1003"/>
      </w:r>
      <w:r>
        <w:rPr>
          <w:rFonts w:ascii="IRNazanin" w:hAnsi="IRNazanin" w:eastAsia="IRNazanin"/>
          <w:color w:val="111111"/>
          <w:sz w:val="28"/>
          <w:sz w:val="28"/>
          <w:szCs w:val="28"/>
          <w:rtl w:val="true"/>
          <w:lang w:bidi="fa-IR"/>
        </w:rPr>
        <w:t>قرآن کریم نیز به جبر اشاره دارد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لو شاء الرحمن ما عبدناهم، ما لهم بذلک من علم إن هم إلا یخرصون</w:t>
      </w:r>
      <w:r>
        <w:rPr>
          <w:rFonts w:eastAsia="IRNazanin" w:cs="IRNazanin"/>
          <w:color w:val="111111"/>
          <w:sz w:val="28"/>
          <w:szCs w:val="28"/>
          <w:rtl w:val="true"/>
          <w:lang w:bidi="fa-IR"/>
        </w:rPr>
        <w:t>»</w:t>
      </w:r>
      <w:r>
        <w:rPr>
          <w:rStyle w:val="FootnoteAnchor"/>
          <w:rtl w:val="true"/>
        </w:rPr>
        <w:footnoteReference w:id="1004"/>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رحمان می خواست، آنها را نمی پرستیدیم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این دعوی دانشی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حدس نمی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دین و جبر و تفویض را صراحتا رد کرده اند 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فرموده اند</w:t>
      </w:r>
      <w:r>
        <w:rPr>
          <w:rFonts w:eastAsia="IRNazanin" w:cs="IRNazanin"/>
          <w:color w:val="111111"/>
          <w:sz w:val="28"/>
          <w:szCs w:val="28"/>
          <w:rtl w:val="true"/>
          <w:lang w:bidi="fa-IR"/>
        </w:rPr>
        <w:t>.</w:t>
      </w:r>
      <w:r>
        <w:rPr>
          <w:rStyle w:val="FootnoteAnchor"/>
          <w:rtl w:val="true"/>
        </w:rPr>
        <w:footnoteReference w:id="1005"/>
      </w:r>
      <w:r>
        <w:rPr>
          <w:rFonts w:ascii="IRNazanin" w:hAnsi="IRNazanin" w:eastAsia="IRNazanin"/>
          <w:color w:val="111111"/>
          <w:sz w:val="28"/>
          <w:sz w:val="28"/>
          <w:szCs w:val="28"/>
          <w:rtl w:val="true"/>
          <w:lang w:bidi="fa-IR"/>
        </w:rPr>
        <w:t>اما با وجود این، بعضی به خاطر کج اندیشی و بعضی به خاطر هوی و هوس، قائل به جبر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اشاره ای زیبا به این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نفست خواست داری اختیار</w:t>
      </w:r>
    </w:p>
    <w:p>
      <w:pPr>
        <w:pStyle w:val="BookText"/>
        <w:rPr/>
      </w:pPr>
      <w:r>
        <w:rPr>
          <w:rFonts w:ascii="IRNazanin" w:hAnsi="IRNazanin" w:eastAsia="IRNazanin"/>
          <w:color w:val="111111"/>
          <w:sz w:val="28"/>
          <w:sz w:val="28"/>
          <w:szCs w:val="28"/>
          <w:rtl w:val="true"/>
          <w:lang w:bidi="fa-IR"/>
        </w:rPr>
        <w:t>هرچه عقلت خواست آری اضطرار</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در هر آن کاری که میلتست بدان</w:t>
      </w:r>
    </w:p>
    <w:p>
      <w:pPr>
        <w:pStyle w:val="BookText"/>
        <w:rPr/>
      </w:pPr>
      <w:r>
        <w:rPr>
          <w:rFonts w:ascii="IRNazanin" w:hAnsi="IRNazanin" w:eastAsia="IRNazanin"/>
          <w:color w:val="111111"/>
          <w:sz w:val="28"/>
          <w:sz w:val="28"/>
          <w:szCs w:val="28"/>
          <w:rtl w:val="true"/>
          <w:lang w:bidi="fa-IR"/>
        </w:rPr>
        <w:t>قدرت خود را می بینی عیان</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در هر آن کاری که میلت نیست و خواست</w:t>
      </w:r>
    </w:p>
    <w:p>
      <w:pPr>
        <w:pStyle w:val="BookText"/>
        <w:rPr/>
      </w:pPr>
      <w:r>
        <w:rPr>
          <w:rFonts w:ascii="IRNazanin" w:hAnsi="IRNazanin" w:eastAsia="IRNazanin"/>
          <w:color w:val="111111"/>
          <w:sz w:val="28"/>
          <w:sz w:val="28"/>
          <w:szCs w:val="28"/>
          <w:rtl w:val="true"/>
          <w:lang w:bidi="fa-IR"/>
        </w:rPr>
        <w:t>اندر آن جبری شدن کین از خداست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سیاستمداران نیز از مسئله جبر، بهره برداری سیاسی کرده اند</w:t>
      </w:r>
      <w:r>
        <w:rPr>
          <w:rStyle w:val="FootnoteAnchor"/>
          <w:rtl w:val="true"/>
        </w:rPr>
        <w:footnoteReference w:id="1008"/>
      </w:r>
      <w:r>
        <w:rPr>
          <w:rFonts w:ascii="IRNazanin" w:hAnsi="IRNazanin" w:eastAsia="IRNazanin"/>
          <w:color w:val="111111"/>
          <w:sz w:val="28"/>
          <w:sz w:val="28"/>
          <w:szCs w:val="28"/>
          <w:rtl w:val="true"/>
          <w:lang w:bidi="fa-IR"/>
        </w:rPr>
        <w:t xml:space="preserve">و هر کسی را که </w:t>
      </w:r>
    </w:p>
    <w:p>
      <w:pPr>
        <w:pStyle w:val="BookText"/>
        <w:rPr/>
      </w:pPr>
      <w:r>
        <w:rPr>
          <w:rFonts w:ascii="IRNazanin" w:hAnsi="IRNazanin" w:eastAsia="IRNazanin"/>
          <w:color w:val="111111"/>
          <w:sz w:val="28"/>
          <w:sz w:val="28"/>
          <w:szCs w:val="28"/>
          <w:rtl w:val="true"/>
          <w:lang w:bidi="fa-IR"/>
        </w:rPr>
        <w:t xml:space="preserve">مخالف آن اندیشه باطل بوده است، به اعدام محکوم می کرده 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مقتول در سال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غیلان 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مقتول نیمه اول قرن دوم هجری</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جبر و تفویض، پس از ظهور اسلام به صورت دو مدرسه کلامی در اواخر قرن اول و اوایل قرن دوم هجری پدیدار شد و هر دو دسته، در اصول آرای خود، راه افراط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کلی قدرت الهی را نفی کردند </w:t>
      </w:r>
      <w:r>
        <w:rPr>
          <w:rStyle w:val="FootnoteAnchor"/>
          <w:rtl w:val="true"/>
        </w:rPr>
        <w:footnoteReference w:id="1010"/>
      </w:r>
      <w:r>
        <w:rPr>
          <w:rFonts w:ascii="IRNazanin" w:hAnsi="IRNazanin" w:eastAsia="IRNazanin"/>
          <w:color w:val="111111"/>
          <w:sz w:val="28"/>
          <w:sz w:val="28"/>
          <w:szCs w:val="28"/>
          <w:rtl w:val="true"/>
          <w:lang w:bidi="fa-IR"/>
        </w:rPr>
        <w:t>و در طرف مقابل، 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سلب اختیار کردند؛ تا آنجا که میان اعمال انسان مدرک عاقل و جماد بدون عقل و اندیشه، فرقی نگذاشتند</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طولی نکشید که این دو مدرسه، رو به ضعف نهاد و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های ویران شده مدرسه قدریه پرچمی برافراشته شد و گروهی در صدد برآمدند تا در این نظریه تعدیلی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همانهایی هستند که بعدها به نام معتزله مشهور شدند</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این مذهب در اواخر قرن دوم هجری به اوج قدرت رسید و در نیمه نخست قرن سوم هجری، رو به ضعف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تمام مشایخ و اساتید معتزلی را از مساجد و مدارس بیرون کرد و با رجوع و بازگشت ابوالحسن اشعری از اعتزال و پیوستن او به مکتب اهل حدیث، مذهب اشعری به وجود آمد و از عقیده به جبر،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مذهب اعتزال به افول گرایید و اشاعره در صحنه حاضر شدند</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متکلمان شیعه نیز به دستور ائمه طلا با دو فرقه جبریه و مفوضه که مسلک افراط و تفریط را می پیمودند، به مناظره و احتجاج حضوری و کتبی پرداختند و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امر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را مغلوب ساختند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با همت عالی و اشتیاق کافی، با علی بن عیسی رمانی، قاضی ابوبکر باقلانی و قاضی عبدالجبار معتزلی، مناظراتی داشت و حدود دویست جلد کتاب در اثبات مذهب شیعه اثناعشریه نوشت و به رد مخالفان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شاگردان </w:t>
      </w:r>
      <w:bookmarkStart w:id="958" w:name="pg14387_143885"/>
    </w:p>
    <w:p>
      <w:pPr>
        <w:pStyle w:val="BookText"/>
        <w:rPr/>
      </w:pPr>
      <w:bookmarkEnd w:id="958"/>
      <w:r>
        <w:rPr>
          <w:rFonts w:ascii="IRNazanin" w:hAnsi="IRNazanin" w:eastAsia="IRNazanin"/>
          <w:color w:val="111111"/>
          <w:sz w:val="28"/>
          <w:sz w:val="28"/>
          <w:szCs w:val="28"/>
          <w:rtl w:val="true"/>
          <w:lang w:bidi="fa-IR"/>
        </w:rPr>
        <w:t>خبیر و جانشینان بصیرش، مخصوصا سید مرتضی علم الهدی قد علم کردند که وی کتاب شافی را بر رد اشکالات قاضی عبدالجبار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ایشان، شیخ الطایفه ابوجعفر محمد بن حسن طوسی و کتاب تمهید الاصول، تلخیص الشافی، الاقتصاد و کتابهای دیگر را نوشت و به ترویج مذهب حق و حقیقت و ارائه طریق نجات و موفقیت پرداخت که دیدگاه وی را درباره جبر و تفویض، ذکر خواهیم کرد</w:t>
      </w:r>
      <w:r>
        <w:rPr>
          <w:rFonts w:eastAsia="IRNazanin" w:cs="IRNazanin"/>
          <w:color w:val="111111"/>
          <w:sz w:val="28"/>
          <w:szCs w:val="28"/>
          <w:rtl w:val="true"/>
          <w:lang w:bidi="fa-IR"/>
        </w:rPr>
        <w:t>.</w:t>
      </w:r>
    </w:p>
    <w:p>
      <w:pPr>
        <w:pStyle w:val="Heading3"/>
        <w:numPr>
          <w:ilvl w:val="2"/>
          <w:numId w:val="1"/>
        </w:numPr>
        <w:rPr/>
      </w:pPr>
      <w:bookmarkStart w:id="959" w:name="__RefHeading___Toc7812826_3381743652"/>
      <w:bookmarkStart w:id="960" w:name="_Toc372"/>
      <w:bookmarkEnd w:id="959"/>
      <w:r>
        <w:rPr>
          <w:rtl w:val="true"/>
        </w:rPr>
        <w:t>نظر شیخ طوسی درباره جبر</w:t>
      </w:r>
      <w:bookmarkEnd w:id="960"/>
    </w:p>
    <w:p>
      <w:pPr>
        <w:pStyle w:val="Heading4"/>
        <w:numPr>
          <w:ilvl w:val="3"/>
          <w:numId w:val="1"/>
        </w:numPr>
        <w:rPr/>
      </w:pPr>
      <w:bookmarkStart w:id="961" w:name="__RefHeading___Toc7812828_3381743652"/>
      <w:bookmarkStart w:id="962" w:name="_Toc373"/>
      <w:bookmarkEnd w:id="961"/>
      <w:r>
        <w:rPr>
          <w:rtl w:val="true"/>
        </w:rPr>
        <w:t>اشاره</w:t>
      </w:r>
      <w:bookmarkEnd w:id="962"/>
    </w:p>
    <w:p>
      <w:pPr>
        <w:pStyle w:val="BookText"/>
        <w:rPr/>
      </w:pPr>
      <w:r>
        <w:rPr>
          <w:rFonts w:ascii="IRNazanin" w:hAnsi="IRNazanin" w:eastAsia="IRNazanin"/>
          <w:color w:val="111111"/>
          <w:sz w:val="28"/>
          <w:sz w:val="28"/>
          <w:szCs w:val="28"/>
          <w:rtl w:val="true"/>
          <w:lang w:bidi="fa-IR"/>
        </w:rPr>
        <w:t>نظر ایشان درباره افعال اختیاری بشر، این است که انسان به هیچ وجه مجبور نیست و آنچه انجام می دهد، به اراده و اختیار خویش انتخاب و سپس بر اساس آن انتخاب،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الطایفه در رد دیدگاه جبرانگارانه اشاعره، به ادله متقن عقلی و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و به تمامی آیاتی که آنان به آن تمسک جسته اند، پاسخ می دهد</w:t>
      </w:r>
      <w:r>
        <w:rPr>
          <w:rFonts w:eastAsia="IRNazanin" w:cs="IRNazanin"/>
          <w:color w:val="111111"/>
          <w:sz w:val="28"/>
          <w:szCs w:val="28"/>
          <w:rtl w:val="true"/>
          <w:lang w:bidi="fa-IR"/>
        </w:rPr>
        <w:t>.</w:t>
      </w:r>
    </w:p>
    <w:p>
      <w:pPr>
        <w:pStyle w:val="Heading4"/>
        <w:numPr>
          <w:ilvl w:val="3"/>
          <w:numId w:val="1"/>
        </w:numPr>
        <w:rPr/>
      </w:pPr>
      <w:bookmarkStart w:id="963" w:name="__RefHeading___Toc7812830_3381743652"/>
      <w:bookmarkStart w:id="964" w:name="_Toc374"/>
      <w:bookmarkEnd w:id="963"/>
      <w:r>
        <w:rPr>
          <w:rtl w:val="true"/>
        </w:rPr>
        <w:t>ادله عقلی شیخ در رد دیدگاه جبرانگاری اشاعره</w:t>
      </w:r>
      <w:bookmarkEnd w:id="964"/>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مانند برخاستن، نشستن، حرکت، سکون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انگیزه ها و حالات ما انجام می گیرد و در برابر ناخوش آیندی و چیزهایی که ما را از کاری روگردان می کند، کاری انجام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فاعل آن کارها نباشیم، چنین مطلبی صحیح نخواهد بود؛ همانگونه که رنگها و بلندی و کوتاهی ما با انگیزه ها و حالات ما به وجود نمی آید؛ چون ما فاعل آنها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کارهایی که دیگران انجام می دهند، چون کار ما نیست، طبق انگیزه های ما انجام نمی شود و با روگردان بودن ما از آن کارها، آنها از بین نمی رود</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کارها را باید ستود و برخی را نکوهش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کار خود شخص نباشد، ستودن و نکوهیدن بر آنها خوب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کسی را برای این که دراز یا کوتاه و سیاه یا سفید است، نمی توان ستود یا نکوهش کرد؛ بر خلاف این که برای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نشستن و ایستادن یا خوردن و آشامیدن، می توان از کسی تعریف یا 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میان این دو نوع از کارها تفاوتی نباشد، باید ستایش و کوهش درباره آنها فرقی نکند و </w:t>
      </w:r>
      <w:bookmarkStart w:id="965" w:name="pg14387_143886"/>
    </w:p>
    <w:p>
      <w:pPr>
        <w:pStyle w:val="BookText"/>
        <w:rPr/>
      </w:pPr>
      <w:bookmarkEnd w:id="965"/>
      <w:r>
        <w:rPr>
          <w:rFonts w:ascii="IRNazanin" w:hAnsi="IRNazanin" w:eastAsia="IRNazanin"/>
          <w:color w:val="111111"/>
          <w:sz w:val="28"/>
          <w:sz w:val="28"/>
          <w:szCs w:val="28"/>
          <w:rtl w:val="true"/>
          <w:lang w:bidi="fa-IR"/>
        </w:rPr>
        <w:t>بتوان برای همه این کارها او را ستود یا نکوهش کرد و حال آن که این گونه نیست و فرق این دو دسته از کارها خیلی واضح و روشن است</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انجام شده، نمی شود به دو انجام دهنده توانا وابستگی داشته باشد؛ زیرا اگر چنین چیزی روا باشد، ممکن است انگیزه نخست، فرد نخست را به انجام دادن کاری وادار کند و انگیزه دوم، فرد دوم را از انجام دادن آن کار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کار انجام شود، باید از دیگری سر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انجام دهنده آن کسی است که بر هر کاری توانا باشد، بتواند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معلوم می شود که باید کار را به کسی نسبت داد که باید آن کار را انجام نداده باشد و او کسی است که انگیزه اش او را از آن کار روگردان کرده و ناخوش آیندش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آن کار انجام نشود، باید بگوییم کسی که باید کار از او سر بزند، او آن را انجام نداده است و او کسی است که انگیزه های فراوان، او را به انجام دادن آن کار وادار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هر سخنی به چنین چیزی بینجامد، نادرست است</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اندازه قدرت ما انجام می شود؛ مثلا کسی که قدرت برداشتن پنجاه کیلو را دارد، نمی تواند هزار کیلو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اگر افعال بشر، فعل خداوند متعال بود، لازم نبود به مقدار توان شخص، کار انجام بگیرد؛ زیرا قدرت خداوند متعال، محدود</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کارها، کار خود شخص است، نه فعل حق تعالی</w:t>
      </w:r>
      <w:r>
        <w:rPr>
          <w:rFonts w:eastAsia="IRNazanin" w:cs="IRNazanin"/>
          <w:color w:val="111111"/>
          <w:sz w:val="28"/>
          <w:szCs w:val="28"/>
          <w:rtl w:val="true"/>
          <w:lang w:bidi="fa-IR"/>
        </w:rPr>
        <w:t>.</w:t>
      </w:r>
      <w:r>
        <w:rPr>
          <w:rStyle w:val="FootnoteAnchor"/>
          <w:rtl w:val="true"/>
        </w:rPr>
        <w:footnoteReference w:id="1017"/>
      </w:r>
    </w:p>
    <w:p>
      <w:pPr>
        <w:pStyle w:val="Heading4"/>
        <w:numPr>
          <w:ilvl w:val="3"/>
          <w:numId w:val="1"/>
        </w:numPr>
        <w:rPr/>
      </w:pPr>
      <w:bookmarkStart w:id="966" w:name="__RefHeading___Toc7812832_3381743652"/>
      <w:bookmarkStart w:id="967" w:name="_Toc375"/>
      <w:bookmarkEnd w:id="966"/>
      <w:r>
        <w:rPr>
          <w:rtl w:val="true"/>
        </w:rPr>
        <w:t>استدلال شیخ طوسی به آیات قرآن کریم و نقد استدلال اشاعره</w:t>
      </w:r>
      <w:bookmarkEnd w:id="9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 خالق کل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آفریننده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به نظر اشاعره، همانگونه که خود انسانها و همه چیز، فعل خداوند می باشند، افعال آدمیان نیز فعل الهی و مستند به اوست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الطایفه در رد استدلال اشاعره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نمی توانند این آیه را دلیل بیاورند </w:t>
      </w:r>
    </w:p>
    <w:p>
      <w:pPr>
        <w:pStyle w:val="BookText"/>
        <w:rPr/>
      </w:pPr>
      <w:r>
        <w:rPr>
          <w:rFonts w:ascii="IRNazanin" w:hAnsi="IRNazanin" w:eastAsia="IRNazanin"/>
          <w:color w:val="111111"/>
          <w:sz w:val="28"/>
          <w:sz w:val="28"/>
          <w:szCs w:val="28"/>
          <w:rtl w:val="true"/>
          <w:lang w:bidi="fa-IR"/>
        </w:rPr>
        <w:t>بر این که افعال بندگان، مخلوق حق تعالی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نیست که باری تعالی خالق هر چیز است که به سبب آفرینش آن سزاوار پرستش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کلام اهل جبر صحیح باشد، در آن صورت، حجت و دلیل برای انسانها خواهد بود و توبیخی که در آیه می باشد، نادرست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 کفار را سرزنش می کند که چرا برای خداوند متعال در عبادت، شریک قرار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بنا بر قول مجبره، پرستش آنها برای بتها، فعل باری تعالی می باشد، نه عمل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کفار نباید توبیخ و سرزنش شوند، بلکه آنها می توانند از خود دفاع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تو خود در ما آفریده ای، پس چرا ما را برای کاری که خود انجام داده ای، توبیخ و سرزنش</w:t>
      </w:r>
    </w:p>
    <w:p>
      <w:pPr>
        <w:pStyle w:val="BookText"/>
        <w:rPr/>
      </w:pPr>
      <w:r>
        <w:rPr>
          <w:rFonts w:ascii="IRNazanin" w:hAnsi="IRNazanin" w:eastAsia="IRNazanin"/>
          <w:color w:val="111111"/>
          <w:sz w:val="28"/>
          <w:sz w:val="28"/>
          <w:szCs w:val="28"/>
          <w:rtl w:val="true"/>
          <w:lang w:bidi="fa-IR"/>
        </w:rPr>
        <w:t>می فرمایی؟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همانند او نمی تواند بیافریند، و این مطلبی است که ما هم به آن معترفیم؛ زیرا اولا، آفرینش حق تعالی، اختراع مبتدع است، ولی فعل غیر او در محل قدرت او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ثانیآ، کارهای ما به خاطر جلب منفعت و یا دفع ضرر است، ولی کارهای حضرت حق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ما به قدرت او کاری را انجام می دهیم، ولی او قادر لنفسه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رابعة، ما قادر به انجام خیلی از امور نیستیم و برای ما محال است، ولی برای او محالی به خاطر عدم قدرت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 ما قادر نیستیم با قدرت واحد، در محل واحد و از جنس واحد، بیشتر از یک جزء را انجام دهیم، ولی حق تعالی قادر است به طور بی نهایت عملهای متعدد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شد که انسانها فاعل کارهای خویش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 نیز روشن شد و معلوم گشت که استدلال اشاعره باطل است و خداوند متعال، خالق افعال بندگان نیست</w:t>
      </w:r>
      <w:r>
        <w:rPr>
          <w:rFonts w:eastAsia="IRNazanin" w:cs="IRNazanin"/>
          <w:color w:val="111111"/>
          <w:sz w:val="28"/>
          <w:szCs w:val="28"/>
          <w:rtl w:val="true"/>
          <w:lang w:bidi="fa-IR"/>
        </w:rPr>
        <w:t>.</w:t>
      </w:r>
      <w:r>
        <w:rPr>
          <w:rStyle w:val="FootnoteAnchor"/>
          <w:rtl w:val="true"/>
        </w:rPr>
        <w:footnoteReference w:id="101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منهم لفریقا یلوون ألسنتهم بالکتاب لتحسبوه من الکتاب و ما هو من الکتاب و یقولون هو من عند الله و ما هو من عندالله و یقولون علی الله الکذب و هم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19"/>
      </w:r>
      <w:r>
        <w:rPr>
          <w:rFonts w:ascii="IRNazanin" w:hAnsi="IRNazanin" w:eastAsia="IRNazanin"/>
          <w:color w:val="111111"/>
          <w:sz w:val="28"/>
          <w:sz w:val="28"/>
          <w:szCs w:val="28"/>
          <w:rtl w:val="true"/>
          <w:lang w:bidi="fa-IR"/>
        </w:rPr>
        <w:t xml:space="preserve">و از میان </w:t>
      </w:r>
    </w:p>
    <w:p>
      <w:pPr>
        <w:pStyle w:val="BookText"/>
        <w:rPr/>
      </w:pPr>
      <w:r>
        <w:rPr>
          <w:rFonts w:ascii="IRNazanin" w:hAnsi="IRNazanin" w:eastAsia="IRNazanin"/>
          <w:color w:val="111111"/>
          <w:sz w:val="28"/>
          <w:sz w:val="28"/>
          <w:szCs w:val="28"/>
          <w:rtl w:val="true"/>
          <w:lang w:bidi="fa-IR"/>
        </w:rPr>
        <w:t xml:space="preserve">آنان گروهی هستند که زبان خود را به خواندن کتاب تحریف شده ای می پیچانند، 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بربافته را از مطالب کتاب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پندارید، با این که آن از 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جانب خداست، در صورتی که از جانب خدا نیست؛ و بر خدا دروغ می بندند، با این که خودشان هم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قسمت از آیه شریفه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گناهان از نزد خداوند متعال نیست و فعل او نمی باشد؛ زیرا اگر از افعال حق تعالی بود، باید از نزد باری تعالی باشد و حال آن که به صراحت قرآن کریم، این مطلب رد می شود و این دلیل روشنی برای بطلان گفته اشاعره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اشاعره ادعا کنند که گناهان از نظر خلق و فعل، از نزد حق تعالی می باشد، اما از نظر انزال و امر، از نزد او نمی باشد و مقصود آیه، همین قسمت است، جواب این است که اگر گناهان از نظر خلق و فعل، از نزد باری تعالی باشد، با تأکید بیشتری می توان گفت که معاصی از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فرض اطلاق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شریفه، دلیل واضحی بر رد ادعای اشاعره می باشد</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ذلک کان سیئه عند ربک مکروها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1"/>
      </w:r>
      <w:r>
        <w:rPr>
          <w:rFonts w:ascii="IRNazanin" w:hAnsi="IRNazanin" w:eastAsia="IRNazanin"/>
          <w:color w:val="111111"/>
          <w:sz w:val="28"/>
          <w:sz w:val="28"/>
          <w:szCs w:val="28"/>
          <w:rtl w:val="true"/>
          <w:lang w:bidi="fa-IR"/>
        </w:rPr>
        <w:t>همه این کارها بدش نزد پروردگار تو ناپسندیده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طور صریح بیان می کند که خداوند، کارهای بد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شرک، تبذیر، بخل، کشتن اولاد، زنا، قتل، خوردن مال یتیم، کم فروشی، تکبر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قبل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 و تمامی آنها در نزد پروردگار متعال،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صریح این عقیده مجبره را که می گویند باری تعالی گناهان را اراده فرموده است، رد می کند</w:t>
      </w:r>
      <w:r>
        <w:rPr>
          <w:rFonts w:eastAsia="IRNazanin" w:cs="IRNazanin"/>
          <w:color w:val="111111"/>
          <w:sz w:val="28"/>
          <w:szCs w:val="28"/>
          <w:rtl w:val="true"/>
          <w:lang w:bidi="fa-IR"/>
        </w:rPr>
        <w:t>.</w:t>
      </w:r>
      <w:r>
        <w:rPr>
          <w:rStyle w:val="FootnoteAnchor"/>
          <w:rtl w:val="true"/>
        </w:rPr>
        <w:footnoteReference w:id="1022"/>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جبر، از آنجا که تمامی کارهای بندگان را فعل حق تعالی می دانند، این نظریه را تا آنجا گسترش داده اند که حتی کفر کافران را هم فعل باری تعالی می دانند و به آیاتی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با رد آن استدلالها و در مواردی، با استناد به </w:t>
      </w:r>
    </w:p>
    <w:p>
      <w:pPr>
        <w:pStyle w:val="BookText"/>
        <w:rPr/>
      </w:pPr>
      <w:r>
        <w:rPr>
          <w:rFonts w:ascii="IRNazanin" w:hAnsi="IRNazanin" w:eastAsia="IRNazanin"/>
          <w:color w:val="111111"/>
          <w:sz w:val="28"/>
          <w:sz w:val="28"/>
          <w:szCs w:val="28"/>
          <w:rtl w:val="true"/>
          <w:lang w:bidi="fa-IR"/>
        </w:rPr>
        <w:t>آیات، نظریه اشاعره را باطل می کند که به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 فزادهم الله مرضا و لهم عذاب ألیم بما کانوا یکذبون</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 در دلهایشان مرضی است؛ و خدا بر مرضشان افزود؛ و به سزای آنچه به دروغ می گفتند، عذابی دردناک در پیش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اشاعره نمی توانند به این آیه استناد کنند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فزادهم الله مرضاه ثابت می کند که خداوند متعال در کافران، کفر می آفریند و کفر را خود حق تعالی انجام می دهد؛ زیرا معنای آیه این است که هر زمان آیه یا سورهای نازل می شد، منافقان به آن کفر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کفری دیگر به کفر آنها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فزادهم الله 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سخن حضرت نوح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دعوت قومی لیلا ونهارا، فلم یزدهم دعائی إلا فرارأ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قوم خود را شب و روز دعوت کردم، و دعوت من جز بر گریز شان نیفزود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موضوع نیز چون قلبهای منافقان، مریض و پر از شک است، هرگاه اوامر و نواهی الهی، تجدید و آیات دیگری نازل می شد، شک و کفر آنها افزون می گردید پس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فزادهم الله 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کلام و گفته مجبره صحیح باشد، کافران می توانند ادعا کنند که گناه ما چیست؟ حق تعالی ما را کافر آفریده و از ایمان بازداشته است؛ پس سرزنشی برای ما نیست و بدین ترتیب، حجت به نفع آنها خواهد بود، نه بر ضرر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مطلبی باطل است و تقدیر در آیه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اعتقاد قلوبهم الذی یعتقدونه فی الدین و التصدیق بنبیه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مضاف حذف شده و مضاف الیه در جای آن قرار گرفته است؛ مانند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اسأل القریة</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 xml:space="preserve">که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w:t>
      </w:r>
    </w:p>
    <w:p>
      <w:pPr>
        <w:pStyle w:val="BookText"/>
        <w:rPr/>
      </w:pPr>
      <w:r>
        <w:rPr>
          <w:rFonts w:ascii="IRNazanin" w:hAnsi="IRNazanin" w:eastAsia="IRNazanin"/>
          <w:color w:val="111111"/>
          <w:sz w:val="28"/>
          <w:sz w:val="28"/>
          <w:szCs w:val="28"/>
          <w:rtl w:val="true"/>
          <w:lang w:bidi="fa-IR"/>
        </w:rPr>
        <w:t>شده و مضاف الیه در مقام او جای گرفته است</w:t>
      </w:r>
      <w:r>
        <w:rPr>
          <w:rFonts w:eastAsia="IRNazanin" w:cs="IRNazanin"/>
          <w:color w:val="111111"/>
          <w:sz w:val="28"/>
          <w:szCs w:val="28"/>
          <w:rtl w:val="true"/>
          <w:lang w:bidi="fa-IR"/>
        </w:rPr>
        <w:t>.</w:t>
      </w:r>
      <w:r>
        <w:rPr>
          <w:rStyle w:val="FootnoteAnchor"/>
          <w:rtl w:val="true"/>
        </w:rPr>
        <w:footnoteReference w:id="1026"/>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آتینا موسی الکتاب و الفرقان لعلکم تهتدون</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 xml:space="preserve">و آنگاه که موسی را کتاب و </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جداکننده حق از باطل دادیم، شاید هدایت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لعلکم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تهتدوا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حق تعالی اراده فرموده است که قوم حضرت موسی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بر بطلان قول اشاعره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تعالی اراده فرموده است که آنها کافر شوند</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السماء والأرض وما بینهما 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ذلک ظن الذین کفروا فویل للذین کفروا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 xml:space="preserve">و آسمان و زمین و آنچه را که میان این دو است به باطل نیافریدیم، این گمان کسانی است که کافر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پوشی کرده اند، پس وای از آتش بر کسانی که کافر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خلقنا السماء والأرض وما بینها لاعبین</w:t>
      </w:r>
      <w:r>
        <w:rPr>
          <w:rFonts w:eastAsia="IRNazanin" w:cs="IRNazanin"/>
          <w:color w:val="111111"/>
          <w:sz w:val="28"/>
          <w:szCs w:val="28"/>
          <w:rtl w:val="true"/>
          <w:lang w:bidi="fa-IR"/>
        </w:rPr>
        <w:t>»</w:t>
      </w:r>
      <w:r>
        <w:rPr>
          <w:rStyle w:val="FootnoteAnchor"/>
          <w:rtl w:val="true"/>
        </w:rPr>
        <w:footnoteReference w:id="1030"/>
      </w:r>
      <w:r>
        <w:rPr>
          <w:rFonts w:ascii="IRNazanin" w:hAnsi="IRNazanin" w:eastAsia="IRNazanin"/>
          <w:color w:val="111111"/>
          <w:sz w:val="28"/>
          <w:sz w:val="28"/>
          <w:szCs w:val="28"/>
          <w:rtl w:val="true"/>
          <w:lang w:bidi="fa-IR"/>
        </w:rPr>
        <w:t>نیز مانند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 فرماید آسمان و زمین و آنچه بین آن دو است، باطل نیافریده، بلکه آنها را به حق و به خاطر غرضی که حکمت، آن را اقتضا می کند، آفریده است؛ یعنی انواع حیوان را برای منافع با ارزش و عقلا را برای به دست آوردن ثواب خلق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کافران گمان می کنند که باطل خلق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قول مجبره را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باطل و گمراهی، از کارهای حق تعالی است، باطل می کند</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بما قدمت یداک و أن الله لیس بظلام للعبید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اکیفر به سزای چیزهایی است که دستهای تو پیش فرستاده است و اگرنه خدا به بندگان خود بیدادگر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این گفتار اشاعره که خداوند را خالق مطلق می دانند و تمام امور را مستند به او می سازند، این خواهد بود که ظلمی که فردی در حق فرد دیگر می کند نیز از افعال خداوند باشد و خداوند متعال، ظالم انگاشته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ذلک علوا کبیرة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تعالی اگرچه مقدار کمی از ظلم را هم انجام نمی دهد، اما در این جا ظلام به صیغه مبالغه آمده است و علت آن، دو مطلب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برای کسانی است که قائل به جبر می باشند و رد بر گفتار آنان است؛ زیرا آنان هر ظلمی که در عالم است، آن را به حق تعالی نسبت می دهند و خداوند متعال در این جا بیان فرموده است که اگر کلام آنها صحیح باشد، او ظلام خواهد بود و حال آن که ظالم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تعالی ظلم کمی هم انجام دهد، آن کمترین ظلم هم از او، بسیار بزرگ خواهد بود؛ زیرا او بدون این که نیازی به آن داشته باشد، مرتکب آن می شود و این خیلی بزرگتر است از آن ظلمی که فاعلش آن را به خاطر نیازی که دارد،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گفتار اشاعره با نص صریح و با ظاهر قرآن کریم مخالف است</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الذین آمنوا و عملوا الصالحات، فیوفیهم أجورهم و الله لایحب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 xml:space="preserve">و اما کسانی که ایمان آورده و کارهای شایسته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مزدشان را به تمامی به آنان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بیدادگران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 بطلان مذهب مجبره دلالت دارد؛ زیرا آنها عقیده دارند که حق تعالی اراده ظلم فرموده، اما در این جا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لایحب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ظالم را دوست نداشته باشد، پس فعل ظلم را دوست ندارد و از آنجا که محبت، همان اراده است، پس او اراده ظلم نفرموده است</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قلوبنا غلف، بل لعنهم الله بکفرهم فقلیلا ما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5"/>
      </w:r>
      <w:r>
        <w:rPr>
          <w:rFonts w:ascii="IRNazanin" w:hAnsi="IRNazanin" w:eastAsia="IRNazanin"/>
          <w:color w:val="111111"/>
          <w:sz w:val="28"/>
          <w:sz w:val="28"/>
          <w:szCs w:val="28"/>
          <w:rtl w:val="true"/>
          <w:lang w:bidi="fa-IR"/>
        </w:rPr>
        <w:t>و گفتند سبب این است که دلهای ما در پرده غفلت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نیست، بلکه آنها را به کیفر کردارشان، خداوند متعال لعنت کرده است و کم هستند آنان که ایمان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جبر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بر قلبهای کافران مانع ایجاد می کند و به همین سبب، آنها از پذیرش ایمان خودداری می کنند، اما این گفته آنان نیز به گفته قرآن، باطل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گفتار مجبره را رد می کند؛ زیرا آنان همانند یهودیان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غفلتی قلبهایشان را پوشانده است، بنابراین، نمی توانند ایمان بیاورند، اما حق تعالی با لعن و مذمت، تکذیبشان می فرماید؛ پس قول آنها باطل است</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ثمود فهدیناهم، فاستحبوا العمی علی الهدی</w:t>
      </w:r>
      <w:r>
        <w:rPr>
          <w:rFonts w:eastAsia="IRNazanin" w:cs="IRNazanin"/>
          <w:color w:val="111111"/>
          <w:sz w:val="28"/>
          <w:szCs w:val="28"/>
          <w:rtl w:val="true"/>
          <w:lang w:bidi="fa-IR"/>
        </w:rPr>
        <w:t>...»</w:t>
      </w:r>
      <w:r>
        <w:rPr>
          <w:rStyle w:val="FootnoteAnchor"/>
          <w:rtl w:val="true"/>
        </w:rPr>
        <w:footnoteReference w:id="1037"/>
      </w:r>
      <w:r>
        <w:rPr>
          <w:rFonts w:ascii="IRNazanin" w:hAnsi="IRNazanin" w:eastAsia="IRNazanin"/>
          <w:color w:val="111111"/>
          <w:sz w:val="28"/>
          <w:sz w:val="28"/>
          <w:szCs w:val="28"/>
          <w:rtl w:val="true"/>
          <w:lang w:bidi="fa-IR"/>
        </w:rPr>
        <w:t>و اما ثمودیان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راهبری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کوردلی را بر هدایت ترجیح دادند،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آیه دلالت بر بطلان قول اشاعره دارد؛ زیرا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کفار را گمراه می کند و آنها را هدایت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آنها فعل اوست، اما در این جا تصریح فرموده است که قوم ثمود را هدایت کردیم، اما آنان خودشان گمراهی را بر هدایت ترجیح دادند</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شاکرة و إما کفورا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9"/>
      </w:r>
      <w:r>
        <w:rPr>
          <w:rFonts w:ascii="IRNazanin" w:hAnsi="IRNazanin" w:eastAsia="IRNazanin"/>
          <w:color w:val="111111"/>
          <w:sz w:val="28"/>
          <w:sz w:val="28"/>
          <w:szCs w:val="28"/>
          <w:rtl w:val="true"/>
          <w:lang w:bidi="fa-IR"/>
        </w:rPr>
        <w:t xml:space="preserve">ما راه را به او نشان دادیم،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تمامی مکلفان را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گفتار اهل جبر را باطل می کند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باری تعالی کافر را هدایت نفرموده و برای او نشانه ای جهت راهنمایی اش نفرستاده، والا او هم مؤمن می شد</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یسرنا القرآن للذکر، فهل من مدکر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41"/>
      </w:r>
      <w:r>
        <w:rPr>
          <w:rFonts w:ascii="IRNazanin" w:hAnsi="IRNazanin" w:eastAsia="IRNazanin"/>
          <w:color w:val="111111"/>
          <w:sz w:val="28"/>
          <w:sz w:val="28"/>
          <w:szCs w:val="28"/>
          <w:rtl w:val="true"/>
          <w:lang w:bidi="fa-IR"/>
        </w:rPr>
        <w:t>و قطعا قرآن را برای پند آموزی آسان کردیم؛ پس آیا پندگیرنده ای هست؟</w:t>
      </w:r>
    </w:p>
    <w:p>
      <w:pPr>
        <w:pStyle w:val="BookText"/>
        <w:rPr/>
      </w:pPr>
      <w:r>
        <w:rPr>
          <w:rFonts w:ascii="IRNazanin" w:hAnsi="IRNazanin" w:eastAsia="IRNazanin"/>
          <w:color w:val="111111"/>
          <w:sz w:val="28"/>
          <w:sz w:val="28"/>
          <w:szCs w:val="28"/>
          <w:rtl w:val="true"/>
          <w:lang w:bidi="fa-IR"/>
        </w:rPr>
        <w:t>این آیه نیز گفتار مجبره را باطل می سازد؛ زیرا حق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تا همه هدایت شوند، و این بر خلاف گفته آنان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برای کافران نشانه ای قرار نداده، والا آنان هم ایمان می آوردند، پس کفر کافران، فعل حق تعالی است</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 یتلوا علیکم آیات الله مبینات لیخرج الذین آمنوا و عملوا الصالحات من الظلمات 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3"/>
      </w:r>
      <w:r>
        <w:rPr>
          <w:rFonts w:ascii="IRNazanin" w:hAnsi="IRNazanin" w:eastAsia="IRNazanin"/>
          <w:color w:val="111111"/>
          <w:sz w:val="28"/>
          <w:sz w:val="28"/>
          <w:szCs w:val="28"/>
          <w:rtl w:val="true"/>
          <w:lang w:bidi="fa-IR"/>
        </w:rPr>
        <w:t>پیامبری که آیات روشنگر خدا را بر شما تلاوت می کند، تا کسانی را که ایمان آورده و کارهای شایسته کرده اند از تاریکیها به سوی روشنایی بیرون برد</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الظلمات إلی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ظلمات کفر به نور ایمان راه یابند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جهت ذکر شده که فقط این افراد با آیات الهی مخالفت </w:t>
      </w:r>
    </w:p>
    <w:p>
      <w:pPr>
        <w:pStyle w:val="BookText"/>
        <w:rPr/>
      </w:pPr>
      <w:r>
        <w:rPr>
          <w:rFonts w:ascii="IRNazanin" w:hAnsi="IRNazanin" w:eastAsia="IRNazanin"/>
          <w:color w:val="111111"/>
          <w:sz w:val="28"/>
          <w:sz w:val="28"/>
          <w:szCs w:val="28"/>
          <w:rtl w:val="true"/>
          <w:lang w:bidi="fa-IR"/>
        </w:rPr>
        <w:t>نکرده اند و از تاریکی کفر به نور ایمان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اشاعره باطل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نازل شده تا عده ای کافر شوند و عده ای ایمان بیاورند، و کفر و ایمان، فعل خداوند متعال است</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أمروا إلا لیعبدوا الله مخلصین له الدین حنفاء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45"/>
      </w:r>
      <w:r>
        <w:rPr>
          <w:rFonts w:ascii="IRNazanin" w:hAnsi="IRNazanin" w:eastAsia="IRNazanin"/>
          <w:color w:val="111111"/>
          <w:sz w:val="28"/>
          <w:sz w:val="28"/>
          <w:szCs w:val="28"/>
          <w:rtl w:val="true"/>
          <w:lang w:bidi="fa-IR"/>
        </w:rPr>
        <w:t>و فرمان نیافته بودند جز این که خدا را بپرستند، و در حالی که به توحید گراییده اند، دین خود را برای او خالص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مجبره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کفار را آفریده است تا کافر شوند؛ چون کفر آنان، فعل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طوسیله این کلام بی اساس را نیز با استناد به این آیه، باطل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تصریح فرموده است که انسانها را آفریده است تا او را پرستش کنند و این، به طور واضح و روشن، گفتار اهل جبر را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تعالی کفار را برای کافر شدن آفریده است، باطل می کند</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ماذا علیهم لو آمنوا بالله و الیوم الآخر و أنفقوا مما رزقهم الله و کان الله بهم علیما</w:t>
      </w:r>
      <w:r>
        <w:rPr>
          <w:rFonts w:eastAsia="IRNazanin" w:cs="IRNazanin"/>
          <w:color w:val="111111"/>
          <w:sz w:val="28"/>
          <w:szCs w:val="28"/>
          <w:rtl w:val="true"/>
          <w:lang w:bidi="fa-IR"/>
        </w:rPr>
        <w:t>»</w:t>
      </w:r>
      <w:r>
        <w:rPr>
          <w:rStyle w:val="FootnoteAnchor"/>
          <w:rtl w:val="true"/>
        </w:rPr>
        <w:footnoteReference w:id="1047"/>
      </w:r>
      <w:r>
        <w:rPr>
          <w:rFonts w:ascii="IRNazanin" w:hAnsi="IRNazanin" w:eastAsia="IRNazanin"/>
          <w:color w:val="111111"/>
          <w:sz w:val="28"/>
          <w:sz w:val="28"/>
          <w:szCs w:val="28"/>
          <w:rtl w:val="true"/>
          <w:lang w:bidi="fa-IR"/>
        </w:rPr>
        <w:t>و اگر به خدا و روز بازپسین ایمان می آوردند، و از آنچه خدا به آنان روزی داده، انفاق می کردند، چه زیانی برایشان داشت؟ و خدا به کار آنان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کفر کافر، فعل حق تعالی است، آنها مجبورند کافر باشند و قدرت ندارند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اله با استفاده از این آیه قرآن، گفته آنان را باطل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عذری برای ترک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می توانند ایمان بیاورند و اگر کلام اشاعره درست بود و آنان عاجز از ایمان آوردن بودند، جایز نبود که خداوند متعال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ماذا علیهم لو آمنوا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آنها قدرت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ندارند؛ همانگونه که جایز نیست برای دوزخیان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علیهم لو خرجوا منها إلی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قدرت بر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نظریه اهل جبر به صریح این آیه، باطل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زللتم من بعد ما جاءتکم البینات فاعلموا أن الله 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9"/>
      </w:r>
      <w:r>
        <w:rPr>
          <w:rFonts w:ascii="IRNazanin" w:hAnsi="IRNazanin" w:eastAsia="IRNazanin"/>
          <w:color w:val="111111"/>
          <w:sz w:val="28"/>
          <w:sz w:val="28"/>
          <w:szCs w:val="28"/>
          <w:rtl w:val="true"/>
          <w:lang w:bidi="fa-IR"/>
        </w:rPr>
        <w:t>و اگر پس از آن که برای شما دلایل آشکار آمد، دستخوش لغزش شدید، بدانید که خداوند توانای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منکر حسن و قبح عقلی هستند و حسن و قبح شرعی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تعالی کارهای قبیح انجام دهد، چون از جانب شرع است، روا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تمامی کارهای بد بندگان را فعل باری تعالی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کریم در آیه فوق، این گفته آنان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از آن جهت، گفته اشاعره را باطل می کند که برای حق تعالی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 است و حکیم، هیچ گاه مرتکب قبیح نمی شود؛ زیرا قبح و زشتی آن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اشاعره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اراده قبیح می فرماید، پس گفته آنان بر خلاف قرآن کریم است</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 المولود له رزقهن و کسوتهن بالمعروف لاتکلف نفس إلا وسعها</w:t>
      </w:r>
      <w:r>
        <w:rPr>
          <w:rFonts w:eastAsia="IRNazanin" w:cs="IRNazanin"/>
          <w:color w:val="111111"/>
          <w:sz w:val="28"/>
          <w:szCs w:val="28"/>
          <w:rtl w:val="true"/>
          <w:lang w:bidi="fa-IR"/>
        </w:rPr>
        <w:t>...»</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خوراک و پوشاک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به طور شایسته، بر عهده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به قدر وسعش مکلف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تکلف نفس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فساد قول 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تکلیف مالایطاق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تکلیف کردن با نبود قدرت مالی جایز نباشد، تکلیف کردن با نبود قدرت جسمی، به طریق اولی روا نیست؛ چون دلیل قبیح بودن تکلیف در مورد نخست، از این جهت است که مکلف، بدون توانایی مالی، نمی تواند تکلیفی که به او شده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علت در موردی که توانایی جسمی نباشد و مکلف تکلیف به آن شود، وجود 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مالایطاق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قبیح است و خداوند هرگز آن را اراده نمی فرماید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قول مجبره باطل است</w:t>
      </w:r>
      <w:r>
        <w:rPr>
          <w:rFonts w:eastAsia="IRNazanin" w:cs="IRNazanin"/>
          <w:color w:val="111111"/>
          <w:sz w:val="28"/>
          <w:szCs w:val="28"/>
          <w:rtl w:val="true"/>
          <w:lang w:bidi="fa-IR"/>
        </w:rPr>
        <w:t>.</w:t>
      </w:r>
      <w:r>
        <w:rPr>
          <w:rStyle w:val="FootnoteAnchor"/>
          <w:rtl w:val="true"/>
        </w:rPr>
        <w:footnoteReference w:id="1052"/>
      </w:r>
      <w:bookmarkStart w:id="968" w:name="pg14387_143895"/>
    </w:p>
    <w:p>
      <w:pPr>
        <w:pStyle w:val="Heading4"/>
        <w:numPr>
          <w:ilvl w:val="3"/>
          <w:numId w:val="1"/>
        </w:numPr>
        <w:rPr/>
      </w:pPr>
      <w:bookmarkStart w:id="969" w:name="__RefHeading___Toc7812834_3381743652"/>
      <w:bookmarkStart w:id="970" w:name="_Toc376"/>
      <w:bookmarkEnd w:id="968"/>
      <w:bookmarkEnd w:id="969"/>
      <w:r>
        <w:rPr>
          <w:rtl w:val="true"/>
        </w:rPr>
        <w:t>ادله عقلی بر رد دیدگاه مجبره</w:t>
      </w:r>
      <w:bookmarkEnd w:id="970"/>
    </w:p>
    <w:p>
      <w:pPr>
        <w:pStyle w:val="BookText"/>
        <w:rPr/>
      </w:pPr>
      <w:r>
        <w:rPr>
          <w:rFonts w:ascii="IRNazanin" w:hAnsi="IRNazanin" w:eastAsia="IRNazanin"/>
          <w:color w:val="111111"/>
          <w:sz w:val="28"/>
          <w:sz w:val="28"/>
          <w:szCs w:val="28"/>
          <w:rtl w:val="true"/>
          <w:lang w:bidi="fa-IR"/>
        </w:rPr>
        <w:t>مرحوم شیخ طوسی در رد گفته اهل جبر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جبر درست باشد، پی آمدهای فاسدی بر آن مترتب خواهد بود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راهی برای اثبات صانع و وجود حق تعالی نخواهد بود؛ زیرا اساس برهان اثبات صانع این است که ما فاعل باشیم و کار ما در جهت حدوثش نیاز به محدث و پدید آورنده داشته باشد و عالم نیز چون حادث است، پس در جهت حدوث، با کار ما مشترک خواهد بود، پس نیاز به محدث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جبر، محدث بودن انسان را نفی کرده اند و فعل بنده را از حق تعالی می دانند؛ بنابراین نمی توانند برای عالم، صانعی اثبات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اهل جبر، مستلزم این است که حق تعالی به کافر، نعمتی نداده باشد؛ زیرا کفر را در او آفریده و این کفر، موجب می شود که او مستحق عقاب دائمی بشود و این، نعمت نیست و هنگامی که به او نعمت ندهد، لازم نیست که کافر، شکر باری تعالی را به جای آورد؛ چون شکر، اعتراف به نعمت و همراه با تعظیم است و به کافر، نعمتی نرسیده تا 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عبادت برای او لازم نیست؛ زیرا عبادت هم نوعی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عقیده ای داشته باشد، مسلمان نیست، حال آن که مجبره خود را مسلمان می دانند</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به جبر، مستلزم این است که حق تعالی بر مؤمن هم لطفی نکرده باشد و نعمتی به او نداده باشد؛ زیرا خلق ایمان، در صورتی نعمت است که با داعی و انگیزه احسان باشد، اما زمانی که انگیزه ای نباشد و یا قصد بدی باشد، عطا کردن چیزی به شخص نعمت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معتقدان به جبر، راهی ندارند تا بدانند آن اعطا به چه انگیزه ای بوده است و به فرض این که احتمال داده شود، ایمان به قصد خیرخواهی عطا شده، احتمال خلاف آن نیز وجود دارد و ممکن است اعطای ایمان با نیت بدی صورت گرفته باشد و چنین ایمانی، قبیح است و هیچ شکری برای آن لازم نیست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 فاسد دیگر آن نظریه، این است که حق تعالی می تواند معجزات را به دست </w:t>
      </w:r>
      <w:bookmarkStart w:id="971" w:name="pg14387_143896"/>
    </w:p>
    <w:p>
      <w:pPr>
        <w:pStyle w:val="BookText"/>
        <w:rPr/>
      </w:pPr>
      <w:bookmarkEnd w:id="971"/>
      <w:r>
        <w:rPr>
          <w:rFonts w:ascii="IRNazanin" w:hAnsi="IRNazanin" w:eastAsia="IRNazanin"/>
          <w:color w:val="111111"/>
          <w:sz w:val="28"/>
          <w:sz w:val="28"/>
          <w:szCs w:val="28"/>
          <w:rtl w:val="true"/>
          <w:lang w:bidi="fa-IR"/>
        </w:rPr>
        <w:t>دروغگویان و یا راستگویان ظاهر کند و پیامبری دروغگو، ما را از دین گمراه و به بت پرستی دعوت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همسر و فرزند دارد، جسم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دلیل این که آنان معتقدند هیچ کاری برای خداوند متعال قبیح نیست، بلکه قبیح و زشت بودن، برای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تصدیق پیامبر دروغگو، برای ما زشت و قبیح است، اما برای باری تعالی قبیح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ذلک علوا کبیرا</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مجبره مستلزم این است که حق تعالی را ظالم و جائر بدانند؛ زیرا ظلم و ستمی که بنده انجام می دهد، فعل باری تعالی است و ظالم و جائر، کسی است که ظلم و جور کند؛ پس خداوند متعال، ظالم و جائر است، و حال آن که چنین مطلبی خلاف اجماع مسلمانان است</w:t>
      </w:r>
      <w:r>
        <w:rPr>
          <w:rFonts w:eastAsia="IRNazanin" w:cs="IRNazanin"/>
          <w:color w:val="111111"/>
          <w:sz w:val="28"/>
          <w:szCs w:val="28"/>
          <w:rtl w:val="true"/>
          <w:lang w:bidi="fa-IR"/>
        </w:rPr>
        <w:t xml:space="preserve">. </w:t>
      </w:r>
      <w:r>
        <w:rPr>
          <w:rStyle w:val="FootnoteAnchor"/>
          <w:rtl w:val="true"/>
        </w:rPr>
        <w:footnoteReference w:id="1055"/>
      </w:r>
      <w:r>
        <w:rPr>
          <w:rFonts w:ascii="IRNazanin" w:hAnsi="IRNazanin" w:eastAsia="IRNazanin"/>
          <w:color w:val="111111"/>
          <w:sz w:val="28"/>
          <w:sz w:val="28"/>
          <w:szCs w:val="28"/>
          <w:rtl w:val="true"/>
          <w:lang w:bidi="fa-IR"/>
        </w:rPr>
        <w:t xml:space="preserve">بنابراین، نظر شیخ طوسیله این است که با ادله عقلی و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باطل می شود</w:t>
      </w:r>
      <w:r>
        <w:rPr>
          <w:rFonts w:eastAsia="IRNazanin" w:cs="IRNazanin"/>
          <w:color w:val="111111"/>
          <w:sz w:val="28"/>
          <w:szCs w:val="28"/>
          <w:rtl w:val="true"/>
          <w:lang w:bidi="fa-IR"/>
        </w:rPr>
        <w:t>.</w:t>
      </w:r>
    </w:p>
    <w:p>
      <w:pPr>
        <w:pStyle w:val="Heading3"/>
        <w:numPr>
          <w:ilvl w:val="2"/>
          <w:numId w:val="1"/>
        </w:numPr>
        <w:rPr/>
      </w:pPr>
      <w:bookmarkStart w:id="972" w:name="__RefHeading___Toc7812836_3381743652"/>
      <w:bookmarkStart w:id="973" w:name="_Toc377"/>
      <w:bookmarkEnd w:id="972"/>
      <w:r>
        <w:rPr>
          <w:rtl w:val="true"/>
        </w:rPr>
        <w:t>نظر شیخ طوسی درباره کسب</w:t>
      </w:r>
      <w:bookmarkEnd w:id="973"/>
    </w:p>
    <w:p>
      <w:pPr>
        <w:pStyle w:val="BookText"/>
        <w:rPr/>
      </w:pPr>
      <w:r>
        <w:rPr>
          <w:rFonts w:ascii="IRNazanin" w:hAnsi="IRNazanin" w:eastAsia="IRNazanin"/>
          <w:color w:val="111111"/>
          <w:sz w:val="28"/>
          <w:sz w:val="28"/>
          <w:szCs w:val="28"/>
          <w:rtl w:val="true"/>
          <w:lang w:bidi="fa-IR"/>
        </w:rPr>
        <w:t xml:space="preserve">پیش از آن که رویکرد شیخ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 شویم شایسته است پاره ای از تفسیرهایی را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عبد اثری در فعل او ندارد بلکه قدرت و مقدور هر دو به قدرت خداوند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اقتران را کسب می گویند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باقلانی در تفسیر سخن اشعری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کسب این است که انسان کارهای صادر از خودش را می تواند با قصد خود رنگ آمیزی کند و مدار حسن و قبح کارها با همان قصد خوبی یا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اشعری می خواهد با این مفهوم از دچار شدن به جبر محض تخلص یابد، ولی کسب در حقیقت همان جبر است؛ زیرا آنگونه که اشعری می پندارد که افعال انسانی همه معلول قدرت و اراده خداوند است، انسان فقط محل جریان قدرت و اراده الهی است و کارهای انسان در واقع جریاناتی است که خداوند در او ایجاد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نظریه کسب با تفسیر باقلانی نیز دچار همین معضل است، زیرا قصد خود یکی از کارهای انسان است و از سوی دیگر به حکم اصل اشعری همه کارها با قدرت و اراده خداوند ایجاد می شود، پس قصد نیز به اراده حق تعالی ایجاد می شود، بنابراین انسان در ایجاد و تحقق افعالش هیچ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تفسیر نیز سر از جبر محض درآورده و با این وجود معنای تکلیف انسان و پاداش و کیفر بر اعمال به کلی توجیه ناپذیر و غیرمعقول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درباره کسب اشعری تأویلات زیادی گفته شده است و چون به مفهوم صحیحی در این باره نتوانسته اند دست یابند، لذا معروف است که سه کلام محال از سه نفر معروف صادر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 میان وجود و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طفره نظام</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اشعری</w:t>
      </w:r>
    </w:p>
    <w:p>
      <w:pPr>
        <w:pStyle w:val="BookText"/>
        <w:rPr/>
      </w:pPr>
      <w:r>
        <w:rPr>
          <w:rFonts w:ascii="IRNazanin" w:hAnsi="IRNazanin" w:eastAsia="IRNazanin"/>
          <w:color w:val="111111"/>
          <w:sz w:val="28"/>
          <w:sz w:val="28"/>
          <w:szCs w:val="28"/>
          <w:rtl w:val="true"/>
          <w:lang w:bidi="fa-IR"/>
        </w:rPr>
        <w:t xml:space="preserve">از آن جا که ایرادات زیادی بر جبریون وارد شده، برخی از آنان مانند اشعری و پیروانش برای فرار از تمامی آن محذورات،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شیخ طوسی به این نظریه را نیز مردود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گفته می شود افعال ما از این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ما وابسته است، گفته باطلی است؛ زیرا آنچه هنگام انگیزه و احوال ما پدید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کسب یک امر غیر معقول است، پس حاجت، چگونه می تواند به آن تعلق گیرد؟ بر خلاف حدوث که امری معلوم و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نیست چرا اشاعره امر معلوم و معقولی را ترک و امر غیر معلوم و غیر معقولی را بیان می کنند</w:t>
      </w:r>
      <w:r>
        <w:rPr>
          <w:rFonts w:eastAsia="IRNazanin" w:cs="IRNazanin"/>
          <w:color w:val="111111"/>
          <w:sz w:val="28"/>
          <w:szCs w:val="28"/>
          <w:rtl w:val="true"/>
          <w:lang w:bidi="fa-IR"/>
        </w:rPr>
        <w:t>.</w:t>
      </w:r>
      <w:r>
        <w:rPr>
          <w:rStyle w:val="FootnoteAnchor"/>
          <w:rtl w:val="true"/>
        </w:rPr>
        <w:footnoteReference w:id="105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نظر اشاعره درباره فعل متولد این است که در آنجا هیچ کسبی برای عبد نیست و همین طور در ظلم؛ زیرا ظلم از محل قدرت عبد گذشته و در مظلوم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چگونه می توانند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یظلم منکم نذقه عذابا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هر کس از شما شرک ورزد، عذابی سهمگین به او می 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آن کنند؟</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وی در تمهید الأصول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اشکالی که درباره تعلق داشتن فعل به انسان،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این است که آنچه بدان کسب می گویند، قابل تصور نیست و معقول نمی باشد، چه رسد به این که صحیح باشد؛ زیرا آنها کوشش می کنند به ما بفهمانند و ما هم تلاش می کنیم که معنای آن را بفهمیم، اما با همه اینها برای ما قابل فهم نیست، پس معلوم می شود که اصلا قابل تصور نیست و معقول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قابل تصور نیست و حال آن که خیلی روشن است که ما فرق می گذاریم بین حرکت شخص فلج و حرکتی که از اختیار انسان ناشی می شود، یا جنبیدن رگها و حرکت کردن پیها که شخص به اختیار خودش حرکت دهد؛ علت این فرق، این است که یکی از دو حرکت، کسب است و دیگری کسب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این است که این فرق، از جهت فاعل و شخص زنده است، نه از جهت فعل، و حال آن که بحث ما درباره صفتی است که زاید بر فعل و به ادعای آنها غیر از حدوث باشد؛ چون این صفت زاید بر فعل که حدوث است، مورد قبول ماست</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شیخ طوسی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تقتلوهم و لکن الله قتلهم، و ما رمیت اذ رمیت و لکن الله رمی</w:t>
      </w:r>
      <w:r>
        <w:rPr>
          <w:rFonts w:eastAsia="IRNazanin" w:cs="IRNazanin"/>
          <w:color w:val="111111"/>
          <w:sz w:val="28"/>
          <w:szCs w:val="28"/>
          <w:rtl w:val="true"/>
          <w:lang w:bidi="fa-IR"/>
        </w:rPr>
        <w:t>...»</w:t>
      </w:r>
      <w:r>
        <w:rPr>
          <w:rStyle w:val="FootnoteAnchor"/>
          <w:rtl w:val="true"/>
        </w:rPr>
        <w:footnoteReference w:id="1060"/>
      </w:r>
      <w:r>
        <w:rPr>
          <w:rFonts w:ascii="IRNazanin" w:hAnsi="IRNazanin" w:eastAsia="IRNazanin"/>
          <w:color w:val="111111"/>
          <w:sz w:val="28"/>
          <w:sz w:val="28"/>
          <w:szCs w:val="28"/>
          <w:rtl w:val="true"/>
          <w:lang w:bidi="fa-IR"/>
        </w:rPr>
        <w:t>؛ و شما آنان را نکشتید، بلکه خدا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اریگ به سوی آنان افکندی، تو نیفکندی، بلکه خدا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از جانب خداوند متعال، به ایجاد است و از جانب عبد، به اکتساب است؛ زیرا در این آیه شریفه، فعلی که پیامبر صلی الله علیه و آله انجام داده است، انجام آن را از آن حضرت نفی می کند و به خودش نسبت می دهد، پس این بهترین دلیل بر این است که فعل عبد، مخلوق حق تعالی است و بنده، فقط آن را کسب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باطل است؛ به دلیل این که چنین برداشتی، خلاف آن چیزی است که از آیه شریفه فهمیده می شود و اگر کسب، صحیح بود، باید نفی رمی از پیامبر صلی الله علیه و آله مقید بود؛ کما این که باید درباره خداوند متعال نیز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نفی رمی از کسی که رمی به طور حقیقی، فعل اوست و نسبت دادن رمی به خودش در حالی که به طور حقیقی، فعل او نیست، به این جهت است که افعال خداوند متعال مانند سبب برای این فعل است و باعث این فعل می شود؛ زیرا حق تعالی به پیامبر صلی الله علیه و آله قدرت </w:t>
      </w:r>
      <w:bookmarkStart w:id="974" w:name="pg14387_143899"/>
    </w:p>
    <w:p>
      <w:pPr>
        <w:pStyle w:val="BookText"/>
        <w:rPr/>
      </w:pPr>
      <w:bookmarkEnd w:id="974"/>
      <w:r>
        <w:rPr>
          <w:rFonts w:ascii="IRNazanin" w:hAnsi="IRNazanin" w:eastAsia="IRNazanin"/>
          <w:color w:val="111111"/>
          <w:sz w:val="28"/>
          <w:sz w:val="28"/>
          <w:szCs w:val="28"/>
          <w:rtl w:val="true"/>
          <w:lang w:bidi="fa-IR"/>
        </w:rPr>
        <w:t>آن را داده و به او کمک کرده است تا تیری پرتاب شود و به هدف اصابت کند</w:t>
      </w:r>
      <w:r>
        <w:rPr>
          <w:rFonts w:eastAsia="IRNazanin" w:cs="IRNazanin"/>
          <w:color w:val="111111"/>
          <w:sz w:val="28"/>
          <w:szCs w:val="28"/>
          <w:rtl w:val="true"/>
          <w:lang w:bidi="fa-IR"/>
        </w:rPr>
        <w:t>.</w:t>
      </w:r>
      <w:r>
        <w:rPr>
          <w:rStyle w:val="FootnoteAnchor"/>
          <w:rtl w:val="true"/>
        </w:rPr>
        <w:footnoteReference w:id="1061"/>
      </w:r>
    </w:p>
    <w:p>
      <w:pPr>
        <w:pStyle w:val="Heading3"/>
        <w:numPr>
          <w:ilvl w:val="2"/>
          <w:numId w:val="1"/>
        </w:numPr>
        <w:rPr/>
      </w:pPr>
      <w:bookmarkStart w:id="975" w:name="__RefHeading___Toc7812838_3381743652"/>
      <w:bookmarkStart w:id="976" w:name="_Toc378"/>
      <w:bookmarkEnd w:id="975"/>
      <w:r>
        <w:rPr>
          <w:rtl w:val="true"/>
        </w:rPr>
        <w:t>نظر شیخ طوسی درباره تفویض</w:t>
      </w:r>
      <w:bookmarkEnd w:id="976"/>
    </w:p>
    <w:p>
      <w:pPr>
        <w:pStyle w:val="BookText"/>
        <w:rPr/>
      </w:pPr>
      <w:r>
        <w:rPr>
          <w:rFonts w:ascii="IRNazanin" w:hAnsi="IRNazanin" w:eastAsia="IRNazanin"/>
          <w:color w:val="111111"/>
          <w:sz w:val="28"/>
          <w:sz w:val="28"/>
          <w:szCs w:val="28"/>
          <w:rtl w:val="true"/>
          <w:lang w:bidi="fa-IR"/>
        </w:rPr>
        <w:t xml:space="preserve">ایشان با بهره گیری از کلمات گهربار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جبر را مردود دانست، تفویض را نیز باطل می شمارد و در تفسیر آیات شریفه، هرجا مناسبتی پیش می آید، متذکر آن می شود که نمونه هایی از آنها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شاء الله ما اقتتل الذین من بعدهم، من بعد ما جاءتهم البینات و لکن اختلوا فمنهم من آمن و منهم من کفر، و لو شاء الله ما اقتتلوا و لکن الله یفعل ما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 خواست، کسانی که پس از آنان بودند، بعد از آن همه دلایل روشن که برایشان آمد، به کشتار یکدیگر نمی پرداختند، ولی با هم اختلاف کردند، پس بعضی از آنان کسانی بودند که ایمان آوردند، و بعضی از آنان کسانی بودند که کفر ورزیدند؛ و اگر خدا می خواست با یکدیگر جنگ نمی کردند، ولی خداوند آنچه را می خواهد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ما اقتتلوا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جانب خداوند متعال است که او قدرت دارد انسانها را از جنگ منع کند و مانعی بین آنها و جنگ ایجاد کند و مانند همین آیه است آیات دیگر؛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شئنا لآتینا کل نفس هداها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ربک لآمن من فی الأرض کلهم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قدرت بندگان، مقهور قدرت لایزال الهی است و اگر باری تعالی اراده کند، آنگونه که بخواهد، آن را تغییر می دهد؛ پس تفویض، باطل است</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ربک لآمن من فی الأرض کلهم جمیعا أفأنت تکره الناس حتی یکونوا مؤمنین</w:t>
      </w:r>
      <w:r>
        <w:rPr>
          <w:rFonts w:eastAsia="IRNazanin" w:cs="IRNazanin"/>
          <w:color w:val="111111"/>
          <w:sz w:val="28"/>
          <w:szCs w:val="28"/>
          <w:rtl w:val="true"/>
          <w:lang w:bidi="fa-IR"/>
        </w:rPr>
        <w:t>»</w:t>
      </w:r>
      <w:r>
        <w:rPr>
          <w:rStyle w:val="FootnoteAnchor"/>
          <w:rtl w:val="true"/>
        </w:rPr>
        <w:footnoteReference w:id="1064"/>
      </w:r>
      <w:r>
        <w:rPr>
          <w:rFonts w:ascii="IRNazanin" w:hAnsi="IRNazanin" w:eastAsia="IRNazanin"/>
          <w:color w:val="111111"/>
          <w:sz w:val="28"/>
          <w:sz w:val="28"/>
          <w:szCs w:val="28"/>
          <w:rtl w:val="true"/>
          <w:lang w:bidi="fa-IR"/>
        </w:rPr>
        <w:t>؛ و اگر پروردگار تو می خواست، قطعا هر که در زمین است همه آنها یکسر ایمان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تو مردم را ناگزیر میکنی که بگروند؟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آیه شریفه، اخبار از قدرت حق تعالی است و این که قدرت دارد تمام انسانها را وادار کند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بعد از آن مطلب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أفأنت تکره </w:t>
      </w:r>
    </w:p>
    <w:p>
      <w:pPr>
        <w:pStyle w:val="BookText"/>
        <w:rPr/>
      </w:pPr>
      <w:r>
        <w:rPr>
          <w:rFonts w:ascii="IRNazanin" w:hAnsi="IRNazanin" w:eastAsia="IRNazanin"/>
          <w:color w:val="111111"/>
          <w:sz w:val="28"/>
          <w:sz w:val="28"/>
          <w:szCs w:val="28"/>
          <w:rtl w:val="true"/>
          <w:lang w:bidi="fa-IR"/>
        </w:rPr>
        <w:t>الناس حتی یکونوا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سزاوار نیست کسی را وادار کنی تا با اکراه، ایمان آورد؛ زیرا باری تعالی قادر بر آن هست، اما آن را اراده نمی فرماید؛ چرا که چنین امری با تکلیف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که بندگان دارای تمام قدرت نیستند، بلکه قدرت آنها در طول قدرت الهی است و اگر او بخواهد، می تواند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تفویض باطل است</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الله خالق کل شیء و هو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آفریننده هر چیزی است، و اوست یگانه 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در تفسیر این آیه شریفه، پس از این که استدلال مجبره را به این آیه رد می کند،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نفی فرموده است که احدی همانند خلق کردن او، چیزی را خلق کند و ما هم قائل به این مطلب نیستیم؛ زیرا آفریدن باری تعالی با فعل بشر، چند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خداوند متعال، اختراع مبتدع است، اما افعال غیر باری تعالی در محل قدرت او انجام می شود؛ چه به طور میاشری و چه به طور متولدی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انسانها انجام می دهیم، به سبب قدرتی است که خداوند متعال در ما به وجود آورده، ولی حق تعالی قادر لنفسه است</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با توجه به این دو مطلب که در تفسیر آیه مذکور فرموده اند، به طور واضح و روشن، تفویض را باطل می دانند؛ زیرا کار بشر، مستند به قدرت اوست و قدرت او وابسته به قدرت باری تعالی می باشد؛ پس تفویض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همین آیه است،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اگر بخواهیم، معجزه ای از آسمان بر آنان فرود می آوریم، تا در برابر آن، گردنهایشان خاضع گردد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هم خداوند متعال از قدرت خودش خبر داده است و این که می تواند کافران را مجبور کند ایمان آورند، اما این مطلب، نقض غرض به تکلیف است؛ زیرا در صورت ایمان اجباری، مستحق ثواب نخواهند بود</w:t>
      </w:r>
      <w:r>
        <w:rPr>
          <w:rFonts w:eastAsia="IRNazanin" w:cs="IRNazanin"/>
          <w:color w:val="111111"/>
          <w:sz w:val="28"/>
          <w:szCs w:val="28"/>
          <w:rtl w:val="true"/>
          <w:lang w:bidi="fa-IR"/>
        </w:rPr>
        <w:t>.</w:t>
      </w:r>
      <w:r>
        <w:rPr>
          <w:rStyle w:val="FootnoteAnchor"/>
          <w:rtl w:val="true"/>
        </w:rPr>
        <w:footnoteReference w:id="1069"/>
      </w:r>
      <w:bookmarkStart w:id="977" w:name="pg14387_143901"/>
    </w:p>
    <w:p>
      <w:pPr>
        <w:pStyle w:val="Heading3"/>
        <w:numPr>
          <w:ilvl w:val="2"/>
          <w:numId w:val="1"/>
        </w:numPr>
        <w:rPr/>
      </w:pPr>
      <w:bookmarkStart w:id="978" w:name="__RefHeading___Toc7812840_3381743652"/>
      <w:bookmarkStart w:id="979" w:name="_Toc379"/>
      <w:bookmarkEnd w:id="977"/>
      <w:bookmarkEnd w:id="978"/>
      <w:r>
        <w:rPr>
          <w:rtl w:val="true"/>
        </w:rPr>
        <w:t>نفی جبر و تفویض و بیان امر بین أمرین در روایات</w:t>
      </w:r>
      <w:bookmarkEnd w:id="979"/>
    </w:p>
    <w:p>
      <w:pPr>
        <w:pStyle w:val="Heading4"/>
        <w:numPr>
          <w:ilvl w:val="3"/>
          <w:numId w:val="1"/>
        </w:numPr>
        <w:rPr/>
      </w:pPr>
      <w:bookmarkStart w:id="980" w:name="__RefHeading___Toc7812842_3381743652"/>
      <w:bookmarkStart w:id="981" w:name="_Toc380"/>
      <w:bookmarkEnd w:id="980"/>
      <w:r>
        <w:rPr>
          <w:rtl w:val="true"/>
        </w:rPr>
        <w:t>اشاره</w:t>
      </w:r>
      <w:bookmarkEnd w:id="981"/>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گمان کند خداوند متعال، امر به بدی و فحشا کرده، به حق تعالی دروغ نسبت داده، و آن کس که گمان برد خیر و شر به غیر مشیت و خواست الهی است و یا گناهان به غیر حول و قوه الهی است، او هم بر حق تعالی کذب روا داشته است</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تبارک و تعالی کرمش بیشتر از آن است که بندگان را تکلیف مالایطاق فرماید، و نیز عزیزتر از آن است که در سلطنتش عملی انجام شود که او نمی خواهد</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جبر و تفویض، در حضور امام رضا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اصل و قاعده ای به شما بگویم که دیگر اختلافی در این باره نداشته باشید، و نیز با هر کسی که در این باره صحبت کردید، او را مغلوب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با جبر و اکراه اطاعت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تفویض باطل است و به بندگان در ملک خودش مهلت نداده، بلکه او مالک هر چیزی است که به انسان داده، و نیز به هر چیزی که به انسان قدرت داده، قادر است پس اگر آنان را به اطاعتش امر فرموده، مانعی بر سر راه انجام آن قرار نداده و بندگانی که معصیتش میکنند، اگر بخواهد، می تواند بین انسان و بین آن فعل، مانع ایجاد کند و اگر مانعی ایجاد نفرمود و آنان مرتکب معصیت شدند، حق تعالی آنان را داخل در معصیت نکرده است</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امامیه در پرتو تعالیم آسمانی و معصومانه امامان معصوم رهیافت امر بین الأمرین را برگزیدند و این نظریه، مقبول همه حکما و متکلمان شیعی قرار گرفت و امروزه محققان اهل سنت نیز از همین اصل تبعیت نموده اند، ولی مع الاسف توصیح نمی دهند که این اصل رهگشا و اثربخش را چه کسی ارائه داده و از کدام مکتب و فرقه اسلامی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که شافعی و ابن عساکر و سیوطی از عبدالله بن جعفر از علی بن ابی طالب لا نقل کرده است که سائلی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 امام در پاسخ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خدایی است، خودت را به تکلف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سائل زیاد اصرار می ورزد، امام در جواب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می خواهی بدانی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أمر بین الأمرین لا </w:t>
      </w:r>
      <w:bookmarkStart w:id="982" w:name="pg14387_143902"/>
    </w:p>
    <w:p>
      <w:pPr>
        <w:pStyle w:val="BookText"/>
        <w:rPr/>
      </w:pPr>
      <w:bookmarkEnd w:id="982"/>
      <w:r>
        <w:rPr>
          <w:rFonts w:ascii="IRNazanin" w:hAnsi="IRNazanin" w:eastAsia="IRNazanin"/>
          <w:color w:val="111111"/>
          <w:sz w:val="28"/>
          <w:sz w:val="28"/>
          <w:szCs w:val="28"/>
          <w:rtl w:val="true"/>
          <w:lang w:bidi="fa-IR"/>
        </w:rPr>
        <w:t>جبر و لا تفویض</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 xml:space="preserve">در توضیح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حکما و متکلمان امایه و سایر فرقه های اسلامی اختلاف است، ولی مرحوم علامه جعفری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سخنی که در این باره دیده شده است همان سخن مرحوم آیة الله خویی است که در درسهای خود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این است که افعال صادر از انسان از خود آنها سر می زند و مستند به خود انسان است ولی نیرو و توانی که در انسان نهفته است از خداوند متعال می باشد، خداوند این نیرو و توان را در اختیار بشر قرار داده تا با اختیار و آزادی، از آن بهره ببرد، ولی نه به گونه ای که انسان در کارهای خود به کلی رها و مفوض باشد، بلکه اعطای این نیرو به انسان به گونه ای است که در هر لحظه که خداوند بخواهد می تواند جریان فیض را قطع نماید و می تواند به آن استمرار بخشد، بنابراین ما هنگامی که بهترین کارها را انجام می دهیم نیرو و توان از خداوند بوده و همچنین هنگامی که کارهای ناشایسته انجام می دهیم باز نیرو از آن خداوند است و تنها اختیار بهره برداری از ماست و چون ما در استفاده و به کار بردن این توان و نیرو مختاریم تکلیف، ثواب و عقاب کاملا معقول و موجه می گردد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r>
        <w:rPr>
          <w:rStyle w:val="FootnoteAnchor"/>
          <w:rtl w:val="true"/>
        </w:rPr>
        <w:footnoteReference w:id="1074"/>
      </w:r>
    </w:p>
    <w:p>
      <w:pPr>
        <w:pStyle w:val="Heading4"/>
        <w:numPr>
          <w:ilvl w:val="3"/>
          <w:numId w:val="1"/>
        </w:numPr>
        <w:rPr/>
      </w:pPr>
      <w:bookmarkStart w:id="983" w:name="__RefHeading___Toc7812844_3381743652"/>
      <w:bookmarkStart w:id="984" w:name="_Toc381"/>
      <w:bookmarkEnd w:id="983"/>
      <w:r>
        <w:rPr>
          <w:rtl w:val="true"/>
        </w:rPr>
        <w:t>بطلان نظریة تفویض</w:t>
      </w:r>
      <w:bookmarkEnd w:id="98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شیخ طوسی اله فرمودند، عقیده به تفویض، امری باطل است؛ زیرا استقلال در فعل، در صورتی تصور دارد که انسان در وجود نیز بعد از حدوث، مستقل و بی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فاعل در ادامه وجود، بی نیاز از خداوند متعال نباشد، نمی تواند در فعل، مستقل گردد؛ زیرا فعل، وابسته به فاعل و هستی فاعل، قائم به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نظریۀ تفویض، مستلزم تالی فاسد است، که هیچ کس قائل به آن نیست و آن تالی فاسد، این است که هرگاه انسان در ایجاد فعل، بی نیاز از واجب تصور شود، نتیجه اش این است که دو خالق مستقل در عرصه وجود، پدید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واجب الوجود که آفریننده جواهر و ذوات است و دیگری، انسان که آفریننده افعال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توحید در خالقیت، که معتزله خود را اهل توحید و عدل می دانند، سازگار نیست</w:t>
      </w:r>
      <w:r>
        <w:rPr>
          <w:rFonts w:eastAsia="IRNazanin" w:cs="IRNazanin"/>
          <w:color w:val="111111"/>
          <w:sz w:val="28"/>
          <w:szCs w:val="28"/>
          <w:rtl w:val="true"/>
          <w:lang w:bidi="fa-IR"/>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5" w:name="pg14387_143904"/>
      <w:bookmarkStart w:id="986" w:name="pg14387_143904"/>
      <w:bookmarkEnd w:id="986"/>
    </w:p>
    <w:p>
      <w:pPr>
        <w:pStyle w:val="Heading2"/>
        <w:numPr>
          <w:ilvl w:val="1"/>
          <w:numId w:val="1"/>
        </w:numPr>
        <w:rPr/>
      </w:pPr>
      <w:bookmarkStart w:id="987" w:name="pg14387_143904"/>
      <w:bookmarkStart w:id="988" w:name="__RefHeading___Toc7812846_3381743652"/>
      <w:bookmarkStart w:id="989" w:name="_Toc382"/>
      <w:bookmarkEnd w:id="987"/>
      <w:bookmarkEnd w:id="988"/>
      <w:r>
        <w:rPr>
          <w:rtl w:val="true"/>
        </w:rPr>
        <w:t>فهرست اعلام</w:t>
      </w:r>
      <w:bookmarkEnd w:id="989"/>
    </w:p>
    <w:p>
      <w:pPr>
        <w:pStyle w:val="BookText"/>
        <w:rPr/>
      </w:pPr>
      <w:r>
        <w:rPr>
          <w:rFonts w:ascii="IRNazanin" w:hAnsi="IRNazanin" w:eastAsia="IRNazanin"/>
          <w:color w:val="111111"/>
          <w:sz w:val="28"/>
          <w:sz w:val="28"/>
          <w:szCs w:val="28"/>
          <w:rtl w:val="true"/>
          <w:lang w:bidi="fa-IR"/>
        </w:rPr>
        <w:t xml:space="preserve">آخوند خراسانی،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۲۸۶</w:t>
      </w:r>
    </w:p>
    <w:p>
      <w:pPr>
        <w:pStyle w:val="BookText"/>
        <w:rPr/>
      </w:pPr>
      <w:r>
        <w:rPr>
          <w:rFonts w:ascii="IRNazanin" w:hAnsi="IRNazanin" w:eastAsia="IRNazanin"/>
          <w:color w:val="111111"/>
          <w:sz w:val="28"/>
          <w:sz w:val="28"/>
          <w:szCs w:val="28"/>
          <w:rtl w:val="true"/>
          <w:lang w:bidi="fa-IR"/>
        </w:rPr>
        <w:t xml:space="preserve">آدم علیه السلام،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p>
    <w:p>
      <w:pPr>
        <w:pStyle w:val="BookText"/>
        <w:rPr/>
      </w:pPr>
      <w:r>
        <w:rPr>
          <w:rFonts w:ascii="IRNazanin" w:hAnsi="IRNazanin" w:eastAsia="IRNazanin"/>
          <w:color w:val="111111"/>
          <w:sz w:val="28"/>
          <w:sz w:val="28"/>
          <w:szCs w:val="28"/>
          <w:rtl w:val="true"/>
          <w:lang w:bidi="fa-IR"/>
        </w:rPr>
        <w:t xml:space="preserve">آکویناس،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۲۷۶</w:t>
      </w:r>
    </w:p>
    <w:p>
      <w:pPr>
        <w:pStyle w:val="BookText"/>
        <w:rPr/>
      </w:pPr>
      <w:r>
        <w:rPr>
          <w:rFonts w:ascii="IRNazanin" w:hAnsi="IRNazanin" w:eastAsia="IRNazanin"/>
          <w:color w:val="111111"/>
          <w:sz w:val="28"/>
          <w:sz w:val="28"/>
          <w:szCs w:val="28"/>
          <w:rtl w:val="true"/>
          <w:lang w:bidi="fa-IR"/>
        </w:rPr>
        <w:t xml:space="preserve">آگوستین، </w:t>
      </w:r>
      <w:r>
        <w:rPr>
          <w:rFonts w:ascii="IRNazanin" w:hAnsi="IRNazanin" w:eastAsia="IRNazanin"/>
          <w:color w:val="111111"/>
          <w:sz w:val="28"/>
          <w:sz w:val="28"/>
          <w:szCs w:val="28"/>
          <w:lang w:bidi="fa-IR"/>
        </w:rPr>
        <w:t>۲۷۴</w:t>
      </w:r>
    </w:p>
    <w:p>
      <w:pPr>
        <w:pStyle w:val="BookText"/>
        <w:rPr/>
      </w:pPr>
      <w:r>
        <w:rPr>
          <w:rFonts w:ascii="IRNazanin" w:hAnsi="IRNazanin" w:eastAsia="IRNazanin"/>
          <w:color w:val="111111"/>
          <w:sz w:val="28"/>
          <w:sz w:val="28"/>
          <w:szCs w:val="28"/>
          <w:rtl w:val="true"/>
          <w:lang w:bidi="fa-IR"/>
        </w:rPr>
        <w:t xml:space="preserve">آل کاشف الغطاء، هادی، </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آلن کاردک، </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 xml:space="preserve">آلوسی،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 xml:space="preserve">آملی، شمس الدین محمد بن محمود،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۲۸۹</w:t>
      </w:r>
    </w:p>
    <w:p>
      <w:pPr>
        <w:pStyle w:val="BookText"/>
        <w:rPr/>
      </w:pPr>
      <w:r>
        <w:rPr>
          <w:rFonts w:ascii="IRNazanin" w:hAnsi="IRNazanin" w:eastAsia="IRNazanin"/>
          <w:color w:val="111111"/>
          <w:sz w:val="28"/>
          <w:sz w:val="28"/>
          <w:szCs w:val="28"/>
          <w:rtl w:val="true"/>
          <w:lang w:bidi="fa-IR"/>
        </w:rPr>
        <w:t xml:space="preserve">ابراهیم ، </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 xml:space="preserve">ابراهیم انیس، </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 xml:space="preserve">ابراهیمی دینانی، غلامحسین،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۲۴۹</w:t>
      </w:r>
    </w:p>
    <w:p>
      <w:pPr>
        <w:pStyle w:val="BookText"/>
        <w:rPr/>
      </w:pPr>
      <w:r>
        <w:rPr>
          <w:rFonts w:ascii="IRNazanin" w:hAnsi="IRNazanin" w:eastAsia="IRNazanin"/>
          <w:color w:val="111111"/>
          <w:sz w:val="28"/>
          <w:sz w:val="28"/>
          <w:szCs w:val="28"/>
          <w:rtl w:val="true"/>
          <w:lang w:bidi="fa-IR"/>
        </w:rPr>
        <w:t xml:space="preserve">ابن ابی العوجاء، </w:t>
      </w:r>
      <w:r>
        <w:rPr>
          <w:rFonts w:ascii="IRNazanin" w:hAnsi="IRNazanin" w:eastAsia="IRNazanin"/>
          <w:color w:val="111111"/>
          <w:sz w:val="28"/>
          <w:sz w:val="28"/>
          <w:szCs w:val="28"/>
          <w:lang w:bidi="fa-IR"/>
        </w:rPr>
        <w:t>۲۳۷</w:t>
      </w:r>
    </w:p>
    <w:p>
      <w:pPr>
        <w:pStyle w:val="BookText"/>
        <w:rPr/>
      </w:pPr>
      <w:r>
        <w:rPr>
          <w:rFonts w:ascii="IRNazanin" w:hAnsi="IRNazanin" w:eastAsia="IRNazanin"/>
          <w:color w:val="111111"/>
          <w:sz w:val="28"/>
          <w:sz w:val="28"/>
          <w:szCs w:val="28"/>
          <w:rtl w:val="true"/>
          <w:lang w:bidi="fa-IR"/>
        </w:rPr>
        <w:t xml:space="preserve">ابن اثیر جزری،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w:t>
      </w:r>
    </w:p>
    <w:p>
      <w:pPr>
        <w:pStyle w:val="BookText"/>
        <w:rPr/>
      </w:pPr>
      <w:r>
        <w:rPr>
          <w:rFonts w:ascii="Amiri" w:hAnsi="Amiri" w:eastAsia="Amiri" w:cs="Amiri"/>
          <w:color w:val="111111"/>
          <w:sz w:val="28"/>
          <w:sz w:val="28"/>
          <w:szCs w:val="28"/>
          <w:rtl w:val="true"/>
          <w:lang w:bidi="ar-SA"/>
        </w:rPr>
        <w:t xml:space="preserve">ابن اخوة، </w:t>
      </w:r>
      <w:r>
        <w:rPr>
          <w:rFonts w:ascii="Amiri" w:hAnsi="Amiri" w:eastAsia="Amiri" w:cs="Amiri"/>
          <w:color w:val="111111"/>
          <w:sz w:val="28"/>
          <w:sz w:val="28"/>
          <w:szCs w:val="28"/>
          <w:lang w:bidi="ar-SA"/>
        </w:rPr>
        <w:t>۷۰</w:t>
      </w:r>
    </w:p>
    <w:p>
      <w:pPr>
        <w:pStyle w:val="BookText"/>
        <w:rPr/>
      </w:pPr>
      <w:r>
        <w:rPr>
          <w:rFonts w:ascii="IRNazanin" w:hAnsi="IRNazanin" w:eastAsia="IRNazanin"/>
          <w:color w:val="111111"/>
          <w:sz w:val="28"/>
          <w:sz w:val="28"/>
          <w:szCs w:val="28"/>
          <w:rtl w:val="true"/>
          <w:lang w:bidi="fa-IR"/>
        </w:rPr>
        <w:t xml:space="preserve">ابن براج،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۲۱۳</w:t>
      </w:r>
    </w:p>
    <w:p>
      <w:pPr>
        <w:pStyle w:val="BookText"/>
        <w:rPr/>
      </w:pPr>
      <w:r>
        <w:rPr>
          <w:rFonts w:ascii="IRNazanin" w:hAnsi="IRNazanin" w:eastAsia="IRNazanin"/>
          <w:color w:val="111111"/>
          <w:sz w:val="28"/>
          <w:sz w:val="28"/>
          <w:szCs w:val="28"/>
          <w:rtl w:val="true"/>
          <w:lang w:bidi="fa-IR"/>
        </w:rPr>
        <w:t xml:space="preserve">ابن تیمیه،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 xml:space="preserve">ابن جوزی بغدادی،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۲۴۱</w:t>
      </w:r>
    </w:p>
    <w:p>
      <w:pPr>
        <w:pStyle w:val="BookText"/>
        <w:rPr/>
      </w:pPr>
      <w:r>
        <w:rPr>
          <w:rFonts w:ascii="IRNazanin" w:hAnsi="IRNazanin" w:eastAsia="IRNazanin"/>
          <w:color w:val="111111"/>
          <w:sz w:val="28"/>
          <w:sz w:val="28"/>
          <w:szCs w:val="28"/>
          <w:rtl w:val="true"/>
          <w:lang w:bidi="fa-IR"/>
        </w:rPr>
        <w:t xml:space="preserve">ابن حجر عسقلانی،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ابن حزم اندلسی، </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 xml:space="preserve">ابن خلدون، </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 xml:space="preserve">ابن داود حلی،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ابن سعد، </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 xml:space="preserve">ابن سینا،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w:t>
      </w:r>
    </w:p>
    <w:p>
      <w:pPr>
        <w:pStyle w:val="BookText"/>
        <w:rPr/>
      </w:pPr>
      <w:r>
        <w:rPr>
          <w:rFonts w:ascii="IRNazanin" w:hAnsi="IRNazanin" w:eastAsia="IRNazanin"/>
          <w:color w:val="111111"/>
          <w:sz w:val="28"/>
          <w:sz w:val="28"/>
          <w:szCs w:val="28"/>
          <w:rtl w:val="true"/>
          <w:lang w:bidi="fa-IR"/>
        </w:rPr>
        <w:t xml:space="preserve">ابن شهر آشوب،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 xml:space="preserve">ابن طیفور، </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 xml:space="preserve">ابن عباس، </w:t>
      </w:r>
      <w:r>
        <w:rPr>
          <w:rFonts w:ascii="IRNazanin" w:hAnsi="IRNazanin" w:eastAsia="IRNazanin"/>
          <w:color w:val="111111"/>
          <w:sz w:val="28"/>
          <w:sz w:val="28"/>
          <w:szCs w:val="28"/>
          <w:lang w:bidi="fa-IR"/>
        </w:rPr>
        <w:t>۲۲۵</w:t>
      </w:r>
    </w:p>
    <w:p>
      <w:pPr>
        <w:pStyle w:val="BookText"/>
        <w:rPr/>
      </w:pPr>
      <w:r>
        <w:rPr>
          <w:rFonts w:ascii="IRNazanin" w:hAnsi="IRNazanin" w:eastAsia="IRNazanin"/>
          <w:color w:val="111111"/>
          <w:sz w:val="28"/>
          <w:sz w:val="28"/>
          <w:szCs w:val="28"/>
          <w:rtl w:val="true"/>
          <w:lang w:bidi="fa-IR"/>
        </w:rPr>
        <w:t xml:space="preserve">ابن عساکر، </w:t>
      </w:r>
      <w:r>
        <w:rPr>
          <w:rFonts w:ascii="IRNazanin" w:hAnsi="IRNazanin" w:eastAsia="IRNazanin"/>
          <w:color w:val="111111"/>
          <w:sz w:val="28"/>
          <w:sz w:val="28"/>
          <w:szCs w:val="28"/>
          <w:lang w:bidi="fa-IR"/>
        </w:rPr>
        <w:t>۳۱۰</w:t>
      </w:r>
    </w:p>
    <w:p>
      <w:pPr>
        <w:pStyle w:val="BookText"/>
        <w:rPr/>
      </w:pPr>
      <w:r>
        <w:rPr>
          <w:rFonts w:ascii="IRNazanin" w:hAnsi="IRNazanin" w:eastAsia="IRNazanin"/>
          <w:color w:val="111111"/>
          <w:sz w:val="28"/>
          <w:sz w:val="28"/>
          <w:szCs w:val="28"/>
          <w:rtl w:val="true"/>
          <w:lang w:bidi="fa-IR"/>
        </w:rPr>
        <w:t xml:space="preserve">ابن فارس،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۲۵۲</w:t>
      </w:r>
    </w:p>
    <w:p>
      <w:pPr>
        <w:pStyle w:val="BookText"/>
        <w:rPr/>
      </w:pPr>
      <w:r>
        <w:rPr>
          <w:rFonts w:ascii="IRNazanin" w:hAnsi="IRNazanin" w:eastAsia="IRNazanin"/>
          <w:color w:val="111111"/>
          <w:sz w:val="28"/>
          <w:sz w:val="28"/>
          <w:szCs w:val="28"/>
          <w:rtl w:val="true"/>
          <w:lang w:bidi="fa-IR"/>
        </w:rPr>
        <w:t xml:space="preserve">ابن کثیر شامی،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۲۱۱</w:t>
      </w:r>
    </w:p>
    <w:p>
      <w:pPr>
        <w:pStyle w:val="BookText"/>
        <w:rPr/>
      </w:pPr>
      <w:r>
        <w:rPr>
          <w:rFonts w:ascii="IRNazanin" w:hAnsi="IRNazanin" w:eastAsia="IRNazanin"/>
          <w:color w:val="111111"/>
          <w:sz w:val="28"/>
          <w:sz w:val="28"/>
          <w:szCs w:val="28"/>
          <w:rtl w:val="true"/>
          <w:lang w:bidi="fa-IR"/>
        </w:rPr>
        <w:t xml:space="preserve">ابن منظور،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 xml:space="preserve">ابو اسحاق ابراهیم بن نوبخت،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ابو البقاء ایوب بن موسی، </w:t>
      </w:r>
      <w:r>
        <w:rPr>
          <w:rFonts w:ascii="IRNazanin" w:hAnsi="IRNazanin" w:eastAsia="IRNazanin"/>
          <w:color w:val="111111"/>
          <w:sz w:val="28"/>
          <w:sz w:val="28"/>
          <w:szCs w:val="28"/>
          <w:lang w:bidi="fa-IR"/>
        </w:rPr>
        <w:t>۲۳۱</w:t>
      </w:r>
    </w:p>
    <w:p>
      <w:pPr>
        <w:pStyle w:val="BookText"/>
        <w:rPr/>
      </w:pPr>
      <w:r>
        <w:rPr>
          <w:rFonts w:ascii="IRNazanin" w:hAnsi="IRNazanin" w:eastAsia="IRNazanin"/>
          <w:color w:val="111111"/>
          <w:sz w:val="28"/>
          <w:sz w:val="28"/>
          <w:szCs w:val="28"/>
          <w:rtl w:val="true"/>
          <w:lang w:bidi="fa-IR"/>
        </w:rPr>
        <w:t xml:space="preserve">ابوبصیر، </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ابوجعفر، محمد بن حسن بن علی طوسی به شیخ</w:t>
      </w:r>
    </w:p>
    <w:p>
      <w:pPr>
        <w:pStyle w:val="BookText"/>
        <w:rPr/>
      </w:pPr>
      <w:r>
        <w:rPr>
          <w:rFonts w:ascii="IRNazanin" w:hAnsi="IRNazanin" w:eastAsia="IRNazanin"/>
          <w:color w:val="111111"/>
          <w:sz w:val="28"/>
          <w:sz w:val="28"/>
          <w:szCs w:val="28"/>
          <w:rtl w:val="true"/>
          <w:lang w:bidi="fa-IR"/>
        </w:rPr>
        <w:t>طوسی</w:t>
      </w:r>
    </w:p>
    <w:p>
      <w:pPr>
        <w:pStyle w:val="BookText"/>
        <w:rPr/>
      </w:pPr>
      <w:r>
        <w:rPr>
          <w:rFonts w:ascii="IRNazanin" w:hAnsi="IRNazanin" w:eastAsia="IRNazanin"/>
          <w:color w:val="111111"/>
          <w:sz w:val="28"/>
          <w:sz w:val="28"/>
          <w:szCs w:val="28"/>
          <w:rtl w:val="true"/>
          <w:lang w:bidi="fa-IR"/>
        </w:rPr>
        <w:t xml:space="preserve">ابوحنیفه،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ابوزهره، محمد،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p>
    <w:p>
      <w:pPr>
        <w:pStyle w:val="BookText"/>
        <w:rPr/>
      </w:pPr>
      <w:r>
        <w:rPr>
          <w:rFonts w:ascii="IRNazanin" w:hAnsi="IRNazanin" w:eastAsia="IRNazanin"/>
          <w:color w:val="111111"/>
          <w:sz w:val="28"/>
          <w:sz w:val="28"/>
          <w:szCs w:val="28"/>
          <w:rtl w:val="true"/>
          <w:lang w:bidi="fa-IR"/>
        </w:rPr>
        <w:t xml:space="preserve">ابوعزبه، </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 xml:space="preserve">ابوعلی،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۲۶۵</w:t>
      </w:r>
    </w:p>
    <w:p>
      <w:pPr>
        <w:pStyle w:val="BookText"/>
        <w:rPr/>
      </w:pPr>
      <w:r>
        <w:rPr>
          <w:rFonts w:ascii="IRNazanin" w:hAnsi="IRNazanin" w:eastAsia="IRNazanin"/>
          <w:color w:val="111111"/>
          <w:sz w:val="28"/>
          <w:sz w:val="28"/>
          <w:szCs w:val="28"/>
          <w:rtl w:val="true"/>
          <w:lang w:bidi="fa-IR"/>
        </w:rPr>
        <w:t xml:space="preserve">ابولهب، </w:t>
      </w:r>
      <w:r>
        <w:rPr>
          <w:rFonts w:ascii="IRNazanin" w:hAnsi="IRNazanin" w:eastAsia="IRNazanin"/>
          <w:color w:val="111111"/>
          <w:sz w:val="28"/>
          <w:sz w:val="28"/>
          <w:szCs w:val="28"/>
          <w:lang w:bidi="fa-IR"/>
        </w:rPr>
        <w:t>۲۷۳</w:t>
      </w:r>
    </w:p>
    <w:p>
      <w:pPr>
        <w:pStyle w:val="BookText"/>
        <w:rPr/>
      </w:pPr>
      <w:r>
        <w:rPr>
          <w:rFonts w:ascii="IRNazanin" w:hAnsi="IRNazanin" w:eastAsia="IRNazanin"/>
          <w:color w:val="111111"/>
          <w:sz w:val="28"/>
          <w:sz w:val="28"/>
          <w:szCs w:val="28"/>
          <w:rtl w:val="true"/>
          <w:lang w:bidi="fa-IR"/>
        </w:rPr>
        <w:t xml:space="preserve">ابوهاشم، </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 xml:space="preserve">ابی بن خلف، </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rtl w:val="true"/>
          <w:lang w:bidi="fa-IR"/>
        </w:rPr>
        <w:t xml:space="preserve">احمد بن ایوب، </w:t>
      </w:r>
      <w:r>
        <w:rPr>
          <w:rFonts w:ascii="IRNazanin" w:hAnsi="IRNazanin" w:eastAsia="IRNazanin"/>
          <w:color w:val="111111"/>
          <w:sz w:val="28"/>
          <w:sz w:val="28"/>
          <w:szCs w:val="28"/>
          <w:lang w:bidi="fa-IR"/>
        </w:rPr>
        <w:t>۲۳۷</w:t>
      </w:r>
    </w:p>
    <w:p>
      <w:pPr>
        <w:pStyle w:val="BookText"/>
        <w:rPr/>
      </w:pPr>
      <w:r>
        <w:rPr>
          <w:rFonts w:ascii="IRNazanin" w:hAnsi="IRNazanin" w:eastAsia="IRNazanin"/>
          <w:color w:val="111111"/>
          <w:sz w:val="28"/>
          <w:sz w:val="28"/>
          <w:szCs w:val="28"/>
          <w:rtl w:val="true"/>
          <w:lang w:bidi="fa-IR"/>
        </w:rPr>
        <w:t xml:space="preserve">احمد بن حائط،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۲۴۱</w:t>
      </w:r>
    </w:p>
    <w:p>
      <w:pPr>
        <w:pStyle w:val="BookText"/>
        <w:rPr/>
      </w:pPr>
      <w:r>
        <w:rPr>
          <w:rFonts w:ascii="IRNazanin" w:hAnsi="IRNazanin" w:eastAsia="IRNazanin"/>
          <w:color w:val="111111"/>
          <w:sz w:val="28"/>
          <w:sz w:val="28"/>
          <w:szCs w:val="28"/>
          <w:rtl w:val="true"/>
          <w:lang w:bidi="fa-IR"/>
        </w:rPr>
        <w:t xml:space="preserve">احمد بن حنبل،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 xml:space="preserve">احمد بن عبدالرحمن الملطی، </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 xml:space="preserve">احمد بن یحیی بن مرتضی،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 xml:space="preserve">احمد نگری، عبدالنبی بن عبدالرسول،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۲۸۸</w:t>
      </w:r>
    </w:p>
    <w:p>
      <w:pPr>
        <w:pStyle w:val="BookText"/>
        <w:rPr/>
      </w:pPr>
      <w:r>
        <w:rPr>
          <w:rFonts w:ascii="IRNazanin" w:hAnsi="IRNazanin" w:eastAsia="IRNazanin"/>
          <w:color w:val="111111"/>
          <w:sz w:val="28"/>
          <w:sz w:val="28"/>
          <w:szCs w:val="28"/>
          <w:rtl w:val="true"/>
          <w:lang w:bidi="fa-IR"/>
        </w:rPr>
        <w:t xml:space="preserve">ارسطو،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۲۹۲</w:t>
      </w:r>
    </w:p>
    <w:p>
      <w:pPr>
        <w:pStyle w:val="BookText"/>
        <w:rPr/>
      </w:pPr>
      <w:r>
        <w:rPr>
          <w:rFonts w:ascii="IRNazanin" w:hAnsi="IRNazanin" w:eastAsia="IRNazanin"/>
          <w:color w:val="111111"/>
          <w:sz w:val="28"/>
          <w:sz w:val="28"/>
          <w:szCs w:val="28"/>
          <w:rtl w:val="true"/>
          <w:lang w:bidi="fa-IR"/>
        </w:rPr>
        <w:t xml:space="preserve">ارمیا، </w:t>
      </w:r>
      <w:r>
        <w:rPr>
          <w:rFonts w:ascii="IRNazanin" w:hAnsi="IRNazanin" w:eastAsia="IRNazanin"/>
          <w:color w:val="111111"/>
          <w:sz w:val="28"/>
          <w:sz w:val="28"/>
          <w:szCs w:val="28"/>
          <w:lang w:bidi="fa-IR"/>
        </w:rPr>
        <w:t>۲۱۰</w:t>
      </w:r>
    </w:p>
    <w:p>
      <w:pPr>
        <w:pStyle w:val="BookText"/>
        <w:rPr/>
      </w:pPr>
      <w:r>
        <w:rPr>
          <w:rFonts w:ascii="IRNazanin" w:hAnsi="IRNazanin" w:eastAsia="IRNazanin"/>
          <w:color w:val="111111"/>
          <w:sz w:val="28"/>
          <w:sz w:val="28"/>
          <w:szCs w:val="28"/>
          <w:rtl w:val="true"/>
          <w:lang w:bidi="fa-IR"/>
        </w:rPr>
        <w:t xml:space="preserve">ازهری، </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 xml:space="preserve">اشعری، ابوالحسن،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اشعری، ابوموسی، </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 xml:space="preserve">اشعری قمی، سعد بن عبدالله، </w:t>
      </w:r>
      <w:r>
        <w:rPr>
          <w:rFonts w:ascii="IRNazanin" w:hAnsi="IRNazanin" w:eastAsia="IRNazanin"/>
          <w:color w:val="111111"/>
          <w:sz w:val="28"/>
          <w:sz w:val="28"/>
          <w:szCs w:val="28"/>
          <w:lang w:bidi="fa-IR"/>
        </w:rPr>
        <w:t>۲۳۶</w:t>
      </w:r>
    </w:p>
    <w:p>
      <w:pPr>
        <w:pStyle w:val="BookText"/>
        <w:rPr/>
      </w:pPr>
      <w:r>
        <w:rPr>
          <w:rFonts w:ascii="IRNazanin" w:hAnsi="IRNazanin" w:eastAsia="IRNazanin"/>
          <w:color w:val="111111"/>
          <w:sz w:val="28"/>
          <w:sz w:val="28"/>
          <w:szCs w:val="28"/>
          <w:rtl w:val="true"/>
          <w:lang w:bidi="fa-IR"/>
        </w:rPr>
        <w:t xml:space="preserve">اصفهانی، افضل الدین ترکه، </w:t>
      </w:r>
      <w:r>
        <w:rPr>
          <w:rFonts w:ascii="IRNazanin" w:hAnsi="IRNazanin" w:eastAsia="IRNazanin"/>
          <w:color w:val="111111"/>
          <w:sz w:val="28"/>
          <w:sz w:val="28"/>
          <w:szCs w:val="28"/>
          <w:lang w:bidi="fa-IR"/>
        </w:rPr>
        <w:t>۲۹۳</w:t>
      </w:r>
    </w:p>
    <w:p>
      <w:pPr>
        <w:pStyle w:val="BookText"/>
        <w:rPr/>
      </w:pPr>
      <w:r>
        <w:rPr>
          <w:rFonts w:ascii="IRNazanin" w:hAnsi="IRNazanin" w:eastAsia="IRNazanin"/>
          <w:color w:val="111111"/>
          <w:sz w:val="28"/>
          <w:sz w:val="28"/>
          <w:szCs w:val="28"/>
          <w:rtl w:val="true"/>
          <w:lang w:bidi="fa-IR"/>
        </w:rPr>
        <w:t xml:space="preserve">افشار، حسن، </w:t>
      </w:r>
      <w:r>
        <w:rPr>
          <w:rFonts w:ascii="IRNazanin" w:hAnsi="IRNazanin" w:eastAsia="IRNazanin"/>
          <w:color w:val="111111"/>
          <w:sz w:val="28"/>
          <w:sz w:val="28"/>
          <w:szCs w:val="28"/>
          <w:lang w:bidi="fa-IR"/>
        </w:rPr>
        <w:t>۲۳۵</w:t>
      </w:r>
    </w:p>
    <w:p>
      <w:pPr>
        <w:pStyle w:val="BookText"/>
        <w:rPr/>
      </w:pPr>
      <w:r>
        <w:rPr>
          <w:rFonts w:ascii="IRNazanin" w:hAnsi="IRNazanin" w:eastAsia="IRNazanin"/>
          <w:color w:val="111111"/>
          <w:sz w:val="28"/>
          <w:sz w:val="28"/>
          <w:szCs w:val="28"/>
          <w:rtl w:val="true"/>
          <w:lang w:bidi="fa-IR"/>
        </w:rPr>
        <w:t xml:space="preserve">افلاطون، </w:t>
      </w:r>
      <w:r>
        <w:rPr>
          <w:rFonts w:ascii="IRNazanin" w:hAnsi="IRNazanin" w:eastAsia="IRNazanin"/>
          <w:color w:val="111111"/>
          <w:sz w:val="28"/>
          <w:sz w:val="28"/>
          <w:szCs w:val="28"/>
          <w:lang w:bidi="fa-IR"/>
        </w:rPr>
        <w:t>۲۳۶</w:t>
      </w:r>
    </w:p>
    <w:p>
      <w:pPr>
        <w:pStyle w:val="BookText"/>
        <w:rPr/>
      </w:pPr>
      <w:r>
        <w:rPr>
          <w:rFonts w:ascii="IRNazanin" w:hAnsi="IRNazanin" w:eastAsia="IRNazanin"/>
          <w:color w:val="111111"/>
          <w:sz w:val="28"/>
          <w:sz w:val="28"/>
          <w:szCs w:val="28"/>
          <w:rtl w:val="true"/>
          <w:lang w:bidi="fa-IR"/>
        </w:rPr>
        <w:t xml:space="preserve">الهی قمشه ای، </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علیه السلام، </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امام حسن مجتبی علیه السلام، </w:t>
      </w:r>
      <w:r>
        <w:rPr>
          <w:rFonts w:ascii="IRNazanin" w:hAnsi="IRNazanin" w:eastAsia="IRNazanin"/>
          <w:color w:val="111111"/>
          <w:sz w:val="28"/>
          <w:sz w:val="28"/>
          <w:szCs w:val="28"/>
          <w:lang w:bidi="fa-IR"/>
        </w:rPr>
        <w:t>۲۹۲</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۲۳۸</w:t>
      </w:r>
    </w:p>
    <w:p>
      <w:pPr>
        <w:pStyle w:val="BookText"/>
        <w:rPr/>
      </w:pPr>
      <w:r>
        <w:rPr>
          <w:rFonts w:ascii="IRNazanin" w:hAnsi="IRNazanin" w:eastAsia="IRNazanin"/>
          <w:color w:val="111111"/>
          <w:sz w:val="28"/>
          <w:sz w:val="28"/>
          <w:szCs w:val="28"/>
          <w:rtl w:val="true"/>
          <w:lang w:bidi="fa-IR"/>
        </w:rPr>
        <w:t xml:space="preserve">امام خمینی، </w:t>
      </w:r>
      <w:r>
        <w:rPr>
          <w:rFonts w:ascii="IRNazanin" w:hAnsi="IRNazanin" w:eastAsia="IRNazanin"/>
          <w:color w:val="111111"/>
          <w:sz w:val="28"/>
          <w:sz w:val="28"/>
          <w:szCs w:val="28"/>
          <w:lang w:bidi="fa-IR"/>
        </w:rPr>
        <w:t>۲۹۲</w:t>
      </w:r>
    </w:p>
    <w:p>
      <w:pPr>
        <w:pStyle w:val="BookText"/>
        <w:rPr/>
      </w:pPr>
      <w:r>
        <w:rPr>
          <w:rFonts w:ascii="IRNazanin" w:hAnsi="IRNazanin" w:eastAsia="IRNazanin"/>
          <w:color w:val="111111"/>
          <w:sz w:val="28"/>
          <w:sz w:val="28"/>
          <w:szCs w:val="28"/>
          <w:rtl w:val="true"/>
          <w:lang w:bidi="fa-IR"/>
        </w:rPr>
        <w:t xml:space="preserve">امام رضاعلیه السلام،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۳۱۰</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بن ابی طالب علیه السلام،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۲۷۱</w:t>
      </w:r>
    </w:p>
    <w:p>
      <w:pPr>
        <w:pStyle w:val="BookText"/>
        <w:rPr/>
      </w:pPr>
      <w:r>
        <w:rPr>
          <w:rFonts w:ascii="IRNazanin" w:hAnsi="IRNazanin" w:eastAsia="IRNazanin"/>
          <w:color w:val="111111"/>
          <w:sz w:val="28"/>
          <w:sz w:val="28"/>
          <w:szCs w:val="28"/>
          <w:rtl w:val="true"/>
          <w:lang w:bidi="fa-IR"/>
        </w:rPr>
        <w:t xml:space="preserve">امیل بریه، </w:t>
      </w:r>
      <w:r>
        <w:rPr>
          <w:rFonts w:ascii="IRNazanin" w:hAnsi="IRNazanin" w:eastAsia="IRNazanin"/>
          <w:color w:val="111111"/>
          <w:sz w:val="28"/>
          <w:sz w:val="28"/>
          <w:szCs w:val="28"/>
          <w:lang w:bidi="fa-IR"/>
        </w:rPr>
        <w:t>۲۳۵</w:t>
      </w:r>
    </w:p>
    <w:p>
      <w:pPr>
        <w:pStyle w:val="BookText"/>
        <w:rPr/>
      </w:pPr>
      <w:r>
        <w:rPr>
          <w:rFonts w:ascii="IRNazanin" w:hAnsi="IRNazanin" w:eastAsia="IRNazanin"/>
          <w:color w:val="111111"/>
          <w:sz w:val="28"/>
          <w:sz w:val="28"/>
          <w:szCs w:val="28"/>
          <w:rtl w:val="true"/>
          <w:lang w:bidi="fa-IR"/>
        </w:rPr>
        <w:t xml:space="preserve">امین، سید محسن، </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امینی نجفی، </w:t>
      </w:r>
      <w:r>
        <w:rPr>
          <w:rFonts w:ascii="IRNazanin" w:hAnsi="IRNazanin" w:eastAsia="IRNazanin"/>
          <w:color w:val="111111"/>
          <w:sz w:val="28"/>
          <w:sz w:val="28"/>
          <w:szCs w:val="28"/>
          <w:lang w:bidi="fa-IR"/>
        </w:rPr>
        <w:t>۲۶۱</w:t>
      </w:r>
    </w:p>
    <w:p>
      <w:pPr>
        <w:pStyle w:val="BookText"/>
        <w:rPr/>
      </w:pPr>
      <w:r>
        <w:rPr>
          <w:rFonts w:ascii="IRNazanin" w:hAnsi="IRNazanin" w:eastAsia="IRNazanin"/>
          <w:color w:val="111111"/>
          <w:sz w:val="28"/>
          <w:sz w:val="28"/>
          <w:szCs w:val="28"/>
          <w:rtl w:val="true"/>
          <w:lang w:bidi="fa-IR"/>
        </w:rPr>
        <w:t xml:space="preserve">أمیة بن خلف، </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rtl w:val="true"/>
          <w:lang w:bidi="fa-IR"/>
        </w:rPr>
        <w:t xml:space="preserve">انس بن مالک، </w:t>
      </w:r>
      <w:r>
        <w:rPr>
          <w:rFonts w:ascii="IRNazanin" w:hAnsi="IRNazanin" w:eastAsia="IRNazanin"/>
          <w:color w:val="111111"/>
          <w:sz w:val="28"/>
          <w:sz w:val="28"/>
          <w:szCs w:val="28"/>
          <w:lang w:bidi="fa-IR"/>
        </w:rPr>
        <w:t>۱۹۲</w:t>
      </w:r>
    </w:p>
    <w:p>
      <w:pPr>
        <w:pStyle w:val="BookText"/>
        <w:rPr/>
      </w:pPr>
      <w:r>
        <w:rPr>
          <w:rFonts w:ascii="IRNazanin" w:hAnsi="IRNazanin" w:eastAsia="IRNazanin"/>
          <w:color w:val="111111"/>
          <w:sz w:val="28"/>
          <w:sz w:val="28"/>
          <w:szCs w:val="28"/>
          <w:rtl w:val="true"/>
          <w:lang w:bidi="fa-IR"/>
        </w:rPr>
        <w:t xml:space="preserve">انصاری، ابودجانه، </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rtl w:val="true"/>
          <w:lang w:bidi="fa-IR"/>
        </w:rPr>
        <w:t xml:space="preserve">ایجی، عبدالرحمن،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p>
    <w:p>
      <w:pPr>
        <w:pStyle w:val="BookText"/>
        <w:rPr/>
      </w:pPr>
      <w:r>
        <w:rPr>
          <w:rFonts w:ascii="IRNazanin" w:hAnsi="IRNazanin" w:eastAsia="IRNazanin"/>
          <w:color w:val="111111"/>
          <w:sz w:val="28"/>
          <w:sz w:val="28"/>
          <w:szCs w:val="28"/>
          <w:rtl w:val="true"/>
          <w:lang w:bidi="fa-IR"/>
        </w:rPr>
        <w:t xml:space="preserve">ایجی، علی اکبر،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ایوب، </w:t>
      </w:r>
      <w:r>
        <w:rPr>
          <w:rFonts w:ascii="IRNazanin" w:hAnsi="IRNazanin" w:eastAsia="IRNazanin"/>
          <w:color w:val="111111"/>
          <w:sz w:val="28"/>
          <w:sz w:val="28"/>
          <w:szCs w:val="28"/>
          <w:lang w:bidi="fa-IR"/>
        </w:rPr>
        <w:t>۲۱۰</w:t>
      </w:r>
    </w:p>
    <w:p>
      <w:pPr>
        <w:pStyle w:val="BookText"/>
        <w:rPr/>
      </w:pPr>
      <w:r>
        <w:rPr>
          <w:rFonts w:ascii="IRNazanin" w:hAnsi="IRNazanin" w:eastAsia="IRNazanin"/>
          <w:color w:val="111111"/>
          <w:sz w:val="28"/>
          <w:sz w:val="28"/>
          <w:szCs w:val="28"/>
          <w:rtl w:val="true"/>
          <w:lang w:bidi="fa-IR"/>
        </w:rPr>
        <w:t xml:space="preserve">باقلانی،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۳۰۶</w:t>
      </w:r>
    </w:p>
    <w:p>
      <w:pPr>
        <w:pStyle w:val="BookText"/>
        <w:rPr/>
      </w:pPr>
      <w:r>
        <w:rPr>
          <w:rFonts w:ascii="IRNazanin" w:hAnsi="IRNazanin" w:eastAsia="IRNazanin"/>
          <w:color w:val="111111"/>
          <w:sz w:val="28"/>
          <w:sz w:val="28"/>
          <w:szCs w:val="28"/>
          <w:rtl w:val="true"/>
          <w:lang w:bidi="fa-IR"/>
        </w:rPr>
        <w:t xml:space="preserve">بحرانی، این میثم،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۲۶۶</w:t>
      </w:r>
    </w:p>
    <w:p>
      <w:pPr>
        <w:pStyle w:val="BookText"/>
        <w:rPr/>
      </w:pPr>
      <w:r>
        <w:rPr>
          <w:rFonts w:ascii="IRNazanin" w:hAnsi="IRNazanin" w:eastAsia="IRNazanin"/>
          <w:color w:val="111111"/>
          <w:sz w:val="28"/>
          <w:sz w:val="28"/>
          <w:szCs w:val="28"/>
          <w:rtl w:val="true"/>
          <w:lang w:bidi="fa-IR"/>
        </w:rPr>
        <w:t xml:space="preserve">بحرانی، سیدهاشم، </w:t>
      </w:r>
      <w:r>
        <w:rPr>
          <w:rFonts w:ascii="IRNazanin" w:hAnsi="IRNazanin" w:eastAsia="IRNazanin"/>
          <w:color w:val="111111"/>
          <w:sz w:val="28"/>
          <w:sz w:val="28"/>
          <w:szCs w:val="28"/>
          <w:lang w:bidi="fa-IR"/>
        </w:rPr>
        <w:t>۲۱۳</w:t>
      </w:r>
    </w:p>
    <w:p>
      <w:pPr>
        <w:pStyle w:val="BookText"/>
        <w:rPr/>
      </w:pPr>
      <w:r>
        <w:rPr>
          <w:rFonts w:ascii="IRNazanin" w:hAnsi="IRNazanin" w:eastAsia="IRNazanin"/>
          <w:color w:val="111111"/>
          <w:sz w:val="28"/>
          <w:sz w:val="28"/>
          <w:szCs w:val="28"/>
          <w:rtl w:val="true"/>
          <w:lang w:bidi="fa-IR"/>
        </w:rPr>
        <w:t xml:space="preserve">بزرگمهر گل بیدی، </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 xml:space="preserve">بشر بن معتمر، </w:t>
      </w:r>
      <w:r>
        <w:rPr>
          <w:rFonts w:ascii="IRNazanin" w:hAnsi="IRNazanin" w:eastAsia="IRNazanin"/>
          <w:color w:val="111111"/>
          <w:sz w:val="28"/>
          <w:sz w:val="28"/>
          <w:szCs w:val="28"/>
          <w:lang w:bidi="fa-IR"/>
        </w:rPr>
        <w:t>۲۶۵</w:t>
      </w:r>
    </w:p>
    <w:p>
      <w:pPr>
        <w:pStyle w:val="BookText"/>
        <w:rPr/>
      </w:pPr>
      <w:r>
        <w:rPr>
          <w:rFonts w:ascii="IRNazanin" w:hAnsi="IRNazanin" w:eastAsia="IRNazanin"/>
          <w:color w:val="111111"/>
          <w:sz w:val="28"/>
          <w:sz w:val="28"/>
          <w:szCs w:val="28"/>
          <w:rtl w:val="true"/>
          <w:lang w:bidi="fa-IR"/>
        </w:rPr>
        <w:t xml:space="preserve">بصری، حسن،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۲۹۲</w:t>
      </w:r>
    </w:p>
    <w:p>
      <w:pPr>
        <w:pStyle w:val="BookText"/>
        <w:rPr/>
      </w:pPr>
      <w:r>
        <w:rPr>
          <w:rFonts w:ascii="IRNazanin" w:hAnsi="IRNazanin" w:eastAsia="IRNazanin"/>
          <w:color w:val="111111"/>
          <w:sz w:val="28"/>
          <w:sz w:val="28"/>
          <w:szCs w:val="28"/>
          <w:rtl w:val="true"/>
          <w:lang w:bidi="fa-IR"/>
        </w:rPr>
        <w:t xml:space="preserve">بغدادی، ابو منصور، </w:t>
      </w:r>
      <w:r>
        <w:rPr>
          <w:rFonts w:ascii="IRNazanin" w:hAnsi="IRNazanin" w:eastAsia="IRNazanin"/>
          <w:color w:val="111111"/>
          <w:sz w:val="28"/>
          <w:sz w:val="28"/>
          <w:szCs w:val="28"/>
          <w:lang w:bidi="fa-IR"/>
        </w:rPr>
        <w:t>۲۹۰</w:t>
      </w:r>
    </w:p>
    <w:p>
      <w:pPr>
        <w:pStyle w:val="BookText"/>
        <w:rPr/>
      </w:pPr>
      <w:r>
        <w:rPr>
          <w:rFonts w:ascii="IRNazanin" w:hAnsi="IRNazanin" w:eastAsia="IRNazanin"/>
          <w:color w:val="111111"/>
          <w:sz w:val="28"/>
          <w:sz w:val="28"/>
          <w:szCs w:val="28"/>
          <w:rtl w:val="true"/>
          <w:lang w:bidi="fa-IR"/>
        </w:rPr>
        <w:t xml:space="preserve">بلخی، ابوالقاسم،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۲۴۱</w:t>
      </w:r>
    </w:p>
    <w:p>
      <w:pPr>
        <w:pStyle w:val="BookText"/>
        <w:rPr/>
      </w:pPr>
      <w:r>
        <w:rPr>
          <w:rFonts w:ascii="IRNazanin" w:hAnsi="IRNazanin" w:eastAsia="IRNazanin"/>
          <w:color w:val="111111"/>
          <w:sz w:val="28"/>
          <w:sz w:val="28"/>
          <w:szCs w:val="28"/>
          <w:rtl w:val="true"/>
          <w:lang w:bidi="fa-IR"/>
        </w:rPr>
        <w:t xml:space="preserve">بلیع، عبدالحکیم،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۱۹۲</w:t>
      </w:r>
    </w:p>
    <w:p>
      <w:pPr>
        <w:pStyle w:val="BookText"/>
        <w:rPr/>
      </w:pPr>
      <w:r>
        <w:rPr>
          <w:rFonts w:ascii="IRNazanin" w:hAnsi="IRNazanin" w:eastAsia="IRNazanin"/>
          <w:color w:val="111111"/>
          <w:sz w:val="28"/>
          <w:sz w:val="28"/>
          <w:szCs w:val="28"/>
          <w:rtl w:val="true"/>
          <w:lang w:bidi="fa-IR"/>
        </w:rPr>
        <w:t xml:space="preserve">پورسینا، زهرا،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تئودور گمپرتس، </w:t>
      </w:r>
      <w:r>
        <w:rPr>
          <w:rFonts w:ascii="IRNazanin" w:hAnsi="IRNazanin" w:eastAsia="IRNazanin"/>
          <w:color w:val="111111"/>
          <w:sz w:val="28"/>
          <w:sz w:val="28"/>
          <w:szCs w:val="28"/>
          <w:lang w:bidi="fa-IR"/>
        </w:rPr>
        <w:t>۲۳۵</w:t>
      </w:r>
    </w:p>
    <w:p>
      <w:pPr>
        <w:pStyle w:val="BookText"/>
        <w:rPr/>
      </w:pPr>
      <w:r>
        <w:rPr>
          <w:rFonts w:ascii="IRNazanin" w:hAnsi="IRNazanin" w:eastAsia="IRNazanin"/>
          <w:color w:val="111111"/>
          <w:sz w:val="28"/>
          <w:sz w:val="28"/>
          <w:szCs w:val="28"/>
          <w:rtl w:val="true"/>
          <w:lang w:bidi="fa-IR"/>
        </w:rPr>
        <w:t xml:space="preserve">تبریزی، میرزاجواد، </w:t>
      </w:r>
      <w:r>
        <w:rPr>
          <w:rFonts w:ascii="IRNazanin" w:hAnsi="IRNazanin" w:eastAsia="IRNazanin"/>
          <w:color w:val="111111"/>
          <w:sz w:val="28"/>
          <w:sz w:val="28"/>
          <w:szCs w:val="28"/>
          <w:lang w:bidi="fa-IR"/>
        </w:rPr>
        <w:t>۲۰۴</w:t>
      </w:r>
    </w:p>
    <w:p>
      <w:pPr>
        <w:pStyle w:val="BookText"/>
        <w:rPr/>
      </w:pPr>
      <w:r>
        <w:rPr>
          <w:rFonts w:ascii="IRNazanin" w:hAnsi="IRNazanin" w:eastAsia="IRNazanin"/>
          <w:color w:val="111111"/>
          <w:sz w:val="28"/>
          <w:sz w:val="28"/>
          <w:szCs w:val="28"/>
          <w:rtl w:val="true"/>
          <w:lang w:bidi="fa-IR"/>
        </w:rPr>
        <w:t xml:space="preserve">تفتازانی، سعدالدین،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w:t>
      </w:r>
    </w:p>
    <w:p>
      <w:pPr>
        <w:pStyle w:val="BookText"/>
        <w:rPr/>
      </w:pPr>
      <w:r>
        <w:rPr>
          <w:rFonts w:ascii="IRNazanin" w:hAnsi="IRNazanin" w:eastAsia="IRNazanin"/>
          <w:color w:val="111111"/>
          <w:sz w:val="28"/>
          <w:sz w:val="28"/>
          <w:szCs w:val="28"/>
          <w:rtl w:val="true"/>
          <w:lang w:bidi="fa-IR"/>
        </w:rPr>
        <w:t xml:space="preserve">توشی هیکو ایزوتسو،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 xml:space="preserve">تهانوی، </w:t>
      </w:r>
      <w:r>
        <w:rPr>
          <w:rFonts w:ascii="IRNazanin" w:hAnsi="IRNazanin" w:eastAsia="IRNazanin"/>
          <w:color w:val="111111"/>
          <w:sz w:val="28"/>
          <w:sz w:val="28"/>
          <w:szCs w:val="28"/>
          <w:lang w:bidi="fa-IR"/>
        </w:rPr>
        <w:t>۲۳۱</w:t>
      </w:r>
    </w:p>
    <w:p>
      <w:pPr>
        <w:pStyle w:val="BookText"/>
        <w:rPr/>
      </w:pPr>
      <w:r>
        <w:rPr>
          <w:rFonts w:ascii="IRNazanin" w:hAnsi="IRNazanin" w:eastAsia="IRNazanin"/>
          <w:color w:val="111111"/>
          <w:sz w:val="28"/>
          <w:sz w:val="28"/>
          <w:szCs w:val="28"/>
          <w:rtl w:val="true"/>
          <w:lang w:bidi="fa-IR"/>
        </w:rPr>
        <w:t xml:space="preserve">تهرانی، شیخ آغا بزرگ،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p>
    <w:p>
      <w:pPr>
        <w:pStyle w:val="BookText"/>
        <w:rPr/>
      </w:pPr>
      <w:r>
        <w:rPr>
          <w:rFonts w:ascii="IRNazanin" w:hAnsi="IRNazanin" w:eastAsia="IRNazanin"/>
          <w:color w:val="111111"/>
          <w:sz w:val="28"/>
          <w:sz w:val="28"/>
          <w:szCs w:val="28"/>
          <w:rtl w:val="true"/>
          <w:lang w:bidi="fa-IR"/>
        </w:rPr>
        <w:t xml:space="preserve">جان بی ناس، </w:t>
      </w:r>
      <w:r>
        <w:rPr>
          <w:rFonts w:ascii="IRNazanin" w:hAnsi="IRNazanin" w:eastAsia="IRNazanin"/>
          <w:color w:val="111111"/>
          <w:sz w:val="28"/>
          <w:sz w:val="28"/>
          <w:szCs w:val="28"/>
          <w:lang w:bidi="fa-IR"/>
        </w:rPr>
        <w:t>۲۳۵</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ویدی،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جبائی، ابوعلی،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rtl w:val="true"/>
          <w:lang w:bidi="fa-IR"/>
        </w:rPr>
        <w:t xml:space="preserve">جبائی، ابوهاشم، </w:t>
      </w:r>
      <w:r>
        <w:rPr>
          <w:rFonts w:ascii="IRNazanin" w:hAnsi="IRNazanin" w:eastAsia="IRNazanin"/>
          <w:color w:val="111111"/>
          <w:sz w:val="28"/>
          <w:sz w:val="28"/>
          <w:szCs w:val="28"/>
          <w:lang w:bidi="fa-IR"/>
        </w:rPr>
        <w:t>۲۶۵</w:t>
      </w:r>
    </w:p>
    <w:p>
      <w:pPr>
        <w:pStyle w:val="BookText"/>
        <w:rPr/>
      </w:pPr>
      <w:r>
        <w:rPr>
          <w:rFonts w:ascii="IRNazanin" w:hAnsi="IRNazanin" w:eastAsia="IRNazanin"/>
          <w:color w:val="111111"/>
          <w:sz w:val="28"/>
          <w:sz w:val="28"/>
          <w:szCs w:val="28"/>
          <w:rtl w:val="true"/>
          <w:lang w:bidi="fa-IR"/>
        </w:rPr>
        <w:t xml:space="preserve">جرجانی، علی بن محمد، </w:t>
      </w:r>
      <w:r>
        <w:rPr>
          <w:rFonts w:ascii="IRNazanin" w:hAnsi="IRNazanin" w:eastAsia="IRNazanin"/>
          <w:color w:val="111111"/>
          <w:sz w:val="28"/>
          <w:sz w:val="28"/>
          <w:szCs w:val="28"/>
          <w:lang w:bidi="fa-IR"/>
        </w:rPr>
        <w:t>۲۳۱</w:t>
      </w:r>
    </w:p>
    <w:p>
      <w:pPr>
        <w:pStyle w:val="BookText"/>
        <w:rPr/>
      </w:pPr>
      <w:r>
        <w:rPr>
          <w:rFonts w:ascii="IRNazanin" w:hAnsi="IRNazanin" w:eastAsia="IRNazanin"/>
          <w:color w:val="111111"/>
          <w:sz w:val="28"/>
          <w:sz w:val="28"/>
          <w:szCs w:val="28"/>
          <w:rtl w:val="true"/>
          <w:lang w:bidi="fa-IR"/>
        </w:rPr>
        <w:t xml:space="preserve">جصاص، </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 xml:space="preserve">جعفر بن حرب،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۲۶۵</w:t>
      </w:r>
    </w:p>
    <w:p>
      <w:pPr>
        <w:pStyle w:val="BookText"/>
        <w:rPr/>
      </w:pPr>
      <w:r>
        <w:rPr>
          <w:rFonts w:ascii="IRNazanin" w:hAnsi="IRNazanin" w:eastAsia="IRNazanin"/>
          <w:color w:val="111111"/>
          <w:sz w:val="28"/>
          <w:sz w:val="28"/>
          <w:szCs w:val="28"/>
          <w:rtl w:val="true"/>
          <w:lang w:bidi="fa-IR"/>
        </w:rPr>
        <w:t xml:space="preserve">جعفری، محمدتقی، </w:t>
      </w:r>
      <w:r>
        <w:rPr>
          <w:rFonts w:ascii="IRNazanin" w:hAnsi="IRNazanin" w:eastAsia="IRNazanin"/>
          <w:color w:val="111111"/>
          <w:sz w:val="28"/>
          <w:sz w:val="28"/>
          <w:szCs w:val="28"/>
          <w:lang w:bidi="fa-IR"/>
        </w:rPr>
        <w:t>۳۱۱</w:t>
      </w:r>
    </w:p>
    <w:p>
      <w:pPr>
        <w:pStyle w:val="BookText"/>
        <w:rPr/>
      </w:pPr>
      <w:r>
        <w:rPr>
          <w:rFonts w:ascii="IRNazanin" w:hAnsi="IRNazanin" w:eastAsia="IRNazanin"/>
          <w:color w:val="111111"/>
          <w:sz w:val="28"/>
          <w:sz w:val="28"/>
          <w:szCs w:val="28"/>
          <w:rtl w:val="true"/>
          <w:lang w:bidi="fa-IR"/>
        </w:rPr>
        <w:t xml:space="preserve">جلالی نائینی، سید محمدرضا، </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 xml:space="preserve">جمیل صلیبا،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۲۸۹</w:t>
      </w:r>
    </w:p>
    <w:p>
      <w:pPr>
        <w:pStyle w:val="BookText"/>
        <w:rPr/>
      </w:pPr>
      <w:r>
        <w:rPr>
          <w:rFonts w:ascii="IRNazanin" w:hAnsi="IRNazanin" w:eastAsia="IRNazanin"/>
          <w:color w:val="111111"/>
          <w:sz w:val="28"/>
          <w:sz w:val="28"/>
          <w:szCs w:val="28"/>
          <w:rtl w:val="true"/>
          <w:lang w:bidi="fa-IR"/>
        </w:rPr>
        <w:t xml:space="preserve">جوهری،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 xml:space="preserve">جهم بن صفوان، </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 xml:space="preserve">جهنی، معبد، </w:t>
      </w:r>
      <w:r>
        <w:rPr>
          <w:rFonts w:ascii="IRNazanin" w:hAnsi="IRNazanin" w:eastAsia="IRNazanin"/>
          <w:color w:val="111111"/>
          <w:sz w:val="28"/>
          <w:sz w:val="28"/>
          <w:szCs w:val="28"/>
          <w:lang w:bidi="fa-IR"/>
        </w:rPr>
        <w:t>۲۹۳</w:t>
      </w:r>
    </w:p>
    <w:p>
      <w:pPr>
        <w:pStyle w:val="BookText"/>
        <w:rPr/>
      </w:pPr>
      <w:r>
        <w:rPr>
          <w:rFonts w:ascii="IRNazanin" w:hAnsi="IRNazanin" w:eastAsia="IRNazanin"/>
          <w:color w:val="111111"/>
          <w:sz w:val="28"/>
          <w:sz w:val="28"/>
          <w:szCs w:val="28"/>
          <w:rtl w:val="true"/>
          <w:lang w:bidi="fa-IR"/>
        </w:rPr>
        <w:t xml:space="preserve">حدثی، فضل، </w:t>
      </w:r>
      <w:r>
        <w:rPr>
          <w:rFonts w:ascii="IRNazanin" w:hAnsi="IRNazanin" w:eastAsia="IRNazanin"/>
          <w:color w:val="111111"/>
          <w:sz w:val="28"/>
          <w:sz w:val="28"/>
          <w:szCs w:val="28"/>
          <w:lang w:bidi="fa-IR"/>
        </w:rPr>
        <w:t>۲۴۱</w:t>
      </w:r>
    </w:p>
    <w:p>
      <w:pPr>
        <w:pStyle w:val="BookText"/>
        <w:rPr/>
      </w:pPr>
      <w:r>
        <w:rPr>
          <w:rFonts w:ascii="IRNazanin" w:hAnsi="IRNazanin" w:eastAsia="IRNazanin"/>
          <w:color w:val="111111"/>
          <w:sz w:val="28"/>
          <w:sz w:val="28"/>
          <w:szCs w:val="28"/>
          <w:rtl w:val="true"/>
          <w:lang w:bidi="fa-IR"/>
        </w:rPr>
        <w:t xml:space="preserve">حرانی،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۲۹۲</w:t>
      </w:r>
    </w:p>
    <w:p>
      <w:pPr>
        <w:pStyle w:val="BookText"/>
        <w:rPr/>
      </w:pPr>
      <w:r>
        <w:rPr>
          <w:rFonts w:ascii="IRNazanin" w:hAnsi="IRNazanin" w:eastAsia="IRNazanin"/>
          <w:color w:val="111111"/>
          <w:sz w:val="28"/>
          <w:sz w:val="28"/>
          <w:szCs w:val="28"/>
          <w:rtl w:val="true"/>
          <w:lang w:bidi="fa-IR"/>
        </w:rPr>
        <w:t xml:space="preserve">حر عاملی،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۲۰۹</w:t>
      </w:r>
    </w:p>
    <w:p>
      <w:pPr>
        <w:pStyle w:val="BookText"/>
        <w:rPr/>
      </w:pPr>
      <w:r>
        <w:rPr>
          <w:rFonts w:ascii="IRNazanin" w:hAnsi="IRNazanin" w:eastAsia="IRNazanin"/>
          <w:color w:val="111111"/>
          <w:sz w:val="28"/>
          <w:sz w:val="28"/>
          <w:szCs w:val="28"/>
          <w:rtl w:val="true"/>
          <w:lang w:bidi="fa-IR"/>
        </w:rPr>
        <w:t xml:space="preserve">حسن زاده آملی، حسن،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 رازی، سید مرتضی بن داعی،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۲۴۱</w:t>
      </w:r>
    </w:p>
    <w:p>
      <w:pPr>
        <w:pStyle w:val="BookText"/>
        <w:rPr/>
      </w:pPr>
      <w:r>
        <w:rPr>
          <w:rFonts w:ascii="IRNazanin" w:hAnsi="IRNazanin" w:eastAsia="IRNazanin"/>
          <w:color w:val="111111"/>
          <w:sz w:val="28"/>
          <w:sz w:val="28"/>
          <w:szCs w:val="28"/>
          <w:rtl w:val="true"/>
          <w:lang w:bidi="fa-IR"/>
        </w:rPr>
        <w:t xml:space="preserve">حسنی، سید بن طاووس، </w:t>
      </w:r>
      <w:r>
        <w:rPr>
          <w:rFonts w:ascii="IRNazanin" w:hAnsi="IRNazanin" w:eastAsia="IRNazanin"/>
          <w:color w:val="111111"/>
          <w:sz w:val="28"/>
          <w:sz w:val="28"/>
          <w:szCs w:val="28"/>
          <w:lang w:bidi="fa-IR"/>
        </w:rPr>
        <w:t>۲۱۱</w:t>
      </w:r>
    </w:p>
    <w:p>
      <w:pPr>
        <w:pStyle w:val="BookText"/>
        <w:rPr/>
      </w:pPr>
      <w:r>
        <w:rPr>
          <w:rFonts w:ascii="IRNazanin" w:hAnsi="IRNazanin" w:eastAsia="IRNazanin"/>
          <w:color w:val="111111"/>
          <w:sz w:val="28"/>
          <w:sz w:val="28"/>
          <w:szCs w:val="28"/>
          <w:rtl w:val="true"/>
          <w:lang w:bidi="fa-IR"/>
        </w:rPr>
        <w:t xml:space="preserve">حسین بن روح، </w:t>
      </w:r>
      <w:r>
        <w:rPr>
          <w:rFonts w:ascii="IRNazanin" w:hAnsi="IRNazanin" w:eastAsia="IRNazanin"/>
          <w:color w:val="111111"/>
          <w:sz w:val="28"/>
          <w:sz w:val="28"/>
          <w:szCs w:val="28"/>
          <w:lang w:bidi="fa-IR"/>
        </w:rPr>
        <w:t>۲۱۷</w:t>
      </w:r>
    </w:p>
    <w:p>
      <w:pPr>
        <w:pStyle w:val="BookText"/>
        <w:rPr/>
      </w:pPr>
      <w:r>
        <w:rPr>
          <w:rFonts w:ascii="IRNazanin" w:hAnsi="IRNazanin" w:eastAsia="IRNazanin"/>
          <w:color w:val="111111"/>
          <w:sz w:val="28"/>
          <w:sz w:val="28"/>
          <w:szCs w:val="28"/>
          <w:rtl w:val="true"/>
          <w:lang w:bidi="fa-IR"/>
        </w:rPr>
        <w:t xml:space="preserve">حسینی دشتی، سید مصطفی، </w:t>
      </w:r>
      <w:r>
        <w:rPr>
          <w:rFonts w:ascii="IRNazanin" w:hAnsi="IRNazanin" w:eastAsia="IRNazanin"/>
          <w:color w:val="111111"/>
          <w:sz w:val="28"/>
          <w:sz w:val="28"/>
          <w:szCs w:val="28"/>
          <w:lang w:bidi="fa-IR"/>
        </w:rPr>
        <w:t>۲۸۵</w:t>
      </w:r>
    </w:p>
    <w:p>
      <w:pPr>
        <w:pStyle w:val="BookText"/>
        <w:rPr/>
      </w:pPr>
      <w:r>
        <w:rPr>
          <w:rFonts w:ascii="IRNazanin" w:hAnsi="IRNazanin" w:eastAsia="IRNazanin"/>
          <w:color w:val="111111"/>
          <w:sz w:val="28"/>
          <w:sz w:val="28"/>
          <w:szCs w:val="28"/>
          <w:rtl w:val="true"/>
          <w:lang w:bidi="fa-IR"/>
        </w:rPr>
        <w:t xml:space="preserve">حسینی، سیداحمد، </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۲۲۷</w:t>
      </w:r>
    </w:p>
    <w:p>
      <w:pPr>
        <w:pStyle w:val="BookText"/>
        <w:rPr/>
      </w:pPr>
      <w:r>
        <w:rPr>
          <w:rFonts w:ascii="IRNazanin" w:hAnsi="IRNazanin" w:eastAsia="IRNazanin"/>
          <w:color w:val="111111"/>
          <w:sz w:val="28"/>
          <w:sz w:val="28"/>
          <w:szCs w:val="28"/>
          <w:rtl w:val="true"/>
          <w:lang w:bidi="fa-IR"/>
        </w:rPr>
        <w:t xml:space="preserve">حقی بروسوی، اسماعیل، </w:t>
      </w:r>
      <w:r>
        <w:rPr>
          <w:rFonts w:ascii="IRNazanin" w:hAnsi="IRNazanin" w:eastAsia="IRNazanin"/>
          <w:color w:val="111111"/>
          <w:sz w:val="28"/>
          <w:sz w:val="28"/>
          <w:szCs w:val="28"/>
          <w:lang w:bidi="fa-IR"/>
        </w:rPr>
        <w:t>۱۲۴</w:t>
      </w:r>
    </w:p>
    <w:p>
      <w:pPr>
        <w:pStyle w:val="BookText"/>
        <w:rPr/>
      </w:pPr>
      <w:r>
        <w:rPr>
          <w:rFonts w:ascii="IRNazanin" w:hAnsi="IRNazanin" w:eastAsia="IRNazanin"/>
          <w:color w:val="111111"/>
          <w:sz w:val="28"/>
          <w:sz w:val="28"/>
          <w:szCs w:val="28"/>
          <w:rtl w:val="true"/>
          <w:lang w:bidi="fa-IR"/>
        </w:rPr>
        <w:t xml:space="preserve">حکمت، علی اصغر، </w:t>
      </w:r>
      <w:r>
        <w:rPr>
          <w:rFonts w:ascii="IRNazanin" w:hAnsi="IRNazanin" w:eastAsia="IRNazanin"/>
          <w:color w:val="111111"/>
          <w:sz w:val="28"/>
          <w:sz w:val="28"/>
          <w:szCs w:val="28"/>
          <w:lang w:bidi="fa-IR"/>
        </w:rPr>
        <w:t>۲۳۵</w:t>
      </w:r>
    </w:p>
    <w:p>
      <w:pPr>
        <w:pStyle w:val="BookText"/>
        <w:rPr/>
      </w:pPr>
      <w:r>
        <w:rPr>
          <w:rFonts w:ascii="IRNazanin" w:hAnsi="IRNazanin" w:eastAsia="IRNazanin"/>
          <w:color w:val="111111"/>
          <w:sz w:val="28"/>
          <w:sz w:val="28"/>
          <w:szCs w:val="28"/>
          <w:rtl w:val="true"/>
          <w:lang w:bidi="fa-IR"/>
        </w:rPr>
        <w:t xml:space="preserve">حلبی، ابوصلاح، </w:t>
      </w:r>
      <w:r>
        <w:rPr>
          <w:rFonts w:ascii="IRNazanin" w:hAnsi="IRNazanin" w:eastAsia="IRNazanin"/>
          <w:color w:val="111111"/>
          <w:sz w:val="28"/>
          <w:sz w:val="28"/>
          <w:szCs w:val="28"/>
          <w:lang w:bidi="fa-IR"/>
        </w:rPr>
        <w:t>۲۸۵</w:t>
      </w:r>
    </w:p>
    <w:p>
      <w:pPr>
        <w:pStyle w:val="BookText"/>
        <w:rPr/>
      </w:pPr>
      <w:r>
        <w:rPr>
          <w:rFonts w:ascii="IRNazanin" w:hAnsi="IRNazanin" w:eastAsia="IRNazanin"/>
          <w:color w:val="111111"/>
          <w:sz w:val="28"/>
          <w:sz w:val="28"/>
          <w:szCs w:val="28"/>
          <w:rtl w:val="true"/>
          <w:lang w:bidi="fa-IR"/>
        </w:rPr>
        <w:t xml:space="preserve">حلی، حسن بن سلیمان،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rtl w:val="true"/>
          <w:lang w:bidi="fa-IR"/>
        </w:rPr>
        <w:t xml:space="preserve">حمصی رازی،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 xml:space="preserve">حوا، </w:t>
      </w:r>
      <w:r>
        <w:rPr>
          <w:rFonts w:ascii="IRNazanin" w:hAnsi="IRNazanin" w:eastAsia="IRNazanin"/>
          <w:color w:val="111111"/>
          <w:sz w:val="28"/>
          <w:sz w:val="28"/>
          <w:szCs w:val="28"/>
          <w:lang w:bidi="fa-IR"/>
        </w:rPr>
        <w:t>۲۷۵</w:t>
      </w:r>
    </w:p>
    <w:p>
      <w:pPr>
        <w:pStyle w:val="BookText"/>
        <w:rPr/>
      </w:pPr>
      <w:r>
        <w:rPr>
          <w:rFonts w:ascii="IRNazanin" w:hAnsi="IRNazanin" w:eastAsia="IRNazanin"/>
          <w:color w:val="111111"/>
          <w:sz w:val="28"/>
          <w:sz w:val="28"/>
          <w:szCs w:val="28"/>
          <w:rtl w:val="true"/>
          <w:lang w:bidi="fa-IR"/>
        </w:rPr>
        <w:t xml:space="preserve">خرمشاهی، بهاء الدین، </w:t>
      </w:r>
      <w:r>
        <w:rPr>
          <w:rFonts w:ascii="IRNazanin" w:hAnsi="IRNazanin" w:eastAsia="IRNazanin"/>
          <w:color w:val="111111"/>
          <w:sz w:val="28"/>
          <w:sz w:val="28"/>
          <w:szCs w:val="28"/>
          <w:lang w:bidi="fa-IR"/>
        </w:rPr>
        <w:t>۲۵۳</w:t>
      </w:r>
    </w:p>
    <w:p>
      <w:pPr>
        <w:pStyle w:val="BookText"/>
        <w:rPr/>
      </w:pPr>
      <w:r>
        <w:rPr>
          <w:rFonts w:ascii="IRNazanin" w:hAnsi="IRNazanin" w:eastAsia="IRNazanin"/>
          <w:color w:val="111111"/>
          <w:sz w:val="28"/>
          <w:sz w:val="28"/>
          <w:szCs w:val="28"/>
          <w:rtl w:val="true"/>
          <w:lang w:bidi="fa-IR"/>
        </w:rPr>
        <w:t xml:space="preserve">خلاء، ابوعلی، </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 xml:space="preserve">خواجکی شیرازی، احمد بن محمد،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۱۴۶</w:t>
      </w:r>
    </w:p>
    <w:p>
      <w:pPr>
        <w:pStyle w:val="BookText"/>
        <w:rPr/>
      </w:pPr>
      <w:r>
        <w:rPr>
          <w:rFonts w:ascii="IRNazanin" w:hAnsi="IRNazanin" w:eastAsia="IRNazanin"/>
          <w:color w:val="111111"/>
          <w:sz w:val="28"/>
          <w:sz w:val="28"/>
          <w:szCs w:val="28"/>
          <w:rtl w:val="true"/>
          <w:lang w:bidi="fa-IR"/>
        </w:rPr>
        <w:t xml:space="preserve">خوانساری، سیدمحمدباقر، </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خویی، ابوالقاسم، </w:t>
      </w:r>
      <w:r>
        <w:rPr>
          <w:rFonts w:ascii="IRNazanin" w:hAnsi="IRNazanin" w:eastAsia="IRNazanin"/>
          <w:color w:val="111111"/>
          <w:sz w:val="28"/>
          <w:sz w:val="28"/>
          <w:szCs w:val="28"/>
          <w:lang w:bidi="fa-IR"/>
        </w:rPr>
        <w:t>۳۱۱</w:t>
      </w:r>
    </w:p>
    <w:p>
      <w:pPr>
        <w:pStyle w:val="BookText"/>
        <w:rPr/>
      </w:pPr>
      <w:r>
        <w:rPr>
          <w:rFonts w:ascii="IRNazanin" w:hAnsi="IRNazanin" w:eastAsia="IRNazanin"/>
          <w:color w:val="111111"/>
          <w:sz w:val="28"/>
          <w:sz w:val="28"/>
          <w:szCs w:val="28"/>
          <w:rtl w:val="true"/>
          <w:lang w:bidi="fa-IR"/>
        </w:rPr>
        <w:t xml:space="preserve">خیاط، ابوالحسین،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 xml:space="preserve">داوری، علی مراد، </w:t>
      </w:r>
      <w:r>
        <w:rPr>
          <w:rFonts w:ascii="IRNazanin" w:hAnsi="IRNazanin" w:eastAsia="IRNazanin"/>
          <w:color w:val="111111"/>
          <w:sz w:val="28"/>
          <w:sz w:val="28"/>
          <w:szCs w:val="28"/>
          <w:lang w:bidi="fa-IR"/>
        </w:rPr>
        <w:t>۲۳۵</w:t>
      </w:r>
    </w:p>
    <w:p>
      <w:pPr>
        <w:pStyle w:val="BookText"/>
        <w:rPr/>
      </w:pPr>
      <w:r>
        <w:rPr>
          <w:rFonts w:ascii="IRNazanin" w:hAnsi="IRNazanin" w:eastAsia="IRNazanin"/>
          <w:color w:val="111111"/>
          <w:sz w:val="28"/>
          <w:sz w:val="28"/>
          <w:szCs w:val="28"/>
          <w:rtl w:val="true"/>
          <w:lang w:bidi="fa-IR"/>
        </w:rPr>
        <w:t xml:space="preserve">دشتی، محمد، </w:t>
      </w:r>
      <w:r>
        <w:rPr>
          <w:rFonts w:ascii="IRNazanin" w:hAnsi="IRNazanin" w:eastAsia="IRNazanin"/>
          <w:color w:val="111111"/>
          <w:sz w:val="28"/>
          <w:sz w:val="28"/>
          <w:szCs w:val="28"/>
          <w:lang w:bidi="fa-IR"/>
        </w:rPr>
        <w:t>۲۵۸</w:t>
      </w:r>
    </w:p>
    <w:p>
      <w:pPr>
        <w:pStyle w:val="BookText"/>
        <w:rPr/>
      </w:pPr>
      <w:r>
        <w:rPr>
          <w:rFonts w:ascii="IRNazanin" w:hAnsi="IRNazanin" w:eastAsia="IRNazanin"/>
          <w:color w:val="111111"/>
          <w:sz w:val="28"/>
          <w:sz w:val="28"/>
          <w:szCs w:val="28"/>
          <w:rtl w:val="true"/>
          <w:lang w:bidi="fa-IR"/>
        </w:rPr>
        <w:t xml:space="preserve">دمشقی، غیلان،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۲۹۳</w:t>
      </w:r>
    </w:p>
    <w:p>
      <w:pPr>
        <w:pStyle w:val="BookText"/>
        <w:rPr/>
      </w:pPr>
      <w:r>
        <w:rPr>
          <w:rFonts w:ascii="IRNazanin" w:hAnsi="IRNazanin" w:eastAsia="IRNazanin"/>
          <w:color w:val="111111"/>
          <w:sz w:val="28"/>
          <w:sz w:val="28"/>
          <w:szCs w:val="28"/>
          <w:rtl w:val="true"/>
          <w:lang w:bidi="fa-IR"/>
        </w:rPr>
        <w:t xml:space="preserve">ذوالقرنین، </w:t>
      </w:r>
      <w:r>
        <w:rPr>
          <w:rFonts w:ascii="IRNazanin" w:hAnsi="IRNazanin" w:eastAsia="IRNazanin"/>
          <w:color w:val="111111"/>
          <w:sz w:val="28"/>
          <w:sz w:val="28"/>
          <w:szCs w:val="28"/>
          <w:lang w:bidi="fa-IR"/>
        </w:rPr>
        <w:t>۲۱۰</w:t>
      </w:r>
    </w:p>
    <w:p>
      <w:pPr>
        <w:pStyle w:val="BookText"/>
        <w:rPr/>
      </w:pPr>
      <w:r>
        <w:rPr>
          <w:rFonts w:ascii="IRNazanin" w:hAnsi="IRNazanin" w:eastAsia="IRNazanin"/>
          <w:color w:val="111111"/>
          <w:sz w:val="28"/>
          <w:sz w:val="28"/>
          <w:szCs w:val="28"/>
          <w:rtl w:val="true"/>
          <w:lang w:bidi="fa-IR"/>
        </w:rPr>
        <w:t xml:space="preserve">راغب اصفهانی،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۲۵۲</w:t>
      </w:r>
    </w:p>
    <w:p>
      <w:pPr>
        <w:pStyle w:val="BookText"/>
        <w:rPr/>
      </w:pPr>
      <w:r>
        <w:rPr>
          <w:rFonts w:ascii="IRNazanin" w:hAnsi="IRNazanin" w:eastAsia="IRNazanin"/>
          <w:color w:val="111111"/>
          <w:sz w:val="28"/>
          <w:sz w:val="28"/>
          <w:szCs w:val="28"/>
          <w:rtl w:val="true"/>
          <w:lang w:bidi="fa-IR"/>
        </w:rPr>
        <w:t xml:space="preserve">راوندی، عبدالله، </w:t>
      </w:r>
      <w:r>
        <w:rPr>
          <w:rFonts w:ascii="IRNazanin" w:hAnsi="IRNazanin" w:eastAsia="IRNazanin"/>
          <w:color w:val="111111"/>
          <w:sz w:val="28"/>
          <w:sz w:val="28"/>
          <w:szCs w:val="28"/>
          <w:lang w:bidi="fa-IR"/>
        </w:rPr>
        <w:t>۲۳۷</w:t>
      </w:r>
    </w:p>
    <w:p>
      <w:pPr>
        <w:pStyle w:val="BookText"/>
        <w:rPr/>
      </w:pPr>
      <w:r>
        <w:rPr>
          <w:rFonts w:ascii="IRNazanin" w:hAnsi="IRNazanin" w:eastAsia="IRNazanin"/>
          <w:color w:val="111111"/>
          <w:sz w:val="28"/>
          <w:sz w:val="28"/>
          <w:szCs w:val="28"/>
          <w:rtl w:val="true"/>
          <w:lang w:bidi="fa-IR"/>
        </w:rPr>
        <w:t xml:space="preserve">ربانی گلپایگانی، </w:t>
      </w:r>
      <w:r>
        <w:rPr>
          <w:rFonts w:ascii="IRNazanin" w:hAnsi="IRNazanin" w:eastAsia="IRNazanin"/>
          <w:color w:val="111111"/>
          <w:sz w:val="28"/>
          <w:sz w:val="28"/>
          <w:szCs w:val="28"/>
          <w:lang w:bidi="fa-IR"/>
        </w:rPr>
        <w:t>۲۶۸</w:t>
      </w:r>
    </w:p>
    <w:p>
      <w:pPr>
        <w:pStyle w:val="BookText"/>
        <w:rPr/>
      </w:pPr>
      <w:r>
        <w:rPr>
          <w:rFonts w:ascii="IRNazanin" w:hAnsi="IRNazanin" w:eastAsia="IRNazanin"/>
          <w:color w:val="111111"/>
          <w:sz w:val="28"/>
          <w:sz w:val="28"/>
          <w:szCs w:val="28"/>
          <w:rtl w:val="true"/>
          <w:lang w:bidi="fa-IR"/>
        </w:rPr>
        <w:t xml:space="preserve">رحیم پور، فروغ السادات،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۲۴۸</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رضا،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 xml:space="preserve">رفاعة بن موسی، </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rtl w:val="true"/>
          <w:lang w:bidi="fa-IR"/>
        </w:rPr>
        <w:t xml:space="preserve">رفیق العجم، </w:t>
      </w:r>
      <w:r>
        <w:rPr>
          <w:rFonts w:ascii="IRNazanin" w:hAnsi="IRNazanin" w:eastAsia="IRNazanin"/>
          <w:color w:val="111111"/>
          <w:sz w:val="28"/>
          <w:sz w:val="28"/>
          <w:szCs w:val="28"/>
          <w:lang w:bidi="fa-IR"/>
        </w:rPr>
        <w:t>۲۳۱</w:t>
      </w:r>
    </w:p>
    <w:p>
      <w:pPr>
        <w:pStyle w:val="BookText"/>
        <w:rPr/>
      </w:pPr>
      <w:r>
        <w:rPr>
          <w:rFonts w:ascii="IRNazanin" w:hAnsi="IRNazanin" w:eastAsia="IRNazanin"/>
          <w:color w:val="111111"/>
          <w:sz w:val="28"/>
          <w:sz w:val="28"/>
          <w:szCs w:val="28"/>
          <w:rtl w:val="true"/>
          <w:lang w:bidi="fa-IR"/>
        </w:rPr>
        <w:t xml:space="preserve">رمانی، علی بن عیسی، </w:t>
      </w:r>
      <w:r>
        <w:rPr>
          <w:rFonts w:ascii="IRNazanin" w:hAnsi="IRNazanin" w:eastAsia="IRNazanin"/>
          <w:color w:val="111111"/>
          <w:sz w:val="28"/>
          <w:sz w:val="28"/>
          <w:szCs w:val="28"/>
          <w:lang w:bidi="fa-IR"/>
        </w:rPr>
        <w:t>۲۹۳</w:t>
      </w:r>
    </w:p>
    <w:p>
      <w:pPr>
        <w:pStyle w:val="BookText"/>
        <w:rPr/>
      </w:pPr>
      <w:r>
        <w:rPr>
          <w:rFonts w:ascii="IRNazanin" w:hAnsi="IRNazanin" w:eastAsia="IRNazanin"/>
          <w:color w:val="111111"/>
          <w:sz w:val="28"/>
          <w:sz w:val="28"/>
          <w:szCs w:val="28"/>
          <w:rtl w:val="true"/>
          <w:lang w:bidi="fa-IR"/>
        </w:rPr>
        <w:t xml:space="preserve">روحانی، محمود، </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 xml:space="preserve">روضاتی، سید محمدعلی، </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 xml:space="preserve">ری شهری، محمد، </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 xml:space="preserve">زاهدی، جعفر، </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 xml:space="preserve">زبیدی،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 xml:space="preserve">زبیری، ابوعمرو، </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زجاج، </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زریاب، عباس، </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 xml:space="preserve">زمخشری،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 xml:space="preserve">زهرا سلام الله علیها ، </w:t>
      </w:r>
      <w:r>
        <w:rPr>
          <w:rFonts w:ascii="IRNazanin" w:hAnsi="IRNazanin" w:eastAsia="IRNazanin"/>
          <w:color w:val="111111"/>
          <w:sz w:val="28"/>
          <w:sz w:val="28"/>
          <w:szCs w:val="28"/>
          <w:lang w:bidi="fa-IR"/>
        </w:rPr>
        <w:t>۲۷۱</w:t>
      </w:r>
    </w:p>
    <w:p>
      <w:pPr>
        <w:pStyle w:val="BookText"/>
        <w:rPr/>
      </w:pPr>
      <w:r>
        <w:rPr>
          <w:rFonts w:ascii="IRNazanin" w:hAnsi="IRNazanin" w:eastAsia="IRNazanin"/>
          <w:color w:val="111111"/>
          <w:sz w:val="28"/>
          <w:sz w:val="28"/>
          <w:szCs w:val="28"/>
          <w:rtl w:val="true"/>
          <w:lang w:bidi="fa-IR"/>
        </w:rPr>
        <w:t xml:space="preserve">زیدان، جرجی، </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 xml:space="preserve">زید بن علی، </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 xml:space="preserve">سبحانی، جعفر،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۲۳۷</w:t>
      </w:r>
    </w:p>
    <w:p>
      <w:pPr>
        <w:pStyle w:val="BookText"/>
        <w:rPr/>
      </w:pPr>
      <w:r>
        <w:rPr>
          <w:rFonts w:ascii="IRNazanin" w:hAnsi="IRNazanin" w:eastAsia="IRNazanin"/>
          <w:color w:val="111111"/>
          <w:sz w:val="28"/>
          <w:sz w:val="28"/>
          <w:szCs w:val="28"/>
          <w:rtl w:val="true"/>
          <w:lang w:bidi="fa-IR"/>
        </w:rPr>
        <w:t xml:space="preserve">سبزواری، حاج ملاهادی،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۲۴۰</w:t>
      </w:r>
    </w:p>
    <w:p>
      <w:pPr>
        <w:pStyle w:val="BookText"/>
        <w:rPr/>
      </w:pPr>
      <w:r>
        <w:rPr>
          <w:rFonts w:ascii="IRNazanin" w:hAnsi="IRNazanin" w:eastAsia="IRNazanin"/>
          <w:color w:val="111111"/>
          <w:sz w:val="28"/>
          <w:sz w:val="28"/>
          <w:szCs w:val="28"/>
          <w:rtl w:val="true"/>
          <w:lang w:bidi="fa-IR"/>
        </w:rPr>
        <w:t xml:space="preserve">سعدی،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 xml:space="preserve">سقراط، </w:t>
      </w:r>
      <w:r>
        <w:rPr>
          <w:rFonts w:ascii="IRNazanin" w:hAnsi="IRNazanin" w:eastAsia="IRNazanin"/>
          <w:color w:val="111111"/>
          <w:sz w:val="28"/>
          <w:sz w:val="28"/>
          <w:szCs w:val="28"/>
          <w:lang w:bidi="fa-IR"/>
        </w:rPr>
        <w:t>۲۳۶</w:t>
      </w:r>
    </w:p>
    <w:p>
      <w:pPr>
        <w:pStyle w:val="BookText"/>
        <w:rPr/>
      </w:pPr>
      <w:r>
        <w:rPr>
          <w:rFonts w:ascii="IRNazanin" w:hAnsi="IRNazanin" w:eastAsia="IRNazanin"/>
          <w:color w:val="111111"/>
          <w:sz w:val="28"/>
          <w:sz w:val="28"/>
          <w:szCs w:val="28"/>
          <w:rtl w:val="true"/>
          <w:lang w:bidi="fa-IR"/>
        </w:rPr>
        <w:t xml:space="preserve">سلمان، </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rtl w:val="true"/>
          <w:lang w:bidi="fa-IR"/>
        </w:rPr>
        <w:t xml:space="preserve">سنگلجی، شریعت، </w:t>
      </w:r>
      <w:r>
        <w:rPr>
          <w:rFonts w:ascii="IRNazanin" w:hAnsi="IRNazanin" w:eastAsia="IRNazanin"/>
          <w:color w:val="111111"/>
          <w:sz w:val="28"/>
          <w:sz w:val="28"/>
          <w:szCs w:val="28"/>
          <w:lang w:bidi="fa-IR"/>
        </w:rPr>
        <w:t>۲۲۶</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سیاح احمد،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سیاسی، علی اکبر، </w:t>
      </w:r>
      <w:r>
        <w:rPr>
          <w:rFonts w:ascii="IRNazanin" w:hAnsi="IRNazanin" w:eastAsia="IRNazanin"/>
          <w:color w:val="111111"/>
          <w:sz w:val="28"/>
          <w:sz w:val="28"/>
          <w:szCs w:val="28"/>
          <w:lang w:bidi="fa-IR"/>
        </w:rPr>
        <w:t>۲۹۲</w:t>
      </w:r>
    </w:p>
    <w:p>
      <w:pPr>
        <w:pStyle w:val="BookText"/>
        <w:rPr/>
      </w:pPr>
      <w:r>
        <w:rPr>
          <w:rFonts w:ascii="IRNazanin" w:hAnsi="IRNazanin" w:eastAsia="IRNazanin"/>
          <w:color w:val="111111"/>
          <w:sz w:val="28"/>
          <w:sz w:val="28"/>
          <w:szCs w:val="28"/>
          <w:rtl w:val="true"/>
          <w:lang w:bidi="fa-IR"/>
        </w:rPr>
        <w:t xml:space="preserve">سیاهپوش، فرهاد، </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 xml:space="preserve">سی بل شاتوک، </w:t>
      </w:r>
      <w:r>
        <w:rPr>
          <w:rFonts w:ascii="IRNazanin" w:hAnsi="IRNazanin" w:eastAsia="IRNazanin"/>
          <w:color w:val="111111"/>
          <w:sz w:val="28"/>
          <w:sz w:val="28"/>
          <w:szCs w:val="28"/>
          <w:lang w:bidi="fa-IR"/>
        </w:rPr>
        <w:t>۲۳۵</w:t>
      </w:r>
    </w:p>
    <w:p>
      <w:pPr>
        <w:pStyle w:val="BookText"/>
        <w:rPr/>
      </w:pPr>
      <w:r>
        <w:rPr>
          <w:rFonts w:ascii="IRNazanin" w:hAnsi="IRNazanin" w:eastAsia="IRNazanin"/>
          <w:color w:val="111111"/>
          <w:sz w:val="28"/>
          <w:sz w:val="28"/>
          <w:szCs w:val="28"/>
          <w:rtl w:val="true"/>
          <w:lang w:bidi="fa-IR"/>
        </w:rPr>
        <w:t xml:space="preserve">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سیوری حلی، عبدالله،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w:t>
      </w:r>
    </w:p>
    <w:p>
      <w:pPr>
        <w:pStyle w:val="BookText"/>
        <w:rPr/>
      </w:pPr>
      <w:r>
        <w:rPr>
          <w:rFonts w:ascii="IRNazanin" w:hAnsi="IRNazanin" w:eastAsia="IRNazanin"/>
          <w:color w:val="111111"/>
          <w:sz w:val="28"/>
          <w:sz w:val="28"/>
          <w:szCs w:val="28"/>
          <w:rtl w:val="true"/>
          <w:lang w:bidi="fa-IR"/>
        </w:rPr>
        <w:t xml:space="preserve">سیوطی،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۳۱۰</w:t>
      </w:r>
    </w:p>
    <w:p>
      <w:pPr>
        <w:pStyle w:val="BookText"/>
        <w:rPr/>
      </w:pPr>
      <w:r>
        <w:rPr>
          <w:rFonts w:ascii="IRNazanin" w:hAnsi="IRNazanin" w:eastAsia="IRNazanin"/>
          <w:color w:val="111111"/>
          <w:sz w:val="28"/>
          <w:sz w:val="28"/>
          <w:szCs w:val="28"/>
          <w:rtl w:val="true"/>
          <w:lang w:bidi="fa-IR"/>
        </w:rPr>
        <w:t xml:space="preserve">شافعی، </w:t>
      </w:r>
      <w:r>
        <w:rPr>
          <w:rFonts w:ascii="IRNazanin" w:hAnsi="IRNazanin" w:eastAsia="IRNazanin"/>
          <w:color w:val="111111"/>
          <w:sz w:val="28"/>
          <w:sz w:val="28"/>
          <w:szCs w:val="28"/>
          <w:lang w:bidi="fa-IR"/>
        </w:rPr>
        <w:t>۳۱۰</w:t>
      </w:r>
    </w:p>
    <w:p>
      <w:pPr>
        <w:pStyle w:val="BookText"/>
        <w:rPr/>
      </w:pPr>
      <w:r>
        <w:rPr>
          <w:rFonts w:ascii="IRNazanin" w:hAnsi="IRNazanin" w:eastAsia="IRNazanin"/>
          <w:color w:val="111111"/>
          <w:sz w:val="28"/>
          <w:sz w:val="28"/>
          <w:szCs w:val="28"/>
          <w:rtl w:val="true"/>
          <w:lang w:bidi="fa-IR"/>
        </w:rPr>
        <w:t xml:space="preserve">شبر، سیدعبدالله،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۲۰۸</w:t>
      </w:r>
    </w:p>
    <w:p>
      <w:pPr>
        <w:pStyle w:val="BookText"/>
        <w:rPr/>
      </w:pPr>
      <w:r>
        <w:rPr>
          <w:rFonts w:ascii="IRNazanin" w:hAnsi="IRNazanin" w:eastAsia="IRNazanin"/>
          <w:color w:val="111111"/>
          <w:sz w:val="28"/>
          <w:sz w:val="28"/>
          <w:szCs w:val="28"/>
          <w:rtl w:val="true"/>
          <w:lang w:bidi="fa-IR"/>
        </w:rPr>
        <w:t xml:space="preserve">شعرانی،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۲۷۱</w:t>
      </w:r>
    </w:p>
    <w:p>
      <w:pPr>
        <w:pStyle w:val="BookText"/>
        <w:rPr/>
      </w:pPr>
      <w:r>
        <w:rPr>
          <w:rFonts w:ascii="IRNazanin" w:hAnsi="IRNazanin" w:eastAsia="IRNazanin"/>
          <w:color w:val="111111"/>
          <w:sz w:val="28"/>
          <w:sz w:val="28"/>
          <w:szCs w:val="28"/>
          <w:rtl w:val="true"/>
          <w:lang w:bidi="fa-IR"/>
        </w:rPr>
        <w:t xml:space="preserve">شکوه، دارا،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۲۳۶</w:t>
      </w:r>
    </w:p>
    <w:p>
      <w:pPr>
        <w:pStyle w:val="BookText"/>
        <w:rPr/>
      </w:pPr>
      <w:r>
        <w:rPr>
          <w:rFonts w:ascii="IRNazanin" w:hAnsi="IRNazanin" w:eastAsia="IRNazanin"/>
          <w:color w:val="111111"/>
          <w:sz w:val="28"/>
          <w:sz w:val="28"/>
          <w:szCs w:val="28"/>
          <w:rtl w:val="true"/>
          <w:lang w:bidi="fa-IR"/>
        </w:rPr>
        <w:t xml:space="preserve">شوشتری، قاضی نورالله،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شهرزوری، شمس الدین محمد،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۲۳۹</w:t>
      </w:r>
    </w:p>
    <w:p>
      <w:pPr>
        <w:pStyle w:val="BookText"/>
        <w:rPr/>
      </w:pPr>
      <w:r>
        <w:rPr>
          <w:rFonts w:ascii="IRNazanin" w:hAnsi="IRNazanin" w:eastAsia="IRNazanin"/>
          <w:color w:val="111111"/>
          <w:sz w:val="28"/>
          <w:sz w:val="28"/>
          <w:szCs w:val="28"/>
          <w:rtl w:val="true"/>
          <w:lang w:bidi="fa-IR"/>
        </w:rPr>
        <w:t xml:space="preserve">شهرستانی، عبدالکریم،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 xml:space="preserve">شهیدی، </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شیخ الرئیس ابن سینا</w:t>
      </w:r>
    </w:p>
    <w:p>
      <w:pPr>
        <w:pStyle w:val="BookText"/>
        <w:rPr/>
      </w:pPr>
      <w:r>
        <w:rPr>
          <w:rFonts w:ascii="IRNazanin" w:hAnsi="IRNazanin" w:eastAsia="IRNazanin"/>
          <w:color w:val="111111"/>
          <w:sz w:val="28"/>
          <w:sz w:val="28"/>
          <w:szCs w:val="28"/>
          <w:rtl w:val="true"/>
          <w:lang w:bidi="fa-IR"/>
        </w:rPr>
        <w:t>شیخ الطایفه به شیخ طوسی</w:t>
      </w:r>
    </w:p>
    <w:p>
      <w:pPr>
        <w:pStyle w:val="BookText"/>
        <w:rPr/>
      </w:pPr>
      <w:r>
        <w:rPr>
          <w:rFonts w:ascii="IRNazanin" w:hAnsi="IRNazanin" w:eastAsia="IRNazanin"/>
          <w:color w:val="111111"/>
          <w:sz w:val="28"/>
          <w:sz w:val="28"/>
          <w:szCs w:val="28"/>
          <w:rtl w:val="true"/>
          <w:lang w:bidi="fa-IR"/>
        </w:rPr>
        <w:t xml:space="preserve">شیخ صدوق،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اکثر صفحات کتاب</w:t>
      </w:r>
    </w:p>
    <w:p>
      <w:pPr>
        <w:pStyle w:val="BookText"/>
        <w:rPr/>
      </w:pPr>
      <w:r>
        <w:rPr>
          <w:rFonts w:ascii="IRNazanin" w:hAnsi="IRNazanin" w:eastAsia="IRNazanin"/>
          <w:color w:val="111111"/>
          <w:sz w:val="28"/>
          <w:sz w:val="28"/>
          <w:szCs w:val="28"/>
          <w:rtl w:val="true"/>
          <w:lang w:bidi="fa-IR"/>
        </w:rPr>
        <w:t xml:space="preserve">شیخ مفید،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جمال الدین، </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rtl w:val="true"/>
          <w:lang w:bidi="fa-IR"/>
        </w:rPr>
        <w:t xml:space="preserve">شیرازی، صدرالدین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۱۴۵</w:t>
      </w:r>
    </w:p>
    <w:p>
      <w:pPr>
        <w:pStyle w:val="BookText"/>
        <w:rPr/>
      </w:pP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۲۳۹</w:t>
      </w:r>
    </w:p>
    <w:p>
      <w:pPr>
        <w:pStyle w:val="BookText"/>
        <w:rPr/>
      </w:pPr>
      <w:r>
        <w:rPr>
          <w:rFonts w:ascii="IRNazanin" w:hAnsi="IRNazanin" w:eastAsia="IRNazanin"/>
          <w:color w:val="111111"/>
          <w:sz w:val="28"/>
          <w:sz w:val="28"/>
          <w:szCs w:val="28"/>
          <w:rtl w:val="true"/>
          <w:lang w:bidi="fa-IR"/>
        </w:rPr>
        <w:t xml:space="preserve">شیرازی، عبدالرحمن، </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 xml:space="preserve">شیرازی، قطب الدین،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۲۳۹</w:t>
      </w:r>
    </w:p>
    <w:p>
      <w:pPr>
        <w:pStyle w:val="BookText"/>
        <w:rPr/>
      </w:pPr>
      <w:r>
        <w:rPr>
          <w:rFonts w:ascii="IRNazanin" w:hAnsi="IRNazanin" w:eastAsia="IRNazanin"/>
          <w:color w:val="111111"/>
          <w:sz w:val="28"/>
          <w:sz w:val="28"/>
          <w:szCs w:val="28"/>
          <w:rtl w:val="true"/>
          <w:lang w:bidi="fa-IR"/>
        </w:rPr>
        <w:t xml:space="preserve">صاحب الامر ،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قبه، </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 xml:space="preserve">صدر حاج سیدجوادی، احمد، </w:t>
      </w:r>
      <w:r>
        <w:rPr>
          <w:rFonts w:ascii="IRNazanin" w:hAnsi="IRNazanin" w:eastAsia="IRNazanin"/>
          <w:color w:val="111111"/>
          <w:sz w:val="28"/>
          <w:sz w:val="28"/>
          <w:szCs w:val="28"/>
          <w:lang w:bidi="fa-IR"/>
        </w:rPr>
        <w:t>۲۳۵</w:t>
      </w:r>
    </w:p>
    <w:p>
      <w:pPr>
        <w:pStyle w:val="BookText"/>
        <w:rPr/>
      </w:pPr>
      <w:r>
        <w:rPr>
          <w:rFonts w:ascii="IRNazanin" w:hAnsi="IRNazanin" w:eastAsia="IRNazanin"/>
          <w:color w:val="111111"/>
          <w:sz w:val="28"/>
          <w:sz w:val="28"/>
          <w:szCs w:val="28"/>
          <w:rtl w:val="true"/>
          <w:lang w:bidi="fa-IR"/>
        </w:rPr>
        <w:t xml:space="preserve">ضیاء الدین علی عراقی،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 xml:space="preserve">طالقانی، ملانظرعلی، </w:t>
      </w:r>
      <w:r>
        <w:rPr>
          <w:rFonts w:ascii="IRNazanin" w:hAnsi="IRNazanin" w:eastAsia="IRNazanin"/>
          <w:color w:val="111111"/>
          <w:sz w:val="28"/>
          <w:sz w:val="28"/>
          <w:szCs w:val="28"/>
          <w:lang w:bidi="fa-IR"/>
        </w:rPr>
        <w:t>۲۵۵</w:t>
      </w:r>
    </w:p>
    <w:p>
      <w:pPr>
        <w:pStyle w:val="BookText"/>
        <w:rPr/>
      </w:pPr>
      <w:r>
        <w:rPr>
          <w:rFonts w:ascii="IRNazanin" w:hAnsi="IRNazanin" w:eastAsia="IRNazanin"/>
          <w:color w:val="111111"/>
          <w:sz w:val="28"/>
          <w:sz w:val="28"/>
          <w:szCs w:val="28"/>
          <w:rtl w:val="true"/>
          <w:lang w:bidi="fa-IR"/>
        </w:rPr>
        <w:t xml:space="preserve">طباطبایی، سیدمحمدحسین،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۲۸۵</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w:t>
      </w:r>
    </w:p>
    <w:p>
      <w:pPr>
        <w:pStyle w:val="BookText"/>
        <w:rPr/>
      </w:pPr>
      <w:r>
        <w:rPr>
          <w:rFonts w:ascii="IRNazanin" w:hAnsi="IRNazanin" w:eastAsia="IRNazanin"/>
          <w:color w:val="111111"/>
          <w:sz w:val="28"/>
          <w:sz w:val="28"/>
          <w:szCs w:val="28"/>
          <w:rtl w:val="true"/>
          <w:lang w:bidi="fa-IR"/>
        </w:rPr>
        <w:t xml:space="preserve">طبرانی، سلیمان بن احمد، </w:t>
      </w:r>
      <w:r>
        <w:rPr>
          <w:rFonts w:ascii="IRNazanin" w:hAnsi="IRNazanin" w:eastAsia="IRNazanin"/>
          <w:color w:val="111111"/>
          <w:sz w:val="28"/>
          <w:sz w:val="28"/>
          <w:szCs w:val="28"/>
          <w:lang w:bidi="fa-IR"/>
        </w:rPr>
        <w:t>۲۱۱</w:t>
      </w:r>
    </w:p>
    <w:p>
      <w:pPr>
        <w:pStyle w:val="BookText"/>
        <w:rPr/>
      </w:pPr>
      <w:r>
        <w:rPr>
          <w:rFonts w:ascii="IRNazanin" w:hAnsi="IRNazanin" w:eastAsia="IRNazanin"/>
          <w:color w:val="111111"/>
          <w:sz w:val="28"/>
          <w:sz w:val="28"/>
          <w:szCs w:val="28"/>
          <w:rtl w:val="true"/>
          <w:lang w:bidi="fa-IR"/>
        </w:rPr>
        <w:t xml:space="preserve">طبرسی، احمد بن علی، </w:t>
      </w:r>
      <w:r>
        <w:rPr>
          <w:rFonts w:ascii="IRNazanin" w:hAnsi="IRNazanin" w:eastAsia="IRNazanin"/>
          <w:color w:val="111111"/>
          <w:sz w:val="28"/>
          <w:sz w:val="28"/>
          <w:szCs w:val="28"/>
          <w:lang w:bidi="fa-IR"/>
        </w:rPr>
        <w:t>۲۷۱</w:t>
      </w:r>
    </w:p>
    <w:p>
      <w:pPr>
        <w:pStyle w:val="BookText"/>
        <w:rPr/>
      </w:pP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۱۲۴</w:t>
      </w:r>
    </w:p>
    <w:p>
      <w:pPr>
        <w:pStyle w:val="BookText"/>
        <w:rPr/>
      </w:pPr>
      <w:r>
        <w:rPr>
          <w:rFonts w:ascii="IRNazanin" w:hAnsi="IRNazanin" w:eastAsia="IRNazanin"/>
          <w:color w:val="111111"/>
          <w:sz w:val="28"/>
          <w:sz w:val="28"/>
          <w:szCs w:val="28"/>
          <w:rtl w:val="true"/>
          <w:lang w:bidi="fa-IR"/>
        </w:rPr>
        <w:t xml:space="preserve">طبسی، محمدرضا،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۲۰۸</w:t>
      </w:r>
    </w:p>
    <w:p>
      <w:pPr>
        <w:pStyle w:val="BookText"/>
        <w:rPr/>
      </w:pPr>
      <w:r>
        <w:rPr>
          <w:rFonts w:ascii="IRNazanin" w:hAnsi="IRNazanin" w:eastAsia="IRNazanin"/>
          <w:color w:val="111111"/>
          <w:sz w:val="28"/>
          <w:sz w:val="28"/>
          <w:szCs w:val="28"/>
          <w:rtl w:val="true"/>
          <w:lang w:bidi="fa-IR"/>
        </w:rPr>
        <w:t xml:space="preserve">طریحی، فخرالدین،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 xml:space="preserve">طوسی، خواجه نصیرالدین،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۲۶۱</w:t>
      </w:r>
    </w:p>
    <w:p>
      <w:pPr>
        <w:pStyle w:val="BookText"/>
        <w:rPr/>
      </w:pPr>
      <w:r>
        <w:rPr>
          <w:rFonts w:ascii="IRNazanin" w:hAnsi="IRNazanin" w:eastAsia="IRNazanin"/>
          <w:color w:val="111111"/>
          <w:sz w:val="28"/>
          <w:sz w:val="28"/>
          <w:szCs w:val="28"/>
          <w:lang w:bidi="fa-IR"/>
        </w:rPr>
        <w:t>۲۹۰</w:t>
      </w:r>
    </w:p>
    <w:p>
      <w:pPr>
        <w:pStyle w:val="BookText"/>
        <w:rPr/>
      </w:pPr>
      <w:r>
        <w:rPr>
          <w:rFonts w:ascii="IRNazanin" w:hAnsi="IRNazanin" w:eastAsia="IRNazanin"/>
          <w:color w:val="111111"/>
          <w:sz w:val="28"/>
          <w:sz w:val="28"/>
          <w:szCs w:val="28"/>
          <w:rtl w:val="true"/>
          <w:lang w:bidi="fa-IR"/>
        </w:rPr>
        <w:t xml:space="preserve">طیب، سیدعبدالحسین، </w:t>
      </w:r>
      <w:r>
        <w:rPr>
          <w:rFonts w:ascii="IRNazanin" w:hAnsi="IRNazanin" w:eastAsia="IRNazanin"/>
          <w:color w:val="111111"/>
          <w:sz w:val="28"/>
          <w:sz w:val="28"/>
          <w:szCs w:val="28"/>
          <w:lang w:bidi="fa-IR"/>
        </w:rPr>
        <w:t>۲۰۴</w:t>
      </w:r>
    </w:p>
    <w:p>
      <w:pPr>
        <w:pStyle w:val="BookText"/>
        <w:rPr/>
      </w:pPr>
      <w:r>
        <w:rPr>
          <w:rFonts w:ascii="IRNazanin" w:hAnsi="IRNazanin" w:eastAsia="IRNazanin"/>
          <w:color w:val="111111"/>
          <w:sz w:val="28"/>
          <w:sz w:val="28"/>
          <w:szCs w:val="28"/>
          <w:rtl w:val="true"/>
          <w:lang w:bidi="fa-IR"/>
        </w:rPr>
        <w:t xml:space="preserve">عاص بن وائل، </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rtl w:val="true"/>
          <w:lang w:bidi="fa-IR"/>
        </w:rPr>
        <w:t xml:space="preserve">بغدادی، عبدالقاهر،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۲۹۳</w:t>
      </w:r>
    </w:p>
    <w:p>
      <w:pPr>
        <w:pStyle w:val="BookText"/>
        <w:rPr/>
      </w:pPr>
      <w:r>
        <w:rPr>
          <w:rFonts w:ascii="IRNazanin" w:hAnsi="IRNazanin" w:eastAsia="IRNazanin"/>
          <w:color w:val="111111"/>
          <w:sz w:val="28"/>
          <w:sz w:val="28"/>
          <w:szCs w:val="28"/>
          <w:rtl w:val="true"/>
          <w:lang w:bidi="fa-IR"/>
        </w:rPr>
        <w:t xml:space="preserve">عبدالکریم عثمان، </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 xml:space="preserve">عبدالله بن جعفر، </w:t>
      </w:r>
      <w:r>
        <w:rPr>
          <w:rFonts w:ascii="IRNazanin" w:hAnsi="IRNazanin" w:eastAsia="IRNazanin"/>
          <w:color w:val="111111"/>
          <w:sz w:val="28"/>
          <w:sz w:val="28"/>
          <w:szCs w:val="28"/>
          <w:lang w:bidi="fa-IR"/>
        </w:rPr>
        <w:t>۳۱۰</w:t>
      </w:r>
    </w:p>
    <w:p>
      <w:pPr>
        <w:pStyle w:val="BookText"/>
        <w:rPr/>
      </w:pPr>
      <w:r>
        <w:rPr>
          <w:rFonts w:ascii="IRNazanin" w:hAnsi="IRNazanin" w:eastAsia="IRNazanin"/>
          <w:color w:val="111111"/>
          <w:sz w:val="28"/>
          <w:sz w:val="28"/>
          <w:szCs w:val="28"/>
          <w:rtl w:val="true"/>
          <w:lang w:bidi="fa-IR"/>
        </w:rPr>
        <w:t xml:space="preserve">عثمان،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 xml:space="preserve">عدنان درویش، </w:t>
      </w:r>
      <w:r>
        <w:rPr>
          <w:rFonts w:ascii="IRNazanin" w:hAnsi="IRNazanin" w:eastAsia="IRNazanin"/>
          <w:color w:val="111111"/>
          <w:sz w:val="28"/>
          <w:sz w:val="28"/>
          <w:szCs w:val="28"/>
          <w:lang w:bidi="fa-IR"/>
        </w:rPr>
        <w:t>۲۳۱</w:t>
      </w:r>
    </w:p>
    <w:p>
      <w:pPr>
        <w:pStyle w:val="BookText"/>
        <w:rPr/>
      </w:pPr>
      <w:r>
        <w:rPr>
          <w:rFonts w:ascii="IRNazanin" w:hAnsi="IRNazanin" w:eastAsia="IRNazanin"/>
          <w:color w:val="111111"/>
          <w:sz w:val="28"/>
          <w:sz w:val="28"/>
          <w:szCs w:val="28"/>
          <w:rtl w:val="true"/>
          <w:lang w:bidi="fa-IR"/>
        </w:rPr>
        <w:t xml:space="preserve">ثقفی، عروة بن مسعود، </w:t>
      </w:r>
      <w:r>
        <w:rPr>
          <w:rFonts w:ascii="IRNazanin" w:hAnsi="IRNazanin" w:eastAsia="IRNazanin"/>
          <w:color w:val="111111"/>
          <w:sz w:val="28"/>
          <w:sz w:val="28"/>
          <w:szCs w:val="28"/>
          <w:lang w:bidi="fa-IR"/>
        </w:rPr>
        <w:t>۲۶۹</w:t>
      </w:r>
    </w:p>
    <w:p>
      <w:pPr>
        <w:pStyle w:val="BookText"/>
        <w:rPr/>
      </w:pPr>
      <w:r>
        <w:rPr>
          <w:rFonts w:ascii="IRNazanin" w:hAnsi="IRNazanin" w:eastAsia="IRNazanin"/>
          <w:color w:val="111111"/>
          <w:sz w:val="28"/>
          <w:sz w:val="28"/>
          <w:szCs w:val="28"/>
          <w:rtl w:val="true"/>
          <w:lang w:bidi="fa-IR"/>
        </w:rPr>
        <w:t xml:space="preserve">عزیر علی،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w:t>
      </w:r>
    </w:p>
    <w:p>
      <w:pPr>
        <w:pStyle w:val="BookText"/>
        <w:rPr/>
      </w:pPr>
      <w:r>
        <w:rPr>
          <w:rFonts w:ascii="IRNazanin" w:hAnsi="IRNazanin" w:eastAsia="IRNazanin"/>
          <w:color w:val="111111"/>
          <w:sz w:val="28"/>
          <w:sz w:val="28"/>
          <w:szCs w:val="28"/>
          <w:rtl w:val="true"/>
          <w:lang w:bidi="fa-IR"/>
        </w:rPr>
        <w:t xml:space="preserve">عسکری، ابوهلال، </w:t>
      </w:r>
      <w:r>
        <w:rPr>
          <w:rFonts w:ascii="IRNazanin" w:hAnsi="IRNazanin" w:eastAsia="IRNazanin"/>
          <w:color w:val="111111"/>
          <w:sz w:val="28"/>
          <w:sz w:val="28"/>
          <w:szCs w:val="28"/>
          <w:lang w:bidi="fa-IR"/>
        </w:rPr>
        <w:t>۲۳۰</w:t>
      </w:r>
    </w:p>
    <w:p>
      <w:pPr>
        <w:pStyle w:val="BookText"/>
        <w:rPr/>
      </w:pPr>
      <w:r>
        <w:rPr>
          <w:rFonts w:ascii="IRNazanin" w:hAnsi="IRNazanin" w:eastAsia="IRNazanin"/>
          <w:color w:val="111111"/>
          <w:sz w:val="28"/>
          <w:sz w:val="28"/>
          <w:szCs w:val="28"/>
          <w:rtl w:val="true"/>
          <w:lang w:bidi="fa-IR"/>
        </w:rPr>
        <w:t xml:space="preserve">علاف، ابوالهذیل،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۲۶۴</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یوسف بن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۲۶۷</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۲۷۳</w:t>
      </w:r>
    </w:p>
    <w:p>
      <w:pPr>
        <w:pStyle w:val="BookText"/>
        <w:rPr/>
      </w:pPr>
      <w:r>
        <w:rPr>
          <w:rFonts w:ascii="IRNazanin" w:hAnsi="IRNazanin" w:eastAsia="IRNazanin"/>
          <w:color w:val="111111"/>
          <w:sz w:val="28"/>
          <w:sz w:val="28"/>
          <w:szCs w:val="28"/>
          <w:rtl w:val="true"/>
          <w:lang w:bidi="fa-IR"/>
        </w:rPr>
        <w:t xml:space="preserve">علاء الدین متقی هندی،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۲۱۱</w:t>
      </w:r>
    </w:p>
    <w:p>
      <w:pPr>
        <w:pStyle w:val="BookText"/>
        <w:rPr/>
      </w:pPr>
      <w:r>
        <w:rPr>
          <w:rFonts w:ascii="IRNazanin" w:hAnsi="IRNazanin" w:eastAsia="IRNazanin"/>
          <w:color w:val="111111"/>
          <w:sz w:val="28"/>
          <w:sz w:val="28"/>
          <w:szCs w:val="28"/>
          <w:rtl w:val="true"/>
          <w:lang w:bidi="fa-IR"/>
        </w:rPr>
        <w:t xml:space="preserve">قمی، علی بن ابراهیم،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rtl w:val="true"/>
          <w:lang w:bidi="fa-IR"/>
        </w:rPr>
        <w:t xml:space="preserve">علی بن الحسین علیه السلام، </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rtl w:val="true"/>
          <w:lang w:bidi="fa-IR"/>
        </w:rPr>
        <w:t xml:space="preserve">علی بن محمد،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عمرو بن العلاء، </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عمرو بن عبید،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۲۶۶</w:t>
      </w:r>
    </w:p>
    <w:p>
      <w:pPr>
        <w:pStyle w:val="BookText"/>
        <w:rPr/>
      </w:pPr>
      <w:r>
        <w:rPr>
          <w:rFonts w:ascii="IRNazanin" w:hAnsi="IRNazanin" w:eastAsia="IRNazanin"/>
          <w:color w:val="111111"/>
          <w:sz w:val="28"/>
          <w:sz w:val="28"/>
          <w:szCs w:val="28"/>
          <w:rtl w:val="true"/>
          <w:lang w:bidi="fa-IR"/>
        </w:rPr>
        <w:t xml:space="preserve">عمروعاص،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 xml:space="preserve">عیسی ، </w:t>
      </w:r>
      <w:r>
        <w:rPr>
          <w:rFonts w:ascii="IRNazanin" w:hAnsi="IRNazanin" w:eastAsia="IRNazanin"/>
          <w:color w:val="111111"/>
          <w:sz w:val="28"/>
          <w:sz w:val="28"/>
          <w:szCs w:val="28"/>
          <w:lang w:bidi="fa-IR"/>
        </w:rPr>
        <w:t>۲۱۰</w:t>
      </w:r>
    </w:p>
    <w:p>
      <w:pPr>
        <w:pStyle w:val="BookText"/>
        <w:rPr/>
      </w:pPr>
      <w:r>
        <w:rPr>
          <w:rFonts w:ascii="IRNazanin" w:hAnsi="IRNazanin" w:eastAsia="IRNazanin"/>
          <w:color w:val="111111"/>
          <w:sz w:val="28"/>
          <w:sz w:val="28"/>
          <w:szCs w:val="28"/>
          <w:rtl w:val="true"/>
          <w:lang w:bidi="fa-IR"/>
        </w:rPr>
        <w:t xml:space="preserve">غزالی،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فاضل مقداد، سیوری حلی، عبدالله</w:t>
      </w:r>
    </w:p>
    <w:p>
      <w:pPr>
        <w:pStyle w:val="BookText"/>
        <w:rPr/>
      </w:pPr>
      <w:r>
        <w:rPr>
          <w:rFonts w:ascii="IRNazanin" w:hAnsi="IRNazanin" w:eastAsia="IRNazanin"/>
          <w:color w:val="111111"/>
          <w:sz w:val="28"/>
          <w:sz w:val="28"/>
          <w:szCs w:val="28"/>
          <w:rtl w:val="true"/>
          <w:lang w:bidi="fa-IR"/>
        </w:rPr>
        <w:t xml:space="preserve">فاضلی، محمد عبدالقادر، </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 xml:space="preserve">فخر رازی،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فراهیدی،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۲۳۰</w:t>
      </w:r>
    </w:p>
    <w:p>
      <w:pPr>
        <w:pStyle w:val="BookText"/>
        <w:rPr/>
      </w:pPr>
      <w:r>
        <w:rPr>
          <w:rFonts w:ascii="IRNazanin" w:hAnsi="IRNazanin" w:eastAsia="IRNazanin"/>
          <w:color w:val="111111"/>
          <w:sz w:val="28"/>
          <w:sz w:val="28"/>
          <w:szCs w:val="28"/>
          <w:rtl w:val="true"/>
          <w:lang w:bidi="fa-IR"/>
        </w:rPr>
        <w:t xml:space="preserve">فرشاد، محسن، </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 xml:space="preserve">فرعون، </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 xml:space="preserve">فرمانی، الهه، </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 xml:space="preserve">فضل بن شاذان،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۲۸۹</w:t>
      </w:r>
    </w:p>
    <w:p>
      <w:pPr>
        <w:pStyle w:val="BookText"/>
        <w:rPr/>
      </w:pPr>
      <w:r>
        <w:rPr>
          <w:rFonts w:ascii="IRNazanin" w:hAnsi="IRNazanin" w:eastAsia="IRNazanin"/>
          <w:color w:val="111111"/>
          <w:sz w:val="28"/>
          <w:sz w:val="28"/>
          <w:szCs w:val="28"/>
          <w:rtl w:val="true"/>
          <w:lang w:bidi="fa-IR"/>
        </w:rPr>
        <w:t xml:space="preserve">فلسفی، </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فهری، احمد، </w:t>
      </w:r>
      <w:r>
        <w:rPr>
          <w:rFonts w:ascii="IRNazanin" w:hAnsi="IRNazanin" w:eastAsia="IRNazanin"/>
          <w:color w:val="111111"/>
          <w:sz w:val="28"/>
          <w:sz w:val="28"/>
          <w:szCs w:val="28"/>
          <w:lang w:bidi="fa-IR"/>
        </w:rPr>
        <w:t>۲۹۲</w:t>
      </w:r>
    </w:p>
    <w:p>
      <w:pPr>
        <w:pStyle w:val="BookText"/>
        <w:rPr/>
      </w:pPr>
      <w:r>
        <w:rPr>
          <w:rFonts w:ascii="IRNazanin" w:hAnsi="IRNazanin" w:eastAsia="IRNazanin"/>
          <w:color w:val="111111"/>
          <w:sz w:val="28"/>
          <w:sz w:val="28"/>
          <w:szCs w:val="28"/>
          <w:rtl w:val="true"/>
          <w:lang w:bidi="fa-IR"/>
        </w:rPr>
        <w:t xml:space="preserve">فیثاغورس،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۲۳۶</w:t>
      </w:r>
    </w:p>
    <w:p>
      <w:pPr>
        <w:pStyle w:val="BookText"/>
        <w:rPr/>
      </w:pPr>
      <w:r>
        <w:rPr>
          <w:rFonts w:ascii="IRNazanin" w:hAnsi="IRNazanin" w:eastAsia="IRNazanin"/>
          <w:color w:val="111111"/>
          <w:sz w:val="28"/>
          <w:sz w:val="28"/>
          <w:szCs w:val="28"/>
          <w:rtl w:val="true"/>
          <w:lang w:bidi="fa-IR"/>
        </w:rPr>
        <w:t xml:space="preserve">فیروزآبادی،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۲۳۰</w:t>
      </w:r>
    </w:p>
    <w:p>
      <w:pPr>
        <w:pStyle w:val="BookText"/>
        <w:rPr/>
      </w:pPr>
      <w:r>
        <w:rPr>
          <w:rFonts w:ascii="IRNazanin" w:hAnsi="IRNazanin" w:eastAsia="IRNazanin"/>
          <w:color w:val="111111"/>
          <w:sz w:val="28"/>
          <w:sz w:val="28"/>
          <w:szCs w:val="28"/>
          <w:rtl w:val="true"/>
          <w:lang w:bidi="fa-IR"/>
        </w:rPr>
        <w:t xml:space="preserve">فیض الاسلام، </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 xml:space="preserve">فیض کاشانی، ملامحسن،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۲۱۳</w:t>
      </w:r>
    </w:p>
    <w:p>
      <w:pPr>
        <w:pStyle w:val="BookText"/>
        <w:rPr/>
      </w:pPr>
      <w:r>
        <w:rPr>
          <w:rFonts w:ascii="IRNazanin" w:hAnsi="IRNazanin" w:eastAsia="IRNazanin"/>
          <w:color w:val="111111"/>
          <w:sz w:val="28"/>
          <w:sz w:val="28"/>
          <w:szCs w:val="28"/>
          <w:rtl w:val="true"/>
          <w:lang w:bidi="fa-IR"/>
        </w:rPr>
        <w:t xml:space="preserve">قائم علی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بن علاء، </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قحطی، محمد بن احمد، </w:t>
      </w:r>
      <w:r>
        <w:rPr>
          <w:rFonts w:ascii="IRNazanin" w:hAnsi="IRNazanin" w:eastAsia="IRNazanin"/>
          <w:color w:val="111111"/>
          <w:sz w:val="28"/>
          <w:sz w:val="28"/>
          <w:szCs w:val="28"/>
          <w:lang w:bidi="fa-IR"/>
        </w:rPr>
        <w:t>۲۳۷</w:t>
      </w:r>
    </w:p>
    <w:p>
      <w:pPr>
        <w:pStyle w:val="BookText"/>
        <w:rPr/>
      </w:pPr>
      <w:r>
        <w:rPr>
          <w:rFonts w:ascii="IRNazanin" w:hAnsi="IRNazanin" w:eastAsia="IRNazanin"/>
          <w:color w:val="111111"/>
          <w:sz w:val="28"/>
          <w:sz w:val="28"/>
          <w:szCs w:val="28"/>
          <w:rtl w:val="true"/>
          <w:lang w:bidi="fa-IR"/>
        </w:rPr>
        <w:t xml:space="preserve">قرشی، سید علی اکبر، </w:t>
      </w:r>
      <w:r>
        <w:rPr>
          <w:rFonts w:ascii="IRNazanin" w:hAnsi="IRNazanin" w:eastAsia="IRNazanin"/>
          <w:color w:val="111111"/>
          <w:sz w:val="28"/>
          <w:sz w:val="28"/>
          <w:szCs w:val="28"/>
          <w:lang w:bidi="fa-IR"/>
        </w:rPr>
        <w:t>۲۸۹</w:t>
      </w:r>
    </w:p>
    <w:p>
      <w:pPr>
        <w:pStyle w:val="BookText"/>
        <w:rPr/>
      </w:pPr>
      <w:r>
        <w:rPr>
          <w:rFonts w:ascii="IRNazanin" w:hAnsi="IRNazanin" w:eastAsia="IRNazanin"/>
          <w:color w:val="111111"/>
          <w:sz w:val="28"/>
          <w:sz w:val="28"/>
          <w:szCs w:val="28"/>
          <w:rtl w:val="true"/>
          <w:lang w:bidi="fa-IR"/>
        </w:rPr>
        <w:t xml:space="preserve">قرطبی،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۲۱۱</w:t>
      </w:r>
    </w:p>
    <w:p>
      <w:pPr>
        <w:pStyle w:val="BookText"/>
        <w:rPr/>
      </w:pPr>
      <w:r>
        <w:rPr>
          <w:rFonts w:ascii="IRNazanin" w:hAnsi="IRNazanin" w:eastAsia="IRNazanin"/>
          <w:color w:val="111111"/>
          <w:sz w:val="28"/>
          <w:sz w:val="28"/>
          <w:szCs w:val="28"/>
          <w:rtl w:val="true"/>
          <w:lang w:bidi="fa-IR"/>
        </w:rPr>
        <w:t xml:space="preserve">قمی، محدث، </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 xml:space="preserve">قوشجی، ملاعلی،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۲۶۴</w:t>
      </w:r>
    </w:p>
    <w:p>
      <w:pPr>
        <w:pStyle w:val="BookText"/>
        <w:rPr/>
      </w:pPr>
      <w:r>
        <w:rPr>
          <w:rFonts w:ascii="IRNazanin" w:hAnsi="IRNazanin" w:eastAsia="IRNazanin"/>
          <w:color w:val="111111"/>
          <w:sz w:val="28"/>
          <w:sz w:val="28"/>
          <w:szCs w:val="28"/>
          <w:rtl w:val="true"/>
          <w:lang w:bidi="fa-IR"/>
        </w:rPr>
        <w:t xml:space="preserve">قیومی، جواد، </w:t>
      </w:r>
      <w:r>
        <w:rPr>
          <w:rFonts w:ascii="IRNazanin" w:hAnsi="IRNazanin" w:eastAsia="IRNazanin"/>
          <w:color w:val="111111"/>
          <w:sz w:val="28"/>
          <w:sz w:val="28"/>
          <w:szCs w:val="28"/>
          <w:lang w:bidi="fa-IR"/>
        </w:rPr>
        <w:t>۲۳۴</w:t>
      </w:r>
    </w:p>
    <w:p>
      <w:pPr>
        <w:pStyle w:val="BookText"/>
        <w:rPr/>
      </w:pPr>
      <w:r>
        <w:rPr>
          <w:rFonts w:ascii="IRNazanin" w:hAnsi="IRNazanin" w:eastAsia="IRNazanin"/>
          <w:color w:val="111111"/>
          <w:sz w:val="28"/>
          <w:sz w:val="28"/>
          <w:szCs w:val="28"/>
          <w:rtl w:val="true"/>
          <w:lang w:bidi="fa-IR"/>
        </w:rPr>
        <w:t xml:space="preserve">کابلی، ابوخالد، </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rtl w:val="true"/>
          <w:lang w:bidi="fa-IR"/>
        </w:rPr>
        <w:t xml:space="preserve">کاپلستون، فردریک، </w:t>
      </w:r>
      <w:r>
        <w:rPr>
          <w:rFonts w:ascii="IRNazanin" w:hAnsi="IRNazanin" w:eastAsia="IRNazanin"/>
          <w:color w:val="111111"/>
          <w:sz w:val="28"/>
          <w:sz w:val="28"/>
          <w:szCs w:val="28"/>
          <w:lang w:bidi="fa-IR"/>
        </w:rPr>
        <w:t>۲۳۵</w:t>
      </w:r>
    </w:p>
    <w:p>
      <w:pPr>
        <w:pStyle w:val="BookText"/>
        <w:rPr/>
      </w:pPr>
      <w:r>
        <w:rPr>
          <w:rFonts w:ascii="IRNazanin" w:hAnsi="IRNazanin" w:eastAsia="IRNazanin"/>
          <w:color w:val="111111"/>
          <w:sz w:val="28"/>
          <w:sz w:val="28"/>
          <w:szCs w:val="28"/>
          <w:rtl w:val="true"/>
          <w:lang w:bidi="fa-IR"/>
        </w:rPr>
        <w:t xml:space="preserve">کاشف الغطاء، محمدحسین، </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 xml:space="preserve">کاظمی، جواد، </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 xml:space="preserve">کتانی، عبدالحی، </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 xml:space="preserve">کلینی،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عبدالرحیم،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۲۷۶</w:t>
      </w:r>
    </w:p>
    <w:p>
      <w:pPr>
        <w:pStyle w:val="BookText"/>
        <w:rPr/>
      </w:pPr>
      <w:r>
        <w:rPr>
          <w:rFonts w:ascii="IRNazanin" w:hAnsi="IRNazanin" w:eastAsia="IRNazanin"/>
          <w:color w:val="111111"/>
          <w:sz w:val="28"/>
          <w:sz w:val="28"/>
          <w:szCs w:val="28"/>
          <w:rtl w:val="true"/>
          <w:lang w:bidi="fa-IR"/>
        </w:rPr>
        <w:t xml:space="preserve">لاهیجی، عبدالرزاق،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 xml:space="preserve">لطفی، محمدحسن، </w:t>
      </w:r>
      <w:r>
        <w:rPr>
          <w:rFonts w:ascii="IRNazanin" w:hAnsi="IRNazanin" w:eastAsia="IRNazanin"/>
          <w:color w:val="111111"/>
          <w:sz w:val="28"/>
          <w:sz w:val="28"/>
          <w:szCs w:val="28"/>
          <w:lang w:bidi="fa-IR"/>
        </w:rPr>
        <w:t>۲۳۵</w:t>
      </w:r>
    </w:p>
    <w:p>
      <w:pPr>
        <w:pStyle w:val="BookText"/>
        <w:rPr/>
      </w:pPr>
      <w:r>
        <w:rPr>
          <w:rFonts w:ascii="IRNazanin" w:hAnsi="IRNazanin" w:eastAsia="IRNazanin"/>
          <w:color w:val="111111"/>
          <w:sz w:val="28"/>
          <w:sz w:val="28"/>
          <w:szCs w:val="28"/>
          <w:rtl w:val="true"/>
          <w:lang w:bidi="fa-IR"/>
        </w:rPr>
        <w:t xml:space="preserve">ماتریدی، محمد،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 xml:space="preserve">مازندرانی، محمد بن اسماعیل، </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 xml:space="preserve">مالک اشتر، </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rtl w:val="true"/>
          <w:lang w:bidi="fa-IR"/>
        </w:rPr>
        <w:t xml:space="preserve">ماوردی، </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 xml:space="preserve">مأمون،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۲۶۵</w:t>
      </w:r>
    </w:p>
    <w:p>
      <w:pPr>
        <w:pStyle w:val="BookText"/>
        <w:rPr/>
      </w:pPr>
      <w:r>
        <w:rPr>
          <w:rFonts w:ascii="IRNazanin" w:hAnsi="IRNazanin" w:eastAsia="IRNazanin"/>
          <w:color w:val="111111"/>
          <w:sz w:val="28"/>
          <w:sz w:val="28"/>
          <w:szCs w:val="28"/>
          <w:rtl w:val="true"/>
          <w:lang w:bidi="fa-IR"/>
        </w:rPr>
        <w:t xml:space="preserve">متوکل، </w:t>
      </w:r>
      <w:r>
        <w:rPr>
          <w:rFonts w:ascii="IRNazanin" w:hAnsi="IRNazanin" w:eastAsia="IRNazanin"/>
          <w:color w:val="111111"/>
          <w:sz w:val="28"/>
          <w:sz w:val="28"/>
          <w:szCs w:val="28"/>
          <w:lang w:bidi="fa-IR"/>
        </w:rPr>
        <w:t>۲۹۳</w:t>
      </w:r>
    </w:p>
    <w:p>
      <w:pPr>
        <w:pStyle w:val="BookText"/>
        <w:rPr/>
      </w:pPr>
      <w:r>
        <w:rPr>
          <w:rFonts w:ascii="IRNazanin" w:hAnsi="IRNazanin" w:eastAsia="IRNazanin"/>
          <w:color w:val="111111"/>
          <w:sz w:val="28"/>
          <w:sz w:val="28"/>
          <w:szCs w:val="28"/>
          <w:rtl w:val="true"/>
          <w:lang w:bidi="fa-IR"/>
        </w:rPr>
        <w:t xml:space="preserve">مجلسی، محمدباقر،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۲۱۳</w:t>
      </w:r>
    </w:p>
    <w:p>
      <w:pPr>
        <w:pStyle w:val="BookText"/>
        <w:rPr/>
      </w:pP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w:t>
      </w:r>
    </w:p>
    <w:p>
      <w:pPr>
        <w:pStyle w:val="BookText"/>
        <w:rPr/>
      </w:pPr>
      <w:r>
        <w:rPr>
          <w:rFonts w:ascii="IRNazanin" w:hAnsi="IRNazanin" w:eastAsia="IRNazanin"/>
          <w:color w:val="111111"/>
          <w:sz w:val="28"/>
          <w:sz w:val="28"/>
          <w:szCs w:val="28"/>
          <w:rtl w:val="true"/>
          <w:lang w:bidi="fa-IR"/>
        </w:rPr>
        <w:t>محقق طوسی و طوسی، خواجه نصیرالدین</w:t>
      </w:r>
    </w:p>
    <w:p>
      <w:pPr>
        <w:pStyle w:val="BookText"/>
        <w:rPr/>
      </w:pPr>
      <w:r>
        <w:rPr>
          <w:rFonts w:ascii="IRNazanin" w:hAnsi="IRNazanin" w:eastAsia="IRNazanin"/>
          <w:color w:val="111111"/>
          <w:sz w:val="28"/>
          <w:sz w:val="28"/>
          <w:szCs w:val="28"/>
          <w:rtl w:val="true"/>
          <w:lang w:bidi="fa-IR"/>
        </w:rPr>
        <w:t xml:space="preserve">محمد المصری، </w:t>
      </w:r>
      <w:r>
        <w:rPr>
          <w:rFonts w:ascii="IRNazanin" w:hAnsi="IRNazanin" w:eastAsia="IRNazanin"/>
          <w:color w:val="111111"/>
          <w:sz w:val="28"/>
          <w:sz w:val="28"/>
          <w:szCs w:val="28"/>
          <w:lang w:bidi="fa-IR"/>
        </w:rPr>
        <w:t>۲۳۱</w:t>
      </w:r>
    </w:p>
    <w:p>
      <w:pPr>
        <w:pStyle w:val="BookText"/>
        <w:rPr/>
      </w:pPr>
      <w:r>
        <w:rPr>
          <w:rFonts w:ascii="IRNazanin" w:hAnsi="IRNazanin" w:eastAsia="IRNazanin"/>
          <w:color w:val="111111"/>
          <w:sz w:val="28"/>
          <w:sz w:val="28"/>
          <w:szCs w:val="28"/>
          <w:rtl w:val="true"/>
          <w:lang w:bidi="fa-IR"/>
        </w:rPr>
        <w:t>محمد بن بابویه به شیخ صدوق</w:t>
      </w:r>
    </w:p>
    <w:p>
      <w:pPr>
        <w:pStyle w:val="BookText"/>
        <w:rPr/>
      </w:pPr>
      <w:r>
        <w:rPr>
          <w:rFonts w:ascii="IRNazanin" w:hAnsi="IRNazanin" w:eastAsia="IRNazanin"/>
          <w:color w:val="111111"/>
          <w:sz w:val="28"/>
          <w:sz w:val="28"/>
          <w:szCs w:val="28"/>
          <w:rtl w:val="true"/>
          <w:lang w:bidi="fa-IR"/>
        </w:rPr>
        <w:t xml:space="preserve">محمد بن خلف الوکیع، </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 xml:space="preserve">محمد بن عبدالله اله،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۱۸۸</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w:t>
      </w:r>
    </w:p>
    <w:p>
      <w:pPr>
        <w:pStyle w:val="BookText"/>
        <w:rPr/>
      </w:pPr>
      <w:r>
        <w:rPr>
          <w:rFonts w:ascii="IRNazanin" w:hAnsi="IRNazanin" w:eastAsia="IRNazanin"/>
          <w:color w:val="111111"/>
          <w:sz w:val="28"/>
          <w:sz w:val="28"/>
          <w:szCs w:val="28"/>
          <w:rtl w:val="true"/>
          <w:lang w:bidi="fa-IR"/>
        </w:rPr>
        <w:t xml:space="preserve">محمد بن مسعود العیاش،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۲۲۲</w:t>
      </w:r>
    </w:p>
    <w:p>
      <w:pPr>
        <w:pStyle w:val="BookText"/>
        <w:rPr/>
      </w:pPr>
      <w:r>
        <w:rPr>
          <w:rFonts w:ascii="IRNazanin" w:hAnsi="IRNazanin" w:eastAsia="IRNazanin"/>
          <w:color w:val="111111"/>
          <w:sz w:val="28"/>
          <w:sz w:val="28"/>
          <w:szCs w:val="28"/>
          <w:rtl w:val="true"/>
          <w:lang w:bidi="fa-IR"/>
        </w:rPr>
        <w:t xml:space="preserve">مخزومی، ولید بن مغیره، </w:t>
      </w:r>
      <w:r>
        <w:rPr>
          <w:rFonts w:ascii="IRNazanin" w:hAnsi="IRNazanin" w:eastAsia="IRNazanin"/>
          <w:color w:val="111111"/>
          <w:sz w:val="28"/>
          <w:sz w:val="28"/>
          <w:szCs w:val="28"/>
          <w:lang w:bidi="fa-IR"/>
        </w:rPr>
        <w:t>۲۶۹</w:t>
      </w:r>
    </w:p>
    <w:p>
      <w:pPr>
        <w:pStyle w:val="BookText"/>
        <w:rPr/>
      </w:pPr>
      <w:r>
        <w:rPr>
          <w:rFonts w:ascii="IRNazanin" w:hAnsi="IRNazanin" w:eastAsia="IRNazanin"/>
          <w:color w:val="111111"/>
          <w:sz w:val="28"/>
          <w:sz w:val="28"/>
          <w:szCs w:val="28"/>
          <w:rtl w:val="true"/>
          <w:lang w:bidi="fa-IR"/>
        </w:rPr>
        <w:t xml:space="preserve">مدرس، میرزا محمد علی، </w:t>
      </w:r>
      <w:r>
        <w:rPr>
          <w:rFonts w:ascii="IRNazanin" w:hAnsi="IRNazanin" w:eastAsia="IRNazanin"/>
          <w:color w:val="111111"/>
          <w:sz w:val="28"/>
          <w:sz w:val="28"/>
          <w:szCs w:val="28"/>
          <w:lang w:bidi="fa-IR"/>
        </w:rPr>
        <w:t>۲۱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مشار، خانبابا،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مشکور، محمدجواد، </w:t>
      </w:r>
      <w:r>
        <w:rPr>
          <w:rFonts w:ascii="IRNazanin" w:hAnsi="IRNazanin" w:eastAsia="IRNazanin"/>
          <w:color w:val="111111"/>
          <w:sz w:val="28"/>
          <w:sz w:val="28"/>
          <w:szCs w:val="28"/>
          <w:lang w:bidi="fa-IR"/>
        </w:rPr>
        <w:t>۲۹۳</w:t>
      </w:r>
    </w:p>
    <w:p>
      <w:pPr>
        <w:pStyle w:val="BookText"/>
        <w:rPr/>
      </w:pPr>
      <w:r>
        <w:rPr>
          <w:rFonts w:ascii="IRNazanin" w:hAnsi="IRNazanin" w:eastAsia="IRNazanin"/>
          <w:color w:val="111111"/>
          <w:sz w:val="28"/>
          <w:sz w:val="28"/>
          <w:szCs w:val="28"/>
          <w:rtl w:val="true"/>
          <w:lang w:bidi="fa-IR"/>
        </w:rPr>
        <w:t xml:space="preserve">مشکوة،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مشکوة الدینی، عبدالمحسن، </w:t>
      </w:r>
      <w:r>
        <w:rPr>
          <w:rFonts w:ascii="IRNazanin" w:hAnsi="IRNazanin" w:eastAsia="IRNazanin"/>
          <w:color w:val="111111"/>
          <w:sz w:val="28"/>
          <w:sz w:val="28"/>
          <w:szCs w:val="28"/>
          <w:lang w:bidi="fa-IR"/>
        </w:rPr>
        <w:t>۲۹۵</w:t>
      </w:r>
    </w:p>
    <w:p>
      <w:pPr>
        <w:pStyle w:val="BookText"/>
        <w:rPr/>
      </w:pPr>
      <w:r>
        <w:rPr>
          <w:rFonts w:ascii="IRNazanin" w:hAnsi="IRNazanin" w:eastAsia="IRNazanin"/>
          <w:color w:val="111111"/>
          <w:sz w:val="28"/>
          <w:sz w:val="28"/>
          <w:szCs w:val="28"/>
          <w:rtl w:val="true"/>
          <w:lang w:bidi="fa-IR"/>
        </w:rPr>
        <w:t xml:space="preserve">مطهری، </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 xml:space="preserve">مظفر، محمدرضا،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۲۰۸</w:t>
      </w:r>
    </w:p>
    <w:p>
      <w:pPr>
        <w:pStyle w:val="BookText"/>
        <w:rPr/>
      </w:pPr>
      <w:r>
        <w:rPr>
          <w:rFonts w:ascii="IRNazanin" w:hAnsi="IRNazanin" w:eastAsia="IRNazanin"/>
          <w:color w:val="111111"/>
          <w:sz w:val="28"/>
          <w:sz w:val="28"/>
          <w:szCs w:val="28"/>
          <w:rtl w:val="true"/>
          <w:lang w:bidi="fa-IR"/>
        </w:rPr>
        <w:t xml:space="preserve">معاویة بن ابی سفیان،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 xml:space="preserve">معتزلی، ابوعلی، </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 xml:space="preserve">معتزلی، ابوهاشم، </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 xml:space="preserve">معتزلی، عبدالجبار،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۱۹۰</w:t>
      </w:r>
    </w:p>
    <w:p>
      <w:pPr>
        <w:pStyle w:val="BookText"/>
        <w:rPr/>
      </w:pP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معلوف، لویس،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 xml:space="preserve">مفضل بن عمر،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۲۹۱</w:t>
      </w:r>
    </w:p>
    <w:p>
      <w:pPr>
        <w:pStyle w:val="BookText"/>
        <w:rPr/>
      </w:pPr>
      <w:r>
        <w:rPr>
          <w:rFonts w:ascii="IRNazanin" w:hAnsi="IRNazanin" w:eastAsia="IRNazanin"/>
          <w:color w:val="111111"/>
          <w:sz w:val="28"/>
          <w:sz w:val="28"/>
          <w:szCs w:val="28"/>
          <w:rtl w:val="true"/>
          <w:lang w:bidi="fa-IR"/>
        </w:rPr>
        <w:t>مفید، محمد بن محمد بن نعمان شیخ مفید</w:t>
      </w:r>
    </w:p>
    <w:p>
      <w:pPr>
        <w:pStyle w:val="BookText"/>
        <w:rPr/>
      </w:pPr>
      <w:r>
        <w:rPr>
          <w:rFonts w:ascii="IRNazanin" w:hAnsi="IRNazanin" w:eastAsia="IRNazanin"/>
          <w:color w:val="111111"/>
          <w:sz w:val="28"/>
          <w:sz w:val="28"/>
          <w:szCs w:val="28"/>
          <w:rtl w:val="true"/>
          <w:lang w:bidi="fa-IR"/>
        </w:rPr>
        <w:t xml:space="preserve">مقداد، </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rtl w:val="true"/>
          <w:lang w:bidi="fa-IR"/>
        </w:rPr>
        <w:t xml:space="preserve">مقری فیومی، </w:t>
      </w:r>
      <w:r>
        <w:rPr>
          <w:rFonts w:ascii="IRNazanin" w:hAnsi="IRNazanin" w:eastAsia="IRNazanin"/>
          <w:color w:val="111111"/>
          <w:sz w:val="28"/>
          <w:sz w:val="28"/>
          <w:szCs w:val="28"/>
          <w:lang w:bidi="fa-IR"/>
        </w:rPr>
        <w:t>۱۵۴</w:t>
      </w:r>
    </w:p>
    <w:p>
      <w:pPr>
        <w:pStyle w:val="BookText"/>
        <w:rPr/>
      </w:pPr>
      <w:r>
        <w:rPr>
          <w:rFonts w:ascii="IRNazanin" w:hAnsi="IRNazanin" w:eastAsia="IRNazanin"/>
          <w:color w:val="111111"/>
          <w:sz w:val="28"/>
          <w:sz w:val="28"/>
          <w:szCs w:val="28"/>
          <w:rtl w:val="true"/>
          <w:lang w:bidi="fa-IR"/>
        </w:rPr>
        <w:t xml:space="preserve">مکارم شیرازی،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۲۳۳</w:t>
      </w:r>
    </w:p>
    <w:p>
      <w:pPr>
        <w:pStyle w:val="BookText"/>
        <w:rPr/>
      </w:pPr>
      <w:r>
        <w:rPr>
          <w:rFonts w:ascii="IRNazanin" w:hAnsi="IRNazanin" w:eastAsia="IRNazanin"/>
          <w:color w:val="111111"/>
          <w:sz w:val="28"/>
          <w:sz w:val="28"/>
          <w:szCs w:val="28"/>
          <w:rtl w:val="true"/>
          <w:lang w:bidi="fa-IR"/>
        </w:rPr>
        <w:t xml:space="preserve">مکدرموت، </w:t>
      </w:r>
      <w:r>
        <w:rPr>
          <w:rFonts w:ascii="IRNazanin" w:hAnsi="IRNazanin" w:eastAsia="IRNazanin"/>
          <w:color w:val="111111"/>
          <w:sz w:val="28"/>
          <w:sz w:val="28"/>
          <w:szCs w:val="28"/>
          <w:lang w:bidi="fa-IR"/>
        </w:rPr>
        <w:t>۲۶۴</w:t>
      </w:r>
    </w:p>
    <w:p>
      <w:pPr>
        <w:pStyle w:val="BookText"/>
        <w:rPr/>
      </w:pPr>
      <w:r>
        <w:rPr>
          <w:rFonts w:ascii="IRNazanin" w:hAnsi="IRNazanin" w:eastAsia="IRNazanin"/>
          <w:color w:val="111111"/>
          <w:sz w:val="28"/>
          <w:sz w:val="28"/>
          <w:szCs w:val="28"/>
          <w:rtl w:val="true"/>
          <w:lang w:bidi="fa-IR"/>
        </w:rPr>
        <w:t>ملاصدرا شیرازی، صدرالدین</w:t>
      </w:r>
    </w:p>
    <w:p>
      <w:pPr>
        <w:pStyle w:val="BookText"/>
        <w:rPr/>
      </w:pPr>
      <w:r>
        <w:rPr>
          <w:rFonts w:ascii="IRNazanin" w:hAnsi="IRNazanin" w:eastAsia="IRNazanin"/>
          <w:color w:val="111111"/>
          <w:sz w:val="28"/>
          <w:sz w:val="28"/>
          <w:szCs w:val="28"/>
          <w:rtl w:val="true"/>
          <w:lang w:bidi="fa-IR"/>
        </w:rPr>
        <w:t xml:space="preserve">موسوی، میر سید ابوالقاسم، </w:t>
      </w:r>
      <w:r>
        <w:rPr>
          <w:rFonts w:ascii="IRNazanin" w:hAnsi="IRNazanin" w:eastAsia="IRNazanin"/>
          <w:color w:val="111111"/>
          <w:sz w:val="28"/>
          <w:sz w:val="28"/>
          <w:szCs w:val="28"/>
          <w:lang w:bidi="fa-IR"/>
        </w:rPr>
        <w:t>۲۲۶</w:t>
      </w:r>
    </w:p>
    <w:p>
      <w:pPr>
        <w:pStyle w:val="BookText"/>
        <w:rPr/>
      </w:pPr>
      <w:r>
        <w:rPr>
          <w:rFonts w:ascii="IRNazanin" w:hAnsi="IRNazanin" w:eastAsia="IRNazanin"/>
          <w:color w:val="111111"/>
          <w:sz w:val="28"/>
          <w:sz w:val="28"/>
          <w:szCs w:val="28"/>
          <w:rtl w:val="true"/>
          <w:lang w:bidi="fa-IR"/>
        </w:rPr>
        <w:t xml:space="preserve">موسوی همدانی، سیدمحمدباقر،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علیه السلام،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p>
    <w:p>
      <w:pPr>
        <w:pStyle w:val="BookText"/>
        <w:rPr/>
      </w:pPr>
      <w:r>
        <w:rPr>
          <w:rFonts w:ascii="IRNazanin" w:hAnsi="IRNazanin" w:eastAsia="IRNazanin"/>
          <w:color w:val="111111"/>
          <w:sz w:val="28"/>
          <w:sz w:val="28"/>
          <w:szCs w:val="28"/>
          <w:rtl w:val="true"/>
          <w:lang w:bidi="fa-IR"/>
        </w:rPr>
        <w:t xml:space="preserve">مولوی، </w:t>
      </w:r>
      <w:r>
        <w:rPr>
          <w:rFonts w:ascii="IRNazanin" w:hAnsi="IRNazanin" w:eastAsia="IRNazanin"/>
          <w:color w:val="111111"/>
          <w:sz w:val="28"/>
          <w:sz w:val="28"/>
          <w:szCs w:val="28"/>
          <w:lang w:bidi="fa-IR"/>
        </w:rPr>
        <w:t>۲۹۲</w:t>
      </w:r>
    </w:p>
    <w:p>
      <w:pPr>
        <w:pStyle w:val="BookText"/>
        <w:rPr/>
      </w:pPr>
      <w:r>
        <w:rPr>
          <w:rFonts w:ascii="IRNazanin" w:hAnsi="IRNazanin" w:eastAsia="IRNazanin"/>
          <w:color w:val="111111"/>
          <w:sz w:val="28"/>
          <w:sz w:val="28"/>
          <w:szCs w:val="28"/>
          <w:rtl w:val="true"/>
          <w:lang w:bidi="fa-IR"/>
        </w:rPr>
        <w:t xml:space="preserve">میانجی، سیدابراهیم، </w:t>
      </w:r>
      <w:r>
        <w:rPr>
          <w:rFonts w:ascii="IRNazanin" w:hAnsi="IRNazanin" w:eastAsia="IRNazanin"/>
          <w:color w:val="111111"/>
          <w:sz w:val="28"/>
          <w:sz w:val="28"/>
          <w:szCs w:val="28"/>
          <w:lang w:bidi="fa-IR"/>
        </w:rPr>
        <w:t>۲۳۱</w:t>
      </w:r>
    </w:p>
    <w:p>
      <w:pPr>
        <w:pStyle w:val="BookText"/>
        <w:rPr/>
      </w:pPr>
      <w:r>
        <w:rPr>
          <w:rFonts w:ascii="IRNazanin" w:hAnsi="IRNazanin" w:eastAsia="IRNazanin"/>
          <w:color w:val="111111"/>
          <w:sz w:val="28"/>
          <w:sz w:val="28"/>
          <w:szCs w:val="28"/>
          <w:rtl w:val="true"/>
          <w:lang w:bidi="fa-IR"/>
        </w:rPr>
        <w:t xml:space="preserve">میلانی، محمدحسین، </w:t>
      </w:r>
      <w:r>
        <w:rPr>
          <w:rFonts w:ascii="IRNazanin" w:hAnsi="IRNazanin" w:eastAsia="IRNazanin"/>
          <w:color w:val="111111"/>
          <w:sz w:val="28"/>
          <w:sz w:val="28"/>
          <w:szCs w:val="28"/>
          <w:lang w:bidi="fa-IR"/>
        </w:rPr>
        <w:t>۲۰۸</w:t>
      </w:r>
    </w:p>
    <w:p>
      <w:pPr>
        <w:pStyle w:val="BookText"/>
        <w:rPr/>
      </w:pPr>
      <w:r>
        <w:rPr>
          <w:rFonts w:ascii="IRNazanin" w:hAnsi="IRNazanin" w:eastAsia="IRNazanin"/>
          <w:color w:val="111111"/>
          <w:sz w:val="28"/>
          <w:sz w:val="28"/>
          <w:szCs w:val="28"/>
          <w:rtl w:val="true"/>
          <w:lang w:bidi="fa-IR"/>
        </w:rPr>
        <w:t xml:space="preserve">مینوی، سید جلال الدین، </w:t>
      </w:r>
      <w:r>
        <w:rPr>
          <w:rFonts w:ascii="IRNazanin" w:hAnsi="IRNazanin" w:eastAsia="IRNazanin"/>
          <w:color w:val="111111"/>
          <w:sz w:val="28"/>
          <w:sz w:val="28"/>
          <w:szCs w:val="28"/>
          <w:lang w:bidi="fa-IR"/>
        </w:rPr>
        <w:t>۲۳۵</w:t>
      </w:r>
    </w:p>
    <w:p>
      <w:pPr>
        <w:pStyle w:val="BookText"/>
        <w:rPr/>
      </w:pPr>
      <w:r>
        <w:rPr>
          <w:rFonts w:ascii="IRNazanin" w:hAnsi="IRNazanin" w:eastAsia="IRNazanin"/>
          <w:color w:val="111111"/>
          <w:sz w:val="28"/>
          <w:sz w:val="28"/>
          <w:szCs w:val="28"/>
          <w:rtl w:val="true"/>
          <w:lang w:bidi="fa-IR"/>
        </w:rPr>
        <w:t>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۲۶۵</w:t>
      </w:r>
    </w:p>
    <w:p>
      <w:pPr>
        <w:pStyle w:val="BookText"/>
        <w:rPr/>
      </w:pPr>
      <w:r>
        <w:rPr>
          <w:rFonts w:ascii="IRNazanin" w:hAnsi="IRNazanin" w:eastAsia="IRNazanin"/>
          <w:color w:val="111111"/>
          <w:sz w:val="28"/>
          <w:sz w:val="28"/>
          <w:szCs w:val="28"/>
          <w:rtl w:val="true"/>
          <w:lang w:bidi="fa-IR"/>
        </w:rPr>
        <w:t xml:space="preserve">نجفی، محمدحسن، </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 xml:space="preserve">نراقی، ملامهدی،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 xml:space="preserve">نظام، </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 xml:space="preserve">نوبختی، اسماعیل بن اسحاق،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۲۶۷</w:t>
      </w:r>
    </w:p>
    <w:p>
      <w:pPr>
        <w:pStyle w:val="BookText"/>
        <w:rPr/>
      </w:pPr>
      <w:r>
        <w:rPr>
          <w:rFonts w:ascii="IRNazanin" w:hAnsi="IRNazanin" w:eastAsia="IRNazanin"/>
          <w:color w:val="111111"/>
          <w:sz w:val="28"/>
          <w:sz w:val="28"/>
          <w:szCs w:val="28"/>
          <w:rtl w:val="true"/>
          <w:lang w:bidi="fa-IR"/>
        </w:rPr>
        <w:t xml:space="preserve">نوبختی، ابو محمد حسن بن موسی، </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rtl w:val="true"/>
          <w:lang w:bidi="fa-IR"/>
        </w:rPr>
        <w:t xml:space="preserve">نوح ، </w:t>
      </w:r>
      <w:r>
        <w:rPr>
          <w:rFonts w:ascii="IRNazanin" w:hAnsi="IRNazanin" w:eastAsia="IRNazanin"/>
          <w:color w:val="111111"/>
          <w:sz w:val="28"/>
          <w:sz w:val="28"/>
          <w:szCs w:val="28"/>
          <w:lang w:bidi="fa-IR"/>
        </w:rPr>
        <w:t>۲۹۸</w:t>
      </w:r>
    </w:p>
    <w:p>
      <w:pPr>
        <w:pStyle w:val="BookText"/>
        <w:rPr/>
      </w:pPr>
      <w:r>
        <w:rPr>
          <w:rFonts w:ascii="IRNazanin" w:hAnsi="IRNazanin" w:eastAsia="IRNazanin"/>
          <w:color w:val="111111"/>
          <w:sz w:val="28"/>
          <w:sz w:val="28"/>
          <w:szCs w:val="28"/>
          <w:rtl w:val="true"/>
          <w:lang w:bidi="fa-IR"/>
        </w:rPr>
        <w:t xml:space="preserve">نوری طبرسی، سید اسماعیل، </w:t>
      </w:r>
      <w:r>
        <w:rPr>
          <w:rFonts w:ascii="IRNazanin" w:hAnsi="IRNazanin" w:eastAsia="IRNazanin"/>
          <w:color w:val="111111"/>
          <w:sz w:val="28"/>
          <w:sz w:val="28"/>
          <w:szCs w:val="28"/>
          <w:lang w:bidi="fa-IR"/>
        </w:rPr>
        <w:t>۲۷۲</w:t>
      </w:r>
    </w:p>
    <w:p>
      <w:pPr>
        <w:pStyle w:val="BookText"/>
        <w:rPr/>
      </w:pPr>
      <w:r>
        <w:rPr>
          <w:rFonts w:ascii="IRNazanin" w:hAnsi="IRNazanin" w:eastAsia="IRNazanin"/>
          <w:color w:val="111111"/>
          <w:sz w:val="28"/>
          <w:sz w:val="28"/>
          <w:szCs w:val="28"/>
          <w:rtl w:val="true"/>
          <w:lang w:bidi="fa-IR"/>
        </w:rPr>
        <w:t xml:space="preserve">نوری طبرسی، میرزا حسین،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۲۶۵</w:t>
      </w:r>
    </w:p>
    <w:p>
      <w:pPr>
        <w:pStyle w:val="BookText"/>
        <w:rPr/>
      </w:pPr>
      <w:r>
        <w:rPr>
          <w:rFonts w:ascii="IRNazanin" w:hAnsi="IRNazanin" w:eastAsia="IRNazanin"/>
          <w:color w:val="111111"/>
          <w:sz w:val="28"/>
          <w:sz w:val="28"/>
          <w:szCs w:val="28"/>
          <w:rtl w:val="true"/>
          <w:lang w:bidi="fa-IR"/>
        </w:rPr>
        <w:t xml:space="preserve">نیشابوری، نظام الدین حسن،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واسطی، اسلم بن سهل، </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 xml:space="preserve">واصل بن عطا،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۲۶۵</w:t>
      </w:r>
    </w:p>
    <w:p>
      <w:pPr>
        <w:pStyle w:val="BookText"/>
        <w:rPr/>
      </w:pPr>
      <w:r>
        <w:rPr>
          <w:rFonts w:ascii="IRNazanin" w:hAnsi="IRNazanin" w:eastAsia="IRNazanin"/>
          <w:color w:val="111111"/>
          <w:sz w:val="28"/>
          <w:sz w:val="28"/>
          <w:szCs w:val="28"/>
          <w:rtl w:val="true"/>
          <w:lang w:bidi="fa-IR"/>
        </w:rPr>
        <w:t xml:space="preserve">واعظ زاده خراسانی، محمد، </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 xml:space="preserve">وجدی، محمدفرید، </w:t>
      </w:r>
      <w:r>
        <w:rPr>
          <w:rFonts w:ascii="IRNazanin" w:hAnsi="IRNazanin" w:eastAsia="IRNazanin"/>
          <w:color w:val="111111"/>
          <w:sz w:val="28"/>
          <w:sz w:val="28"/>
          <w:szCs w:val="28"/>
          <w:lang w:bidi="fa-IR"/>
        </w:rPr>
        <w:t>۲۸۹</w:t>
      </w:r>
    </w:p>
    <w:p>
      <w:pPr>
        <w:pStyle w:val="BookText"/>
        <w:rPr/>
      </w:pPr>
      <w:r>
        <w:rPr>
          <w:rFonts w:ascii="IRNazanin" w:hAnsi="IRNazanin" w:eastAsia="IRNazanin"/>
          <w:color w:val="111111"/>
          <w:sz w:val="28"/>
          <w:sz w:val="28"/>
          <w:szCs w:val="28"/>
          <w:rtl w:val="true"/>
          <w:lang w:bidi="fa-IR"/>
        </w:rPr>
        <w:t xml:space="preserve">وهبة الزحیلی، </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 xml:space="preserve">ویل دورانت، </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 xml:space="preserve">هشام الفوطی، </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 xml:space="preserve">هشام بن حکم،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۲۶۵</w:t>
      </w:r>
    </w:p>
    <w:p>
      <w:pPr>
        <w:pStyle w:val="BookText"/>
        <w:rPr/>
      </w:pPr>
      <w:r>
        <w:rPr>
          <w:rFonts w:ascii="IRNazanin" w:hAnsi="IRNazanin" w:eastAsia="IRNazanin"/>
          <w:color w:val="111111"/>
          <w:sz w:val="28"/>
          <w:sz w:val="28"/>
          <w:szCs w:val="28"/>
          <w:rtl w:val="true"/>
          <w:lang w:bidi="fa-IR"/>
        </w:rPr>
        <w:t xml:space="preserve">یحیی، </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 xml:space="preserve">یزدی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۲۹۳</w:t>
      </w:r>
    </w:p>
    <w:p>
      <w:pPr>
        <w:pStyle w:val="BookText"/>
        <w:rPr/>
      </w:pPr>
      <w:r>
        <w:rPr>
          <w:rFonts w:ascii="IRNazanin" w:hAnsi="IRNazanin" w:eastAsia="IRNazanin"/>
          <w:color w:val="111111"/>
          <w:sz w:val="28"/>
          <w:sz w:val="28"/>
          <w:szCs w:val="28"/>
          <w:rtl w:val="true"/>
          <w:lang w:bidi="fa-IR"/>
        </w:rPr>
        <w:t xml:space="preserve">یزید بن معاویه، </w:t>
      </w:r>
      <w:r>
        <w:rPr>
          <w:rFonts w:ascii="IRNazanin" w:hAnsi="IRNazanin" w:eastAsia="IRNazanin"/>
          <w:color w:val="111111"/>
          <w:sz w:val="28"/>
          <w:sz w:val="28"/>
          <w:szCs w:val="28"/>
          <w:lang w:bidi="fa-IR"/>
        </w:rPr>
        <w:t>۲۲۲</w:t>
      </w:r>
    </w:p>
    <w:p>
      <w:pPr>
        <w:pStyle w:val="BookText"/>
        <w:rPr/>
      </w:pPr>
      <w:r>
        <w:rPr>
          <w:rFonts w:ascii="IRNazanin" w:hAnsi="IRNazanin" w:eastAsia="IRNazanin"/>
          <w:color w:val="111111"/>
          <w:sz w:val="28"/>
          <w:sz w:val="28"/>
          <w:szCs w:val="28"/>
          <w:rtl w:val="true"/>
          <w:lang w:bidi="fa-IR"/>
        </w:rPr>
        <w:t xml:space="preserve">یعقوب علیه السلام،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یوسف علیه السلام،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یوشع بن نون،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bookmarkStart w:id="990" w:name="pg14387_143910"/>
    </w:p>
    <w:p>
      <w:pPr>
        <w:pStyle w:val="Heading2"/>
        <w:numPr>
          <w:ilvl w:val="1"/>
          <w:numId w:val="1"/>
        </w:numPr>
        <w:rPr/>
      </w:pPr>
      <w:bookmarkStart w:id="991" w:name="__RefHeading___Toc7812848_3381743652"/>
      <w:bookmarkStart w:id="992" w:name="_Toc383"/>
      <w:bookmarkEnd w:id="990"/>
      <w:bookmarkEnd w:id="991"/>
      <w:r>
        <w:rPr>
          <w:rtl w:val="true"/>
        </w:rPr>
        <w:t>کتاب نامه</w:t>
      </w:r>
      <w:bookmarkEnd w:id="992"/>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آلن کاردک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ارواح، ترجمه محسن فرشاد، چاپ اول، دنیای کتاب، تهران،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بغدادی، سید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فی تفسیر القرآن العظیم،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جلد، چاپ چهارم، دار احیاء التراث العربی، بیروت،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آملی، شمس الدین محمد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نفائس الفنون فی عرائس العیون، تصحیح سیدابراهیم میانجی،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 انتشارات اسلامیه، تهران،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انیس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الوسیط، انتشارات ناصر خسرو، تهران،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 دینانی، 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اندیشه و شهود در فلسفه سهروردی، چاپ اول، انتشارات حکمت،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مبارک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فی غریب الحدیث و الاثر، تحقیق طاهر احمد الزواری و محمود محمد الطناحی،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جلد، چاپ چهارم، مؤسسه اسماعیلیان، قم،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اخوة، محمد بن محمد بن احمد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القربة فی أحکام الحسبة، چاپ اول، مکتب الاعلام الاسلامی، قم،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براج، عبدالعزیز بن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الفقه، تحقیق ابراهیم بهادری، چاپ اول، جامعه مدرسین، قم،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احمد بن عبد 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السیاسة الشرعیة فی اصلاح الراعی و الرعیة، دارالکتاب العربی، مصر، </w:t>
      </w:r>
      <w:r>
        <w:rPr>
          <w:rFonts w:ascii="IRNazanin" w:hAnsi="IRNazanin" w:eastAsia="IRNazanin"/>
          <w:color w:val="111111"/>
          <w:sz w:val="28"/>
          <w:sz w:val="28"/>
          <w:szCs w:val="28"/>
          <w:lang w:bidi="fa-IR"/>
        </w:rPr>
        <w:t>۱۹۶۹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ابو الفرج عبدالرحمن بن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تلبیس ابلیس، تصحیح ادارة الطباعة المنیریة، دار الکتب العلمیة، بیروت،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فی تاریخ الملوک و الأمم، دار الکتب العلمیة، بیروت،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اندلسی، علی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الملل و الاهواء و النحل،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 چاپ دوم، دارالمعرفة، بیروت، </w:t>
      </w:r>
      <w:r>
        <w:rPr>
          <w:rFonts w:ascii="IRNazanin" w:hAnsi="IRNazanin" w:eastAsia="IRNazanin"/>
          <w:color w:val="111111"/>
          <w:sz w:val="28"/>
          <w:sz w:val="28"/>
          <w:szCs w:val="28"/>
          <w:lang w:bidi="fa-IR"/>
        </w:rPr>
        <w:t>۱۹۷۵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عبدالرحمن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ابن خلدون،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جلد، چاپ اول، انتشارات استقلال،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الطبقات الکبری،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جلد، دار بیروت للطباعة،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حسین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الاشارات و التنبیهات، با شرح خواجه نصیرالدین طوسی و تعلیق قطب الدین رازی، چاپ دوم، دفتر نشر کتاب، تهران،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المبدأ و المعاد، باهتمام عبدالله نورانی، چاپ اول، مؤسسه مطالعات اسلامی دانشگاه مک گیل، شعبه تهران با همکاری دانشگاه تهران،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النجاة من الغرق فی بحر الضلالات، تصحیح عبدالرحمن عمیرة،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چاپ اول، دارالجیل، بیروت،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دوم، مرتضوی، تهران، </w:t>
      </w:r>
      <w:r>
        <w:rPr>
          <w:rFonts w:ascii="IRNazanin" w:hAnsi="IRNazanin" w:eastAsia="IRNazanin"/>
          <w:color w:val="111111"/>
          <w:sz w:val="28"/>
          <w:sz w:val="28"/>
          <w:szCs w:val="28"/>
          <w:lang w:bidi="fa-IR"/>
        </w:rPr>
        <w:t>۱۳۶۴</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حافظ بن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مطبعة حیدریه، نجف،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فی امرة امیرالمؤمنین علی بن ابی طالب ، تحقیق انصاری، چاپ اول، دارالکتب، قم،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عذبة، حسن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البهیة فیما بین الأشاعرة و الماتریدیة، تحقیق و تعلیق دکتر عبدالرحمن عمیرة، چاپ اول، عالم الکتب، بیروت،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اللغة، شیخ شهاب الدین ابوعمرو، دارالفکر، بیروت،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۰۲۲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مقاییس اللغة، تحقیق عبدالسلام محمد هارون،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 مکتب الاعلام الاسلامی، قم،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لسان العرب،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جلد، دارصادر، بیروت،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سوم، دار صادر، بیروت،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أبوزهره،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المذاهب الإسلامیة،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دار الفکر العربی</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یحیی بن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المعتزله، تصحیح سوسنة و یقشلة، چاپ دوم، دارالمنتظر، بیروت،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المنیة و الأمل، بیروت،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اللغة، الدار المصریة، قاهره،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ابوالحسن علی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الإبانة عن اصول الدیانة، دایرة المعارف نظامیه، حیدرآباد دکن،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اللمع فی الرد علی اهل الزیغ و البدع، با ویرایش ریچارد مکارتی، مطبعة الکاتولیة، بیروت، </w:t>
      </w:r>
      <w:r>
        <w:rPr>
          <w:rFonts w:ascii="IRNazanin" w:hAnsi="IRNazanin" w:eastAsia="IRNazanin"/>
          <w:color w:val="111111"/>
          <w:sz w:val="28"/>
          <w:sz w:val="28"/>
          <w:szCs w:val="28"/>
          <w:lang w:bidi="fa-IR"/>
        </w:rPr>
        <w:t>۱۹۵۲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الاسلامیین و اختلاف المصلین، تصحیح هلموت ریتر، چاپ سوم، دارالنشر، فرانز شتایر،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تصحیح محمد محیی الدین عبدالحمید،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چاپ اول، دارالسرور، بیروت،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اول، مکتبة النهضة، مصر،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قمی، 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المقالات و الفرق، تصحیح محمدجواد مشکور، چاپ دوم، انتشارات علمی فرهنگی،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امیل 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یونانی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علی مراد داودی، چاپ دوم، مرکز نشر دانشگاهی، تهران،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اوپانیشاد، سر اکبر، ترجمه محمد داراشکوه از متن سانسکریت، با مقدمه و حواشی و تعلیقات دکتر </w:t>
      </w:r>
    </w:p>
    <w:p>
      <w:pPr>
        <w:pStyle w:val="BookText"/>
        <w:rPr/>
      </w:pPr>
      <w:r>
        <w:rPr>
          <w:rFonts w:ascii="IRNazanin" w:hAnsi="IRNazanin" w:eastAsia="IRNazanin"/>
          <w:color w:val="111111"/>
          <w:sz w:val="28"/>
          <w:sz w:val="28"/>
          <w:szCs w:val="28"/>
          <w:rtl w:val="true"/>
          <w:lang w:bidi="fa-IR"/>
        </w:rPr>
        <w:t xml:space="preserve">تاراچند، سید محمدرضا جلالی نائینی،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چاپ سوم، انتشارات محمدعلی علمی،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باقلانی، ابوبکر محمد بن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الاوائل و تلخیص الدلائل، تصحیح عمادالدین احمد، چاپ سوم، مؤسسة الکتب الثقافیه،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المرام فی علم الکلام، چاپخانه مهر، قم،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سیدهاشم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المعاجز فی دلائل الائمة الاطهار و معاجزهم، عزة الله مولائی همدانی،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جلد، چاپ اول، مؤسسة المعارف الإسلامیة،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 عبدالقاهر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الدین، مطبعة الدولة، استانبول،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الفرق و بیان الفرقة الناجیة، چاپ دوم، دارالافاق الجدیده، بیروت، </w:t>
      </w:r>
      <w:r>
        <w:rPr>
          <w:rFonts w:ascii="IRNazanin" w:hAnsi="IRNazanin" w:eastAsia="IRNazanin"/>
          <w:color w:val="111111"/>
          <w:sz w:val="28"/>
          <w:sz w:val="28"/>
          <w:szCs w:val="28"/>
          <w:lang w:bidi="fa-IR"/>
        </w:rPr>
        <w:t>۱۹۷۷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محمدجواد مشکور، چاپ اول، تبریز،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بلخی رومی، جلال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معنوی، تصحیح نیکلسون، مؤسسه 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 کتی و دانتاسوامی پرابهوپادا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بهاگاواد گیتا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سیاهپوش، بزرگمهر گل بیدی، الهه فرمانی، چاپ اول، دری، تهران،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تئودور گمپرتس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متفکران یونانی، ترجمه محمد حسن لطفی،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 چاپ اول، شرکت سهامی انتشارات خوارزمی، تهران،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 میرزاجواد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چاپ اول، دفتر نشر برگزیده،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سعدالدین مسعود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المقاصد،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جلد، چاپ اول، منشورات شریف رضی، قم، </w:t>
      </w:r>
      <w:r>
        <w:rPr>
          <w:rFonts w:ascii="IRNazanin" w:hAnsi="IRNazanin" w:eastAsia="IRNazanin"/>
          <w:color w:val="111111"/>
          <w:sz w:val="28"/>
          <w:sz w:val="28"/>
          <w:szCs w:val="28"/>
          <w:lang w:bidi="fa-IR"/>
        </w:rPr>
        <w:t>۱۴۰۹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تصحیح عبدالرحمن عمیرة، چاپ اول، انتشارات الشریف الرضی، ایران،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عقائد النسفی فی اصول الدین و علم الکلام، با ویرایش کلورسلامیة، وزارة الثقافة و الارشاد القومی، دمشق، </w:t>
      </w:r>
      <w:r>
        <w:rPr>
          <w:rFonts w:ascii="IRNazanin" w:hAnsi="IRNazanin" w:eastAsia="IRNazanin"/>
          <w:color w:val="111111"/>
          <w:sz w:val="28"/>
          <w:sz w:val="28"/>
          <w:szCs w:val="28"/>
          <w:lang w:bidi="fa-IR"/>
        </w:rPr>
        <w:t>۱۹۷۴</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توشی هیکو ایزوتسو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ایمان در کلام اسلامی، ترجمه زهرا پورسینا، چاپ اول، انتشارات سروش، تهران،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تهانوی،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کشاف اصطلاحات الفنون و العلوم، تقدیم و اشراف و مراجعه رفیق العجم، چاپ اول،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مکتبة لبنان ناشرون، بیروت،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شیخ آغا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إلی تصانیف الشیعة، طهوری، تهران،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ثروتیان، بهروز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اصطلاحات و تعریفات نفائس الفنون، انتشارات مؤسسه تاریخ و فرهنگ ایران، تبریز،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جبعی عاملی،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الایمان، انتشارات کتابخانه آیة الله مرعشی،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البهیة فی شرح اللمعة الدمشقیة،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چاپ دوم، دفتر تبلیغات اسلامی، قم،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میرسیدشریف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المواقف،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جلد، تصحیح سید محمد بدرالدین نعمانی حلبی با حاشیه سیالکوتی و چلپی، منشورات شریف رضی، قم،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التعریفات، چاپ اول، دارالفکر، بیروت،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تمدن اسلام،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دار مکتبة الحیات،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جصاص، احمد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القرآن،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جلد، دار احیاء التراث العربی، بیروت،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پژوهشگران گروه فلسفه و کلام اسلامی زیر نظر دکتر محمود یزدی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های کلامی شیخ طوسی،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 چاپ اول، دانشگاه علوم اسلامی رضوی، مشهد، </w:t>
      </w:r>
    </w:p>
    <w:p>
      <w:pPr>
        <w:pStyle w:val="BookText"/>
        <w:rPr/>
      </w:pP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اسماعیل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تاج اللغة وصحاح العربیة، تحقیق احمد بن عبدالغفور عطار،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 چاپ چهارم، دارالعلم للملایین، بیروت،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حرانی، ابومحمد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ترجمه کمره ای، تصحیح علی اکبر غفاری، چاپ پنجم، انتشارات کتابچی، ایران،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الایقاظ من الهجعة بالبرهان علی الرجعة، تصحیح سیدهاشم رسولی محلاتی، ترجمه احمد جنتی، چاپخانه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فی اصول الائمه، تحقیق محمد بن محمد حسین قائینی،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 چاپ اول، مؤسسه معارف اسلامی امام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تصحیح ربانی شیرازی،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جلد، چاپ پنجم، دار احیاء التراث العربی، بیروت،</w:t>
      </w:r>
    </w:p>
    <w:p>
      <w:pPr>
        <w:pStyle w:val="BookText"/>
        <w:rPr/>
      </w:pP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زاده آملی،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سرح العیون فی شرح العیون، چاپ دوم، مکتب الاعلام الاسلامی، قم،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مسائل نفس و شرح آن، ترجمه ابراهیم احمدیان، مصطفی بابایی،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چاپ اول، مؤسسه انتشارات قیام، قم،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رازی، سیدمرتضی بن 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العوام فی معرفة مقالات الأنام، تصحیح عباس اقبال آشتیانی، چاپ دوم، شرکت انتشارات اساطیر،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سیداحمد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کتابخانه آیة الله مرعشی، قم،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کفوی، ابوالبقاء ایوب بن موسی الکلیات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فی المصطلحات و الفروق اللغویه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مقابله و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درویش و محمد المصری، چاپ دوم، مؤسسة الرساله، بیروت، </w:t>
      </w:r>
      <w:r>
        <w:rPr>
          <w:rFonts w:ascii="IRNazanin" w:hAnsi="IRNazanin" w:eastAsia="IRNazanin"/>
          <w:color w:val="111111"/>
          <w:sz w:val="28"/>
          <w:sz w:val="28"/>
          <w:szCs w:val="28"/>
          <w:lang w:bidi="fa-IR"/>
        </w:rPr>
        <w:t>۱۴۱۳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میلانی، سیدمحمدحسین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الکلام، انتشارات تابان،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حفنی، عبدالمنعم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الشامل لمصطلحات الفلسفه، چاپ سوم، مکتبة مدبولی، القاهره،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اسماعیل بن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البیان، چاپ هفتم، دار احیاء التراث العربی، بیروت،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حسن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المطبعة الحیدریة، نجف،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تقی الدین حسن بن علی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تهران،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حسن بن یوسف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الملکوت فی شرح الیاقوت، تصحیح محمد نجمی زنجانی، چاپ اول، انتشارات دانشگاه تهران،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خلاصة الأقوال فی معرفة الرجال، مطبعة حیدریه، نجف،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المراد فی شرح تجرید الاعتقاد، تصحیح حسن حسن زاده آملی، مؤسسة النشر الاسلامی،</w:t>
      </w:r>
    </w:p>
    <w:p>
      <w:pPr>
        <w:pStyle w:val="BookText"/>
        <w:rPr/>
      </w:pP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و شرح فارسی، ابوالحسن شعرانی، کتابفروشی اسلامیه،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مناهج الیقین فی اصول الدین، انتشارات وزارت فرهنگ و ارشاد اسلامی، تهران،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و تصحیح یعقوب جعفری مراغی، انتشارات اسوه،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حمصی رازی، سدید الدین محمود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المنقذ من التقلید،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چاپ اول، مؤسسة النشر الاسلامی، قم،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علم کلام، چاپ اول، انتشارات صبا، تهران،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طلب و اراده، ترجمه سیداحمد فهری، چاپ اول، انتشارات علمی فرهنگی </w:t>
      </w:r>
    </w:p>
    <w:p>
      <w:pPr>
        <w:pStyle w:val="BookText"/>
        <w:rPr/>
      </w:pPr>
      <w:r>
        <w:rPr>
          <w:rFonts w:ascii="IRNazanin" w:hAnsi="IRNazanin" w:eastAsia="IRNazanin"/>
          <w:color w:val="111111"/>
          <w:sz w:val="28"/>
          <w:sz w:val="28"/>
          <w:szCs w:val="28"/>
          <w:rtl w:val="true"/>
          <w:lang w:bidi="fa-IR"/>
        </w:rPr>
        <w:t xml:space="preserve">وابسته به وزارت فرهنگ و آموزش عالی،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خواجکی شیرازی،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النظامیة فی مکتب الأمامیة، تصحیح و تعلیق علی اوجبی، چاپ اول، دفتر نشر میراث مکتوب، تهران،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دورانت، 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لذات فلسفه، ترجمه عباس زریاب، چاپ ششم، سازمان انتشارات و آموزش انقلاب اسلامی، تهران،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۰۸۰</w:t>
      </w:r>
      <w:r>
        <w:rPr>
          <w:rFonts w:ascii="IRNazanin" w:hAnsi="IRNazanin" w:eastAsia="IRNazanin"/>
          <w:color w:val="111111"/>
          <w:sz w:val="28"/>
          <w:sz w:val="28"/>
          <w:szCs w:val="28"/>
          <w:rtl w:val="true"/>
          <w:lang w:bidi="fa-IR"/>
        </w:rPr>
        <w:t xml:space="preserve"> رازی، فخرالدین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الأربعین فی اصول الدین، دائرة المعارف العثمانیة، حیدرآباد الدکن،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چاپ دوم، دار احیاء التراث العربی، بیروت،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۰۸۲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الافکار المتقدمین و المتأخرین، چاپ اول، مکتبة الکلیات الأزهریة،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ابوالقاسم 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فی غریب القرآن، تحقیق محمد سید گیلانی، دارالمعرفة، بیروت و چاپ دوم، دفتر نشر الکتاب،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پور، فروغ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از دیدگاه امام خمینی ، تهیه و تنظیم معاونت پژوهشی مؤسسه تنظیم و نشر آثار امام خمینی، چاپ دوم، تهران،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رضا،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المنار،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جلد، دارالمعرفة، بیروت،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۰۸۶</w:t>
      </w:r>
      <w:r>
        <w:rPr>
          <w:rFonts w:ascii="IRNazanin" w:hAnsi="IRNazanin" w:eastAsia="IRNazanin"/>
          <w:color w:val="111111"/>
          <w:sz w:val="28"/>
          <w:sz w:val="28"/>
          <w:szCs w:val="28"/>
          <w:rtl w:val="true"/>
          <w:lang w:bidi="fa-IR"/>
        </w:rPr>
        <w:t xml:space="preserve"> روحانی،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آماری کلمات قرآن کریم، چاپ اول، انتشارات آستان قدس رضوی،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زبیدی، سیدمحمد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دارالهدایة، بیروت،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زحیلی، وهبة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الاسلامی فی اسلوب جدید، چاپ سوم، دارالفکر، دمشق،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جارالله محمود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البلاغة، دار بیروت،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عن حقائق غوامض التنزیل، تصحیح مصطفی حسین احمد، نشر البلاغة، قم،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الزین، محمد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الفرق الإسلامیة، مؤسسة الأعلمی للمطبوعات، بیروت،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الالهیات علی هدی الکتاب و السنة و العقل،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چاپ دوم، مرکز جهانی علوم اسلامی، قم،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۰۹۳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فی الملل و النحل، چاپ دوم، مؤسسة النشر الاسلامی، قم،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محاضرات فی الالهیات، تلخیص علی ربانی گلپایگانی، چاپ هفتم، مؤسسة النشر الاسلامی، قم،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منشور جاوید، کتابخانه امیرالمؤمنین، اصفهان،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حاج ملاهادی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الحکم، با مقدمه و حواشی ابوالحسن شعرانی، کتاب فروشی اسلامیه، تهران،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۰۹۷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المنظومه، تصحیح و تعلیق حسن حسن زاده آملی،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جلد، چاپ اول، نشر ناب، قم،</w:t>
      </w:r>
    </w:p>
    <w:p>
      <w:pPr>
        <w:pStyle w:val="BookText"/>
        <w:rPr/>
      </w:pP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سعدی، تصحیح محمدعلی فروغی، چاپ هشتم، انتشارات امیرکبیر، تهران،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محمد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فیض الاسلام، تهران،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و ترجمه علی اصغر فقیهی، انتشارات صبا، ایران،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سیوری حلی، جمال الدین مقداد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الطالبین الی نهج المسترشدین، مکتبة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آیة الله المرعشی، قم،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اللوامع الالهیة فی المباحث الکلامیة، تصحیح سید محمد علی قاضی طباطبایی، چاپ اول، انتشارات شفق، تبریز،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جلال الدین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الصغیر، دارالکتب العلمیة،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فی التفسیر بالمأثور، چاپ اول، دارالمعرفة،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شاتوک سیبل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هندو، ترجمه حسن افشار، چاپ اول، نشر مرکز، تهران،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سیدعبدالله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الیقین فی معرفة أصول الدین، منشورات الاعلمی،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یحیی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الفرق الإسلامیة، دارالاضواء، بیروت،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قاضی 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المؤمنین، چاپ سنگی،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محمد بن عبدالکریم، الملل و النحل، تصحیح شیخ احمد فهمی محمد،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 چاپ اول، دارالسرور، بیروت،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 محمد عبدالقادر الفاضل، چاپ دوم، المکتبة المصریة للطباعة و النشر، بیروت،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الأقدام فی علم الکلام، تصحیح آلفرد جیوم، مکتبة الثقافیة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صدرالدین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الکریم، انتشارات بیدار، قم،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الحکمة المتعالیة فی المسائل الربوبیة المسمی بالأسفار الأربعة، وزارت ارشاد اسلامی، تهران،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جلدی، چاپ سوم، دار احیاء التراث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اول، مطبعة مجلس دائرة المعارف العثمانیة ببلدة حیدرآباد الدکن،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الشواهد الربوبیة فی المناهج السلوکیة، حواشی ملاهادی سبزواری، تعلیق و تصحیح و تقدیم سید جلال الدین آشتیانی، چاپ دوم، المرکز الجامعی للنشر،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المبدأ و المعاد، با مقدمه و تصحیح سید جلال الدین آشتیانی، انتشارات انجمن شاهنشانی فلسفه ایران، </w:t>
      </w:r>
      <w:r>
        <w:rPr>
          <w:rFonts w:ascii="IRNazanin" w:hAnsi="IRNazanin" w:eastAsia="IRNazanin"/>
          <w:color w:val="111111"/>
          <w:sz w:val="28"/>
          <w:sz w:val="28"/>
          <w:szCs w:val="28"/>
          <w:lang w:bidi="fa-IR"/>
        </w:rPr>
        <w:t>۱۳۵۴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الرتبه فی طلب الحسبة، لجنة التألیف و الترجمة، قاهره،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قطب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حکمة الاشراق، چاپ 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و تناسخ، مشکوة، شماره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بهار و تابستان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محمد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صدوق، ترجمه محمدعلی قلعه کهنه ای، تهران،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ترجمه آیة الله کمره ای، انتشارات کتابخانه اسلامیه، تهران،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 انتشارات دارالمرتضی،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 چاپ اول، ترجمه حمیدرضا مستفید و علی اکبر غفاری، نشر صدوق، تهران،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صلیبا،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الفلسفی، الشرکة العالمیة للکتاب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ascii="IRNazanin" w:hAnsi="IRNazanin" w:eastAsia="IRNazanin"/>
          <w:color w:val="111111"/>
          <w:sz w:val="28"/>
          <w:sz w:val="28"/>
          <w:szCs w:val="28"/>
          <w:lang w:bidi="fa-IR"/>
        </w:rPr>
        <w:t>۱۴۱۴</w:t>
      </w:r>
      <w:r>
        <w:rPr>
          <w:rFonts w:eastAsia="IRNazanin" w:cs="IRNazanin"/>
          <w:color w:val="111111"/>
          <w:sz w:val="28"/>
          <w:szCs w:val="28"/>
          <w:lang w:bidi="fa-IR"/>
        </w:rPr>
        <w:t>/</w:t>
      </w:r>
      <w:r>
        <w:rPr>
          <w:rFonts w:ascii="IRNazanin" w:hAnsi="IRNazanin" w:eastAsia="IRNazanin"/>
          <w:color w:val="111111"/>
          <w:sz w:val="28"/>
          <w:sz w:val="28"/>
          <w:szCs w:val="28"/>
          <w:lang w:bidi="fa-IR"/>
        </w:rPr>
        <w:t>۱۹۹۴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یا بازگشت به جهان، چاپ اول، نشر موعود، تهران،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سیدمحمدحسین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جلد، چاپ اول، مؤسسة الأعلمی، بیروت،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جامعه مدرسین، قم و مؤسسۀ نشر اسلامی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سلیمان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حمدی عبدالمجید السلفی،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جلد، چاپ دوم، مکتبة ابن </w:t>
      </w:r>
    </w:p>
    <w:p>
      <w:pPr>
        <w:pStyle w:val="BookText"/>
        <w:rPr/>
      </w:pPr>
      <w:r>
        <w:rPr>
          <w:rFonts w:ascii="IRNazanin" w:hAnsi="IRNazanin" w:eastAsia="IRNazanin"/>
          <w:color w:val="111111"/>
          <w:sz w:val="28"/>
          <w:sz w:val="28"/>
          <w:szCs w:val="28"/>
          <w:rtl w:val="true"/>
          <w:lang w:bidi="fa-IR"/>
        </w:rPr>
        <w:t>تیمیة،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فی تفسیر القرآن، چاپ اول، دارالمعرفة للطباعة و النشر، بیروت،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انتشارات ناصر خسرو، تهران،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طبسی نجفی،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و الرجعة،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چاپ سوم، مطبعة الآداب، نجف،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فخرالدین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تحقیق سید احمد حسینی، چاپ دوم، انتشارات مرتضوی، تهران،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ابوجعفر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 الهادی الی طریق الرشاد، چاپ اول، خیام، قم،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الاقتصاد فی ما یتعلق بالاعتقاد، دار الأضواء، بیروت،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فی تفسیر القرآن، تصحیح احمد حبیب قصیر العاملی،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جلد، چاپ اول، مکتب الاعلام الاسلامی، ایران،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مقدمه آغابزرگ تهرانی، دار احیاء التراث العربی،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الشافی، تحقیق سید حسین بحرالعلوم،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 چاپ سوم، منشورات عزیزی، قم،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تمهید الأصول فی علم الکلام، تصحیح عبدالحسین مشکوة الدینی، چاپ اول، دانشگاه تهران،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تحقیق سید حسن موسوی خراسانی،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 دارالتعارف، بیروت،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الرسائل العشر، موسسه نشر اسلامی، قم،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العدة فی أصول الفقه، تصحیح محمدرضا الأنصاری القمی،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چاپ اول، ستاره، قم،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عبدالله الطهرانی، و الشیخ علی احمد ناصح، مؤسسة المعارف الاسلامیة، قم،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مطبعة حیدریه، نجف،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چاپ اول، مؤسسۀ فقه الشیعة، بیروت،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مجرد الفقه و الفتاوی، دارالکتاب العربی، بیروت،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خواجه نصیرالدین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المحصل، دانشگاه تهران،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دارالاضواء، بیروت،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سید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 الطیب، کتابفروشی اسلامی، تهران،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ضیاء الدین علی بن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الأصول،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چاپ اول، مجمع الفکر الاسلامی، قم،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دار صادر، بیروت،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 شهاب الدین احمد بن علی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دارالفکر، بیروت،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ابوهلال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الفروق اللغویة، مکتبة القدسی، قاهره،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الذخیرة فی علم الکلام، تصحیح سیداحمد حسینی،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چاپ اول، موسسه نشر اسلامی، قم،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الشریف المرتضی، تحقیق سیدمهدی رجائی،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 دارالقرآن،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تفسیر 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رسولی محلاتی،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المکتبة العلمیة الإسلامیة، تهران،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 قسم الدراسات الإسلامیة، چاپ اول، مؤسسة </w:t>
      </w:r>
    </w:p>
    <w:p>
      <w:pPr>
        <w:pStyle w:val="BookText"/>
        <w:rPr/>
      </w:pPr>
      <w:r>
        <w:rPr>
          <w:rFonts w:ascii="Amiri" w:hAnsi="Amiri" w:eastAsia="Amiri" w:cs="Amiri"/>
          <w:color w:val="111111"/>
          <w:sz w:val="28"/>
          <w:sz w:val="28"/>
          <w:szCs w:val="28"/>
          <w:rtl w:val="true"/>
          <w:lang w:bidi="ar-SA"/>
        </w:rPr>
        <w:t xml:space="preserve">البعثة، قم، </w:t>
      </w:r>
      <w:r>
        <w:rPr>
          <w:rFonts w:ascii="Amiri" w:hAnsi="Amiri" w:eastAsia="Amiri" w:cs="Amiri"/>
          <w:color w:val="111111"/>
          <w:sz w:val="28"/>
          <w:sz w:val="28"/>
          <w:szCs w:val="28"/>
          <w:lang w:bidi="ar-SA"/>
        </w:rPr>
        <w:t>۱۴۲۱</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ابو حامد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علوم الدین، تصحیح شیخ عبدالعزیز،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جلد، چاپ سوم، دارالقلم،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الاقتصاد فی الاعتقاد، جامعة آنقره، آنقره، </w:t>
      </w:r>
      <w:r>
        <w:rPr>
          <w:rFonts w:ascii="IRNazanin" w:hAnsi="IRNazanin" w:eastAsia="IRNazanin"/>
          <w:color w:val="111111"/>
          <w:sz w:val="28"/>
          <w:sz w:val="28"/>
          <w:szCs w:val="28"/>
          <w:lang w:bidi="fa-IR"/>
        </w:rPr>
        <w:t>۱۹۶۲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کیمیای سعادت،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انتشارات علمی فرهنگی، ایران،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تناسخ ملکوتی در فلسفه صدرالمتألهین، خردنامه صدرا، پاییز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چاپ اول، مرکز نشر دانشگاهی، تهران،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فراهیدی، ابوعبدالرحمن خلیل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العین، تصحیح مهدی مخزومی و ابراهیم سامرائی،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جلد، چاپ اول، مؤسسة الأعلمی، بیروت،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ترتیب و اعداد محمد حسن بکائی، چاپ اول، مؤسسة النشر الاسلامی، قم، </w:t>
      </w:r>
      <w:r>
        <w:rPr>
          <w:rFonts w:ascii="IRNazanin" w:hAnsi="IRNazanin" w:eastAsia="IRNazanin"/>
          <w:color w:val="111111"/>
          <w:sz w:val="28"/>
          <w:sz w:val="28"/>
          <w:szCs w:val="28"/>
          <w:lang w:bidi="fa-IR"/>
        </w:rPr>
        <w:t>۱۴۱۴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فردریک کاپلستون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فلسفه جلد یکم یونان و روم، ترجمه سیدجلال الدین مجتبوی، چاپ سوم، شرکت انتشارات علمی و فرهنگی و انتشارات سروش، تهران،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ازدی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الایضاح، چاپ اول، دانشگاه تهران،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 پیام آسمانی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سخنرانی، نشر معارف اسلامی،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لاهیجی،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مراد، چاپ اول، سازمان چاپ و انتشارات وزارت فرهنگ و ارشاد اسلامی، تهران،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دارالفکر، بیروت،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ضبط و توثیق یوسف الشیخ البقاعی، دارالفکر، بیروت، </w:t>
      </w:r>
      <w:r>
        <w:rPr>
          <w:rFonts w:ascii="IRNazanin" w:hAnsi="IRNazanin" w:eastAsia="IRNazanin"/>
          <w:color w:val="111111"/>
          <w:sz w:val="28"/>
          <w:sz w:val="28"/>
          <w:szCs w:val="28"/>
          <w:lang w:bidi="fa-IR"/>
        </w:rPr>
        <w:t>۱۴۱۵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ملا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جلد، چاپ دوم، مؤسسة الأعلمی للمطبوعات، بیروت،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المحجة البیضاء،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جلد، چاپ دوم، دفتر انتشارات اسلامی جامعه مدرسین، قم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الاصول، تقریرات درس خارج آیة الله ناصر مکارم شیرازی،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 چاپ دوم، انتشارات نسل جوان، قم،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 سید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قرآن، چاپ دهم، دار الکتب الإسلامیة، تهران،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لاحکام القرآن، انتشارات ناصر خسرو، تهران و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جلد مؤسسة التاریخ العربی، بیروت،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الکلام فی مجمع البحوث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المصطلاحات الکلامیة، بنیاد پژوهشهای اسلامی، مشهد،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عباس بن محمدرضا 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الاحباب فی ذکر المعروفین بالکنی و الالقاب و الانساب، نجف،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تصحیح سیدطیب موسوی جزایری،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چاپ اول، دارالسرور، بیروت،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القیومی،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الرضا علی، چاپ اول، دفتر انتشارات اسلامی، قم،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الشیعة و اصولها، مطبعة العربیة النجاة، قاهره،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آیات الاحکام،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چاپ دوم، انتشارات مکتبة </w:t>
      </w:r>
    </w:p>
    <w:p>
      <w:pPr>
        <w:pStyle w:val="BookText"/>
        <w:rPr/>
      </w:pPr>
      <w:r>
        <w:rPr>
          <w:rFonts w:ascii="IRNazanin" w:hAnsi="IRNazanin" w:eastAsia="IRNazanin"/>
          <w:color w:val="111111"/>
          <w:sz w:val="28"/>
          <w:sz w:val="28"/>
          <w:szCs w:val="28"/>
          <w:rtl w:val="true"/>
          <w:lang w:bidi="fa-IR"/>
        </w:rPr>
        <w:t xml:space="preserve">المرتضویة، تهران،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عهد عتیق و عهد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لندن، </w:t>
      </w:r>
      <w:r>
        <w:rPr>
          <w:rFonts w:ascii="IRNazanin" w:hAnsi="IRNazanin" w:eastAsia="IRNazanin"/>
          <w:color w:val="111111"/>
          <w:sz w:val="28"/>
          <w:sz w:val="28"/>
          <w:szCs w:val="28"/>
          <w:lang w:bidi="fa-IR"/>
        </w:rPr>
        <w:t>۱۹۴۷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کتانی، عبدالحئ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الحکومة النبویة،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دارالکتب العربی،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رازی،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ترجمه محمدباقر کمره ای،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 انتشارات اسوه، ایران،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الفروع من الکافی، چاپ سوم، دارالتعارف للمطبوعات، بیروت،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فرهنگنامه قرآنی،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 بنیاد پژوهشهای اسلامی، مشهد،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ایمان، تصحیح صادق لاریجانی، چاپ سوم، انتشارات الزهرا، تهران،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لویس معلوف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فی اللغة، چاپ دوم، نشر بلاغت، قم،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ماتریدی، ابو منصور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فی العقائد، استانبول، </w:t>
      </w:r>
      <w:r>
        <w:rPr>
          <w:rFonts w:ascii="IRNazanin" w:hAnsi="IRNazanin" w:eastAsia="IRNazanin"/>
          <w:color w:val="111111"/>
          <w:sz w:val="28"/>
          <w:sz w:val="28"/>
          <w:szCs w:val="28"/>
          <w:lang w:bidi="fa-IR"/>
        </w:rPr>
        <w:t>۱۹۳۵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التوحید، با ویرایش فتح الله خلیف، دارالمشرق، بیروت، </w:t>
      </w: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ماوردی،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الاحکام السلطانیه، مکتب الاعلام الاسلامی،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جلد، چاپ سوم، دار احیاء التراث العربی، بیروت،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الیقین، چاپ دوم، انتشارات رشیدی،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 شهری،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جلد، مکتب الاعلام الاسلامیة، قم،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میرزامحمدعلی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الادب فی تراجم المعروفین بالکنیة أو اللقب، شفق،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خانبابا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کتابهای چاپی عربی، تهران،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چاپ یازدهم، صدرا، تهران،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تاریخ،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چاپ دوم، صدرا، تهران،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آثار، چاپ اول، انتشارات صدرا، تهران،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چاپ اول، صدرا، تهران،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فلسفی،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 چاپ سوم، حکمت، تهران،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نقدی بر مارکسیسم، چاپ اول، صدرا، تهران،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الأمامیة، با مقدمه حامد حنفی داود، مکتب الثقافة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 عبدالجبار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الأصول الخمسة، تحقیق دکتر عبدالکریم عثمان، چاپ سوم، مکتبة وهبة، بیروت،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 فی ابواب التوحید و العدل، تحقیق دکتر توفیق الطویل و سید زائد، وزارة الثقافة و الارشاد القومی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 دکتر محمود محمد قاسم، به اشراف دکتر طه حسین،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جلد، قاهره،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الحسنی،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برابر معتزله و اشاعره، ترجمه سید محمدصادق عارف، بنیاد پژوهشهای اسلامی، مشهد،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المقالات فی المذاهب و المختارات، به اهتمام مهدی محقق، دانشگاه تهران،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المختارة من العیون و المحاسن، تحقیق سیدمهدی رجائی، دارالقرآن،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مقری فیومی،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چاپ اول، دارالهجره، قم،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قرآن، چاپ دوم، مطبوعاتی هدف، قم،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جلد، چاپ سی و دوم، دارالکتب الاسلامیة، تهران،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الملطی، احمد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 الرد علی اهل الأهواء و البدع، با ویرایش عزت العطار الحسینی، قاهره، </w:t>
      </w:r>
      <w:r>
        <w:rPr>
          <w:rFonts w:ascii="IRNazanin" w:hAnsi="IRNazanin" w:eastAsia="IRNazanin"/>
          <w:color w:val="111111"/>
          <w:sz w:val="28"/>
          <w:sz w:val="28"/>
          <w:szCs w:val="28"/>
          <w:lang w:bidi="fa-IR"/>
        </w:rPr>
        <w:t>۱۹۴۹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خراسانی، میرزا سید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المعارف با مقدمه و حواشی میرسید احمد روضاتی،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۱۳۵۱</w:t>
      </w:r>
    </w:p>
    <w:p>
      <w:pPr>
        <w:pStyle w:val="BookText"/>
        <w:rPr/>
      </w:pP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خوانساری، میرزا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فی أحوال العلماء و السادات، اسماعیلیان،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ابوعباس احمد بن علی، رجال نجاشی، مؤسسۀ نشر اسلامی، قم،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جلد، چاپ هفتم، دار احیاء التراث العربی،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محمدمهدی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السعادات،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 چاپ سوم، مطبعة النجف الاشرف،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 تحقیق علی اکبر غفاری، مکتبة الصدوق، تهران</w:t>
      </w:r>
    </w:p>
    <w:p>
      <w:pPr>
        <w:pStyle w:val="BookText"/>
        <w:rPr/>
      </w:pP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 احمد، قاضی عبدالنبی بن عبدالرسول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العلوم فی اصطلاحات الفنون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سربی، حیدرآباد دکن،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نوبختی، حسن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الشیعة، چاپ دوم، دارالاضواء، بیروت،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طبرسی، میرزاحسین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جلد، چاپ اول، مؤسسة آل البیت، بیروت،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حسن بن محمد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غرائب القرآن ورغائب الفرقان، تصحیح زکریا عمیرات، دار الکتب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تحقیق دکتر محمود یزدی مطلق، مؤسسه امام صادق طلا، قم،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نیشابوری، علی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الوسیط فی تفسیر القرآن المجید، دار الکتب العلمیة،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واسطی، اسلم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واسط، تحقیق کورکیس عواد، عالم الکتب، بیروت،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وجدی، محمد 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القرن العشرین، چاپ سوم، دارالمعرفة، لبنان، </w:t>
      </w: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محمد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القضاة، عالم الکتب،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هاردی، فریدهلم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آسیا، ترجمه عبدالرحیم گواهی، چاپ دوم، دفتر نشر فرهنگ اسلامی،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هروی خراسانی، محمدکاظم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کتابفروشی اسلامیه،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علاء الدین علی 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فی سنن الأقوال و الافعال،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جلد، چاپ پنجم، مؤسسة الرسالة، بیروت،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کتابخانه جامع گوهرشاد مشهد، کتابخانه جامع گوهرشاد، مشهد،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نجاشی، رجال نجاشی، ص</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هدیة الاحباب فی ذکر المعروفین بالکنی و الالقاب و الأنساب،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خلاصة الأقوال فی معرفة الرجال، ص</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مازندرانی، منتهی المقال فی أحوال الرجال،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نورالله شوشتری، مجالس المؤمنین، ص</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المنتظم فی تاریخ الملوک و الأمم،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الکامل فی التواریخ،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لسان المیزان،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داود حلی، کتاب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مقدمه دوم،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 خاتمه مستدرک الوسائل،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خلاصة الأقوال فی معرفة الرجال، ص</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الفهرست،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یزدی 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فهرست نسخه های خطی کتابخانه جامع گوهرشاد،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۱۵۴۰</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الفهرست، ص</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آغابزرگ تهرانی، الذریعة إلی تصانیف الشیعة،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خانبابا مشار، فهرست کتابهای چاپی عربی،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الفهرست، ص</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نجاشی،رجال نجاشی،ص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الفهرست،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نجاشی، رجال نجاشی،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معالم العلماء، ص</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 الفهرست،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معالم العلماء، ص</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الفهرست، ص</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مقدمه،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الفهرست، ص</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نجاشی،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نورالله شوشتری، مجالس المؤمنین،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میرزامحمدباقر موسوی، روضات الجنات فی أحوال العلماء السادات،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محمدعلی مدرس، ریحانة الادب،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الفهرست، ص</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نجاشی، ص</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آغا بزرگ تهرانی، الذریعة،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حسینی، فهرست نسخه های خطی،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الفهرست، ص</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آغابزرگ تهرانی، الذریعة،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۰۶</w:t>
      </w:r>
      <w:r>
        <w:rPr>
          <w:rFonts w:ascii="IRNazanin" w:hAnsi="IRNazanin" w:eastAsia="IRNazanin"/>
          <w:b w:val="false"/>
          <w:b w:val="false"/>
          <w:bCs w:val="false"/>
          <w:i w:val="false"/>
          <w:i w:val="false"/>
          <w:iCs w:val="false"/>
          <w:color w:val="333333"/>
          <w:sz w:val="20"/>
          <w:sz w:val="20"/>
          <w:szCs w:val="20"/>
          <w:rtl w:val="true"/>
        </w:rPr>
        <w:t xml:space="preserve"> شیخ طوسی، الفهرست،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نجاشی، رجال نجاشی، 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ابن شهرآشوب، معالم العلماء، ص</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کنگره هزاره شیخ طوسی، الذکری الألفیة،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الفهرست،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ابن شهر آشوب، معالم العلماء، ص</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المنتظم،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روحانی، فرهنگ آماری کلمات قرآن کریم،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مقاییس اللغة،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البحرین،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النهایة،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لویس معلوف، المنجد، 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المفردات،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ابن فارس، مقاییس اللغة،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الملل و النحل، تحقیق محمد عبد القادر الفاضلی، ص</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بر این امر تصریح دارد که خوارج، دست کم در نخستین روزهای فعالیت کلامی خود، طرد رجال خاصی را در نظر داشتند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عبدالقاهر بغدادی، الفرق بین الفرق،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توشی هیکو ایزوتسو، مفهوم ایمان در کلام اسلامی، ترجمه زهرا پورسینا،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انوار الملکوت فی شرح الیاقوت،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معتزلی، شرح الأصول الخمسة، ص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تفتازانی، شرح المقاصد،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تمهید الاصول،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کلینی، اصول کافی،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اشعری، مقالات الاسلامیین،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دیگری که سخن اشعری دارد، این است که نامی از عثمان و دو سوم، خلود مرتکب کبیره در جهنم را ذکر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اشعری، مقالات الاسلامیین،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العقائد النسفی، ص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معتزلی، شرح الأصول الخمسة، ص</w:t>
      </w:r>
      <w:r>
        <w:rPr>
          <w:rFonts w:ascii="IRNazanin" w:hAnsi="IRNazanin" w:eastAsia="IRNazanin"/>
          <w:b w:val="false"/>
          <w:b w:val="false"/>
          <w:bCs w:val="false"/>
          <w:i w:val="false"/>
          <w:i w:val="false"/>
          <w:iCs w:val="false"/>
          <w:color w:val="333333"/>
          <w:sz w:val="20"/>
          <w:sz w:val="20"/>
          <w:szCs w:val="20"/>
        </w:rPr>
        <w:t>۷۰۷</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۷۱۲</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مرجئه در لغت به معنای تأخیر و اعطای رجاء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معنای تأخیر باشد، این جماعت را از آن رو مرجئه می گویند که عمل را از نیت مؤخر می انگارند و اگر به معنای اعطای رجاء باشد، این جماعت را به این سبب مرجئه می نامند که آنان امیدوارند با داشتن ایمان، معصیت ضرری ندارد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اشعری، مقالات الاسلامیین،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عبدالرحمن الملطی، التنبیه و الرد علی الأهواء و البدع،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اندلسی، الفصل فی الملل و الاهواء و النحل،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ابوالحسن اشعری، مقالات الاسلامیین، ص</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اشعری، مقالات الاسلامیین،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الإبانة عن اصول الدیانة،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اشعری، اللمع فی الرد علی اهل الزیغ و البدع،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الملل و النحل،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بغدادی، الفرق بین الفرق، ص</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عبدالقاهر بغدادی، اصول الدین، ص</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ایجی، شرح المواقف،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انوار الملکوت فی شرح الیاقوت،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ascii="IRNazanin" w:hAnsi="IRNazanin" w:eastAsia="IRNazanin"/>
          <w:b w:val="false"/>
          <w:b w:val="false"/>
          <w:bCs w:val="false"/>
          <w:i w:val="false"/>
          <w:i w:val="false"/>
          <w:iCs w:val="false"/>
          <w:color w:val="333333"/>
          <w:sz w:val="20"/>
          <w:sz w:val="20"/>
          <w:szCs w:val="20"/>
        </w:rPr>
        <w:t>۴۶۰</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اوائل المقالات،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علم الهدی، الذخیرة فی علم الکلام، ص </w:t>
      </w:r>
      <w:r>
        <w:rPr>
          <w:rFonts w:ascii="IRNazanin" w:hAnsi="IRNazanin" w:eastAsia="IRNazanin"/>
          <w:b w:val="false"/>
          <w:b w:val="false"/>
          <w:bCs w:val="false"/>
          <w:i w:val="false"/>
          <w:i w:val="false"/>
          <w:iCs w:val="false"/>
          <w:color w:val="333333"/>
          <w:sz w:val="20"/>
          <w:sz w:val="20"/>
          <w:szCs w:val="20"/>
        </w:rPr>
        <w:t>۵۳۶</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فی شرح تجرید الاعتقاد، ص </w:t>
      </w:r>
      <w:r>
        <w:rPr>
          <w:rFonts w:ascii="IRNazanin" w:hAnsi="IRNazanin" w:eastAsia="IRNazanin"/>
          <w:b w:val="false"/>
          <w:b w:val="false"/>
          <w:bCs w:val="false"/>
          <w:i w:val="false"/>
          <w:i w:val="false"/>
          <w:iCs w:val="false"/>
          <w:color w:val="333333"/>
          <w:sz w:val="20"/>
          <w:sz w:val="20"/>
          <w:szCs w:val="20"/>
        </w:rPr>
        <w:t>۲۲۶</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الفوائد فی شرح القواعد، در ضمن مجموعة الرسائل، ص</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بحرانی، قواعد المرام فی علم الکلام،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سیوری حلی، اللوامع الالهیة، 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شهید ثانی، حقائق الایمان،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صدرالدین شیرازی، تفسیر القرآن الکریم،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لاهیجی، سرمایه ایمان،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ملاهادی سبزواری، شرح منظومه، تعلیق حسن حسن زاده آملی،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تمهید الاصول،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یربوع، جانوری پستاندار و کوچک است که از کوتاهی دستها و درازی پاها و دمشان شناخته می شود و ظاهرا از خانواده موشها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جانور برای حجره خود معبرهای زیادی گذاشته و یکی را می بندد و از آن دیگری خارج می شود و نفاق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نفقاء الیربوع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شده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تمهید الاصول،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الرسائل العشر، ص</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تمهید الأصول،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گذشت، تعدادی از لغت دانان ادعای اتفاق کرده بودند که ایمان در لغت به معنای تصدیق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فیما یتعلق بالاعتقاد،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تمهید الاصول، ص</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ایرادها و پاسخ آنها در دو کتاب تمهید الأصول،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و الاقتصاد فیما یتعلق بالاعتقاد،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تمهید الاصول، ص</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فیما یتعلق بالاعتقاد،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تمهید الاصول، ص</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این نیست که اگر کسی به جزئیات مسائل اعتقادی و فقهی معرفت و تصدیق نداشت، کافر است، بلکه مقصود شیخ آن است که مؤمن، کسی است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به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اجمالا معرفت داشته، آن را تصدیق کند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تمهید الاصول،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سید مرتضی علم الهدی، الذخیرة فی علم الکلام،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جعفر سبحانی، الالهیات،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 xml:space="preserve">؛ شهرستانی، نهایة الأقدام فی علم الکلام،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عبدالقاهر بغدادی، الفرق بین الفرق، 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عبدالرحمن ایجی، شرح المواقف،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تفتازانی، شرح المقاصد،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دو مدرک پیشین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ماتریدی، الرسائل فی العقائد،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توشی هیکو ایزوتسو، مفهوم ایمان در کلام اسلامی، ترجمه زهرا پورسینا،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اشعری، مقالات الاسلامیین، ص</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توشی هیکو ایزوتسو، مفهوم ایمان در کلام اسلامی، ترجمه زهرا پورسینا،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تمهید الاصول، ص</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معارف به کسانی گفته می شود که شناخت خدا و پیامبر را بدیهی و بی نیاز از اکتساب می انگارند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ascii="IRNazanin" w:hAnsi="IRNazanin" w:eastAsia="IRNazanin"/>
          <w:b w:val="false"/>
          <w:b w:val="false"/>
          <w:bCs w:val="false"/>
          <w:i w:val="false"/>
          <w:i w:val="false"/>
          <w:iCs w:val="false"/>
          <w:color w:val="333333"/>
          <w:sz w:val="20"/>
          <w:sz w:val="20"/>
          <w:szCs w:val="20"/>
        </w:rPr>
        <w:t>۲۲۷</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نامبرده، بیشتر با فقه مناسبت دارد تا کلام، آنچه به عهده علم کلام است، اثبات موضوع آن احکام می باشد که کفر و ایمان و حقیقت آن دو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الأصول،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و وعید همین کتاب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اشعری، مقالات الاسلامیین،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عزبه، الروضة البهیة فیما بین الأشاعرة و المعتزلة،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مصنفات الشیخ المفید،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تمهید الاصول،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طبرسی، مجمع البیان،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تمهید الاصول، ص</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سید مرتضی علم الهدی، الذخیرة فی علم الکلام، ص</w:t>
      </w:r>
      <w:r>
        <w:rPr>
          <w:rFonts w:ascii="IRNazanin" w:hAnsi="IRNazanin" w:eastAsia="IRNazanin"/>
          <w:b w:val="false"/>
          <w:b w:val="false"/>
          <w:bCs w:val="false"/>
          <w:i w:val="false"/>
          <w:i w:val="false"/>
          <w:iCs w:val="false"/>
          <w:color w:val="333333"/>
          <w:sz w:val="20"/>
          <w:sz w:val="20"/>
          <w:szCs w:val="20"/>
        </w:rPr>
        <w:t>۵۳۷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معتزلی، شرح الأصول الخمسة، ص</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مصنفات الشیخ المفید،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۸۴</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عبدالرحمن ایجی، شرح المواقف،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۰۴۱</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تمهید الاصول، ص </w:t>
      </w:r>
      <w:r>
        <w:rPr>
          <w:rFonts w:ascii="IRNazanin" w:hAnsi="IRNazanin" w:eastAsia="IRNazanin"/>
          <w:b w:val="false"/>
          <w:b w:val="false"/>
          <w:bCs w:val="false"/>
          <w:i w:val="false"/>
          <w:i w:val="false"/>
          <w:iCs w:val="false"/>
          <w:color w:val="333333"/>
          <w:sz w:val="20"/>
          <w:sz w:val="20"/>
          <w:szCs w:val="20"/>
        </w:rPr>
        <w:t>۲۹۹</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پنجگانه آنان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عدل، وعد و وعید، منزلة بین المنزلتین و امر به معروف و نهی از منکر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ابوالحسین خیاط، الانتصار،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معتزلی، شرح الأصول الخمسه،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۷۱۲</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ascii="IRNazanin" w:hAnsi="IRNazanin" w:eastAsia="IRNazanin"/>
          <w:b w:val="false"/>
          <w:b w:val="false"/>
          <w:bCs w:val="false"/>
          <w:i w:val="false"/>
          <w:i w:val="false"/>
          <w:iCs w:val="false"/>
          <w:color w:val="333333"/>
          <w:sz w:val="20"/>
          <w:sz w:val="20"/>
          <w:szCs w:val="20"/>
        </w:rPr>
        <w:t>۴۶۰</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قواعد العقائد،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العقائد النسفی، به نقل از شرح المصطلحات الکلامیة،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معتزلی، شرح الأصول الخمسة، ص</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عبدالرحمن ایجی، شرح المواقف،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تفتازانی، شرح المقاصد،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ascii="IRNazanin" w:hAnsi="IRNazanin" w:eastAsia="IRNazanin"/>
          <w:b w:val="false"/>
          <w:b w:val="false"/>
          <w:bCs w:val="false"/>
          <w:i w:val="false"/>
          <w:i w:val="false"/>
          <w:iCs w:val="false"/>
          <w:color w:val="333333"/>
          <w:sz w:val="20"/>
          <w:sz w:val="20"/>
          <w:szCs w:val="20"/>
        </w:rPr>
        <w:t>۴۶۰</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اوائل المقالات،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۵۲۰</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اوائل المقالات، ص</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معتزلی، شرح الأصول الخمسة، ص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عبدالرحمن ایجی، شرح المواقف،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تفتازانی، شرح المقاصد،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سیوری حلی، اللوامع الالهیة،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شهید ثانی، حقائق الایمان،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معتزلی، شرح الأصول الخمسة، ص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فخر رازی، المحصل،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الاقتصاد فی الاعتقاد،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النجاة من الغرق،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الهی قمشه ای، حکمت الهی،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طبرسی، مستدرک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سیوطی، الجامع الصغیر،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۱۸۵۸</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الأمر بالمعروف و النهی عن المنکر للحلقان من لخلق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شیخ طوسی، تهذیب الاحکام،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صبغة الله و من احسن من الله صبغة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عبدالحی الکتانی، الترتیب الاداریة،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 در زمان خلیفه عباسی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طرح و معروف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وهبة الزحیلی، الفقه الاسلامی،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القضاة عرنوسی، 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علاء الدین متقی هندی، کنزالعمال،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۰۸۱۵</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التجارة، باب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خلف الوکیع، اخبار القضاة،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اسلم بن سهل واسطی، تاریخ واسط، ص</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جرجی زیدان، تاریخ تمدن اسلامی،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مقدمه ابن خلدون،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ابن طیفور، تاریخ الخلافة العباسیة، ص</w:t>
      </w:r>
      <w:r>
        <w:rPr>
          <w:rFonts w:ascii="IRNazanin" w:hAnsi="IRNazanin" w:eastAsia="IRNazanin"/>
          <w:b w:val="false"/>
          <w:b w:val="false"/>
          <w:bCs w:val="false"/>
          <w:i w:val="false"/>
          <w:i w:val="false"/>
          <w:iCs w:val="false"/>
          <w:color w:val="333333"/>
          <w:sz w:val="20"/>
          <w:sz w:val="20"/>
          <w:szCs w:val="20"/>
        </w:rPr>
        <w:t>۱۲</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الاخوة، معالم القربة فی أحکام الحسبة؛ عبدالرحمن شیرازی، نهایة الرتبة فی طلب الحسبة؛ ابنتیمیه، الحسبة فی الاسلام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ترک إنکار المنکر بقلبه و یده و لسانه فهو میت بین الأحیاء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نهی از منکر، یکی از اصول پنجگانه معتزله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کاشف الغطاء، اصل الشیعة و اصولها،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کیمیای سعادت،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احیاء علوم الدین،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نوری طبرسی، مستدرک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وإن رأس الأمر بالمعروف أن تنتهوا إلی 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أمر بمعروف و لا نهی عن منکر إلا مع إمام معصوم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نوری طبرسی، مستدرک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لابد للناس من أمیر بر أو فاجر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خ</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با ترجمه دکتر شهیدی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طبرسی، مستدرک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معتزلی، شرح الأصول الخمسة، ص</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السیاسة الشرعیة فی اصلاح الرعی و الرعیة،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۰۶۱</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تحف العقول،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تمهید الاصول، ص</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تحف العقول،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طبرسی، مستدرک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پنجگانه در معتزله، توحید، عدل، منزلة بین المنزلتین، وعد وعید و امر به معروف و نهی از منکر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الجبار معتزلی، شرح الأصول الخمسه، ص</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الملل و النحل،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معتزلی، فرق و طبقات المعتزله، ص</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نیز آن را جزء اصول دین به حساب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ملامهدی نراقی، جامع السعادات،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احیاء علوم الدین،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بحث امر به معروف؛ کیمیای سعادت، ج</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المحجة البیضاء، 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حدیث ، حر عاملی،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نوری طبرسی، مستدرک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طبرسی، مستدرک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معتزلی، شرح الأصول الخمسة، ص</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محمد ابوزهره، تاریخ المذاهب الإسلامیة،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لویس معلوف، المنجد، ماده امر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النماء و البرکة و امرأة أمیرة أی مبارکة علی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فراهیدی، کتاب العین،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مقاییس اللغة،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خراسانی، کفایة الاصول،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بحث اوامر؛ ضیاء الدین علی عراقی، مقالات الأصول،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مکارم شیرازی، انوار الاصول،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۰۲۱۲</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العدة فی أصول الفقه،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مقاییس اللغة،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مقاییس اللغة،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خراسانی، کفایة الاصول،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باب اوامر و نواهی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الدین عراقی، مقالات الاصول،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مکارم شیرازی، انوار الاصول،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العدة فی أصول الفقه،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عبدالجبار معتزلی نیز امر و نهی را چون شیخ طوسی تعریف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العدة فی أصول الفقه،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مناهج الیقین، ص </w:t>
      </w:r>
      <w:r>
        <w:rPr>
          <w:rFonts w:ascii="IRNazanin" w:hAnsi="IRNazanin" w:eastAsia="IRNazanin"/>
          <w:b w:val="false"/>
          <w:b w:val="false"/>
          <w:bCs w:val="false"/>
          <w:i w:val="false"/>
          <w:i w:val="false"/>
          <w:iCs w:val="false"/>
          <w:color w:val="333333"/>
          <w:sz w:val="20"/>
          <w:sz w:val="20"/>
          <w:szCs w:val="20"/>
        </w:rPr>
        <w:t>۵۴۱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معتزلی، شرح الأصول الخمسة،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سیوریحلی، ارشاد الطالبین،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حمصی رازی، المنقذ من التقلید،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۸۰۶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راغب اصفهانی، المفردات،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۸۰۶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۸۰۷</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شیخ طوسی، التبیان،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۷۵۰</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طبرسی، مجمع البیان،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۷۵۰</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مناهج الیقین،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سیوری حلی، ارشاد الطالبین، 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فی شرح تجرید الاعتقاد،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الرسائل العشر، رسالة الجمل و العقود،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را به پا دار، امر به معروف و نهی از منکر کن و بر آنچه به تو می رسد، صابر باش، که این صبر و راهنمایی از عزم ثابت در امور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معتزلی، فرق و طبقات المعتزله، ج</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حمصی رازی، المنقذ من التقلید،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تفتازانی، شرح المقاصد،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علامه حلی، انوارالملکوت فی شرح الیاقوت،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؛سید مرتضی علم الهدی، الذخیرة فی علم الکلام، ص</w:t>
      </w:r>
      <w:r>
        <w:rPr>
          <w:rFonts w:ascii="IRNazanin" w:hAnsi="IRNazanin" w:eastAsia="IRNazanin"/>
          <w:b w:val="false"/>
          <w:b w:val="false"/>
          <w:bCs w:val="false"/>
          <w:i w:val="false"/>
          <w:i w:val="false"/>
          <w:iCs w:val="false"/>
          <w:color w:val="333333"/>
          <w:sz w:val="20"/>
          <w:sz w:val="20"/>
          <w:szCs w:val="20"/>
        </w:rPr>
        <w:t>۵۵۳</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تمهید الاصول، 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معتزلی، شرح الأصول الخمسة، ص </w:t>
      </w:r>
      <w:r>
        <w:rPr>
          <w:rFonts w:ascii="IRNazanin" w:hAnsi="IRNazanin" w:eastAsia="IRNazanin"/>
          <w:b w:val="false"/>
          <w:b w:val="false"/>
          <w:bCs w:val="false"/>
          <w:i w:val="false"/>
          <w:i w:val="false"/>
          <w:iCs w:val="false"/>
          <w:color w:val="333333"/>
          <w:sz w:val="20"/>
          <w:sz w:val="20"/>
          <w:szCs w:val="20"/>
        </w:rPr>
        <w:t>۱۴۲</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الملل و النحل،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ابوالحسن اشعری، مقالات الاسلامیین،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باقلانی، التمهید،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معتزلی، شرح الأصول الخمسة،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عبدالرحمن ایجی، شرح المواقف،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خواجه نصیرالدین طوسی، کشف المراد، ص </w:t>
      </w:r>
      <w:r>
        <w:rPr>
          <w:rFonts w:ascii="IRNazanin" w:hAnsi="IRNazanin" w:eastAsia="IRNazanin"/>
          <w:b w:val="false"/>
          <w:b w:val="false"/>
          <w:bCs w:val="false"/>
          <w:i w:val="false"/>
          <w:i w:val="false"/>
          <w:iCs w:val="false"/>
          <w:color w:val="333333"/>
          <w:sz w:val="20"/>
          <w:sz w:val="20"/>
          <w:szCs w:val="20"/>
        </w:rPr>
        <w:t>۴۲۷</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الرسائل العشر،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سید مرتضی علم الهدی، الذخیرة فی علم الکلام، ص</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علامه حلی، انوار الملکوت فی شرح الیاقوت،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زمخشری، الکشاف،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سیوری حلی، ارشاد الطالبین،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حمصی رازی، المنقذ من التقلید،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معتزلی، شرح الأصول الخمسة،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الأصول،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الرسائل العشر، ص</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الروضة البهیة فی شرح اللمعة الدمشقیة،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محمدحسن نجفی، جواهر الکلام، 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معتزلی، شرح الأصول الخمسة، ص</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اوائل المقالات،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تفتازانی، شرح المقاصد،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غزالی، کیمیای سعادت،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اشعری، مقالات الاسلامیین،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عبدالجبار معتزلی، شرح الأصول الخمسة ص </w:t>
      </w:r>
      <w:r>
        <w:rPr>
          <w:rFonts w:ascii="IRNazanin" w:hAnsi="IRNazanin" w:eastAsia="IRNazanin"/>
          <w:b w:val="false"/>
          <w:b w:val="false"/>
          <w:bCs w:val="false"/>
          <w:i w:val="false"/>
          <w:i w:val="false"/>
          <w:iCs w:val="false"/>
          <w:color w:val="333333"/>
          <w:sz w:val="20"/>
          <w:sz w:val="20"/>
          <w:szCs w:val="20"/>
        </w:rPr>
        <w:t>۷۴۵</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علم الهدی، الذخیرة فی علم الکلام،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۵۶۰</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الرسائل العشر، ص</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السلطانیة،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علم الهدی، الذخیرة فی علم الکلام، ص</w:t>
      </w:r>
      <w:r>
        <w:rPr>
          <w:rFonts w:ascii="IRNazanin" w:hAnsi="IRNazanin" w:eastAsia="IRNazanin"/>
          <w:b w:val="false"/>
          <w:b w:val="false"/>
          <w:bCs w:val="false"/>
          <w:i w:val="false"/>
          <w:i w:val="false"/>
          <w:iCs w:val="false"/>
          <w:color w:val="333333"/>
          <w:sz w:val="20"/>
          <w:sz w:val="20"/>
          <w:szCs w:val="20"/>
        </w:rPr>
        <w:t>۵۵۳</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معتزلی، شرح الأصول الخمسة،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تمهید الاصول، 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الاصول،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معتزلی، شرح الأصول الخمسة، ص</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شیخ طوسی، 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جمعی از شما به نیکی، امر به معروف و نهی از منکر، دعوت بنمایند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بهترین امتی بودید که به نفع انسانها آفریده شده اند، که امر به معروف و نهی از منکر می کنید و به خدا ایمان دارید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باب معروف و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مقاله،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دیدگاهها درباره وجوب امر به معروف و نهی از منکر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معتزلی، شرح الأصول الخمسة،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فی شرح تجرید الاعتقاد،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مناهج الیقین، ص </w:t>
      </w:r>
      <w:r>
        <w:rPr>
          <w:rFonts w:ascii="IRNazanin" w:hAnsi="IRNazanin" w:eastAsia="IRNazanin"/>
          <w:b w:val="false"/>
          <w:b w:val="false"/>
          <w:bCs w:val="false"/>
          <w:i w:val="false"/>
          <w:i w:val="false"/>
          <w:iCs w:val="false"/>
          <w:color w:val="333333"/>
          <w:sz w:val="20"/>
          <w:sz w:val="20"/>
          <w:szCs w:val="20"/>
        </w:rPr>
        <w:t>۵۴۱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سید مرتضی علم الهدی، الذخیرة فی علم الکلام، ص</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۵۵۴</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تمهید الاصول، ص</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تمهید الاصول، ص</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معتزلی، شرح الأصول الخمسة، ص </w:t>
      </w:r>
      <w:r>
        <w:rPr>
          <w:rFonts w:ascii="IRNazanin" w:hAnsi="IRNazanin" w:eastAsia="IRNazanin"/>
          <w:b w:val="false"/>
          <w:b w:val="false"/>
          <w:bCs w:val="false"/>
          <w:i w:val="false"/>
          <w:i w:val="false"/>
          <w:iCs w:val="false"/>
          <w:color w:val="333333"/>
          <w:sz w:val="20"/>
          <w:sz w:val="20"/>
          <w:szCs w:val="20"/>
        </w:rPr>
        <w:t>۷۴۲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۷۴۳</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ایجی، شرح المواقف،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غزالی، کیمیای سعادت،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قوم هما من فروض الأعیان و هو القوی عندی لعموم آی القرآن و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 یقوی فی نفسی أنهما من فروض الأعیان لان عموم ظواهر الآیات و عموم الأخبار، یقتضی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تمهید الأصول،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 من فرائض الأعیان عند شروط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 الرسائل العشر،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۸۴۹</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۰۷۱</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۲۵۸</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معتزلی، شرح الأصول الخمسة، ص</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کاظمی، مسالک الافهام الی آیات الاحکام،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طبرسی، مستدرک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رضا، المنار،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بن عیاش، تفسیر العیاشی،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نوری طبرسی، مستدرک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طبرسی، مستدرک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فکلکم راع وکلکم مسؤول عن رعیته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الجامع الصغیر،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۶۳۷۰</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الجامع الصغیر،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۸۱۵۵</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گلستان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کلیات سعدی،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رضا، المناز،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طبرسی، مستدرک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باب وجوب اهتمام بامور المسلمین؛ سیوطی، الجامع الصغیر،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۸۴۵۳</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واعظ زاده خراسانی، مجله رسالة التقریب، شماره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به همین مضمون،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رشید رضا، المنار،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تحف العقول،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کتاب الامر بالمعروف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فروع کافی،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طبرسی، مستدرک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کتاب الامر بالمعروف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سیوطی، الجامع الصغیر، ج</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۷۶۹۳</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نوری طبرسی، مستدرک الوسائل،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فروع 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ملا مهدی نراقی، جامع السعادات،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۲۰۱۸</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کیمیای سعادت، ص</w:t>
      </w:r>
      <w:r>
        <w:rPr>
          <w:rFonts w:ascii="IRNazanin" w:hAnsi="IRNazanin" w:eastAsia="IRNazanin"/>
          <w:b w:val="false"/>
          <w:b w:val="false"/>
          <w:bCs w:val="false"/>
          <w:i w:val="false"/>
          <w:i w:val="false"/>
          <w:iCs w:val="false"/>
          <w:color w:val="333333"/>
          <w:sz w:val="20"/>
          <w:sz w:val="20"/>
          <w:szCs w:val="20"/>
        </w:rPr>
        <w:t>۵۱۸</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گلستان،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کیمیای سعادت،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رضا، المنار،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اختلاف را اشعری به مرجئه نسبت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الکشاف،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نظام الدین حسن نیشابوری، تفسیر غرائب القرآن،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کیمیای سعادت،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۵۰۳</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مقاله، بحث وجوب امر به معروف و نهی از منکر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ایجی، شرح المواقف،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غزالی، کیمیای سعادت،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الرسائل العشر،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تفتازانی، شرح المقاصد،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الکشاف،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عبدالجبار معتزلی، شرح الأصول الخمسة،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علم الهدی، الذخیرة فی علم الکلام،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شیخ طوسی، تمهید الاصول،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فیما یتعلق بالاعتقاد،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تمهید الاصول،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تمهید الاصول، ص</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علم الهدی، الذخیرة فی علم الکلام،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۵۵۷</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النهایة،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الرسائل العشر، 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تمهید الأصول، ص</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تمهیدالاصول، ص</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معتزلی، شرح الأصول الخمسة،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تمهید الاصول،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اشعری، مقالات الاسلامیین،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اوائل المقالات، ص</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الکشاف،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الأصول،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کیمیای سعادت،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ملامهدی نراقی، جامع السعادات،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فیما یتعلق بالاعتقاد،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ص</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سید مرتضی علم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فی علم الکلام، ص </w:t>
      </w:r>
      <w:r>
        <w:rPr>
          <w:rFonts w:ascii="IRNazanin" w:hAnsi="IRNazanin" w:eastAsia="IRNazanin"/>
          <w:b w:val="false"/>
          <w:b w:val="false"/>
          <w:bCs w:val="false"/>
          <w:i w:val="false"/>
          <w:i w:val="false"/>
          <w:iCs w:val="false"/>
          <w:color w:val="333333"/>
          <w:sz w:val="20"/>
          <w:sz w:val="20"/>
          <w:szCs w:val="20"/>
        </w:rPr>
        <w:t>۵۵۹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الرسائل العشر،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النهایه، ص</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احکام القرآن،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پژوهشهای اسلامی، شرح المصطلحات الکلامیة،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الرسائل العشر،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الاعتقادات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لاهیجی، سرمایه ایمان،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شیرازی، سبیل النجاة،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۸۲۳</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 بروسوی، روح البیان،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الکشاف،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آنها نمی دانند خدایی که آسمانها را با آن عظمت و زمین را با آن همه شگفتیهایش آفرید و هیچ گاه از آفرینش آنها ناتوان نشده، قادر است که مردگان را زنده کند؟ آری او بر همه چیز تواناست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همان کسی است که بادها را فرستاد تا ابرها را به حرکت درآورند، سپس آن را به سوی سرزمینی می رانیم و با آن، زمین مرده ای را به واسطه رویاندن گیاهان زنده می کنیم، رستاخیز مردگان نیز همین 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بادها را پیشاپیش باران رحمتش می فرستد تا ابرهای سنگین بار را بر دوش حمل کنند، در این هنگام، ابرها را به سوی سرزمینهای مرده می فرستیم تا به وسیله آن، آب حیات بخش نازل کنیم و با آن، میوه های گوناگون را از خاک مرده بیرون می آوریم و این گونه مردگان را از قبرها خارج میسازیم، شاید متذکر 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شما در روز قیامت و قدرت خدا بر بعث مردگان شک و ریبی دارید، بدانید که ما شما را از خاک آفریدیم، آنگاه از آب نطفه، آنگاه از خون بسته، آنگاه از پاره گوشت تمام و ناتمام تا در این انتقال و تحولات، قدرت خود را بر شما آشکار سازیم و از نطفه ها، آنچه را که مشیت ما تعلق گیرد، در رچمها قرار دهیم تا در وقت معین، طفلی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رحم بیرون آوریم تا زیست کند و به حد بلوغ و کمال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آثار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بر آن است که خدای قادر، حق است و البته مردگان را زنده خواهد کرد و او محققا</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شیخ طوسی، 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همان،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الأصول،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التبیان،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عبدالرزاق لاهیجی، گوهر مراد،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عبدالرزاق لاهیجی، گوهر مراد، ص</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تمهید الاصول،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الاقتصاد فیما یتعلق بالاعتقاد،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التبیان،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۵۱۸</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صدور فعل لغو از خداوند، امکان وقوعی ندارد، والا در امکان ذاتی آن، اختلافی نیست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مجموعه آثار،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۶۷۹</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الکشاف،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فخر رازی، التفسیر الکبیر،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لاهیجی، سرمایه ایمان،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ascii="IRNazanin" w:hAnsi="IRNazanin" w:eastAsia="IRNazanin"/>
          <w:b w:val="false"/>
          <w:b w:val="false"/>
          <w:bCs w:val="false"/>
          <w:i w:val="false"/>
          <w:i w:val="false"/>
          <w:iCs w:val="false"/>
          <w:color w:val="333333"/>
          <w:sz w:val="20"/>
          <w:sz w:val="20"/>
          <w:szCs w:val="20"/>
        </w:rPr>
        <w:t>۴۴۹</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مجموعه آثار،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۶۷۶</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مقصد ششم، مسئله چهارم، 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مسلم، کسی است که تسلیم فرمان خداست و جز آنچه او اراده کرده، پیروی نمیکند؛ اگر انجام کاری را اراده کرده، انجام می دهد و اگر ترک کاری را خواسته، ترک میکند و در مقابل أن، مجرم است؛ کسی که عمل زشت را مرتکب بشود و مطیع فرمان خدا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طباطبایی، المیزان،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۶۳۹</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پیام قرآن،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خواجکی شیرازی، النظامیة فی مکتب الأمامیة،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لاهیجی، گوهر مراد، ص</w:t>
      </w:r>
      <w:r>
        <w:rPr>
          <w:rFonts w:ascii="IRNazanin" w:hAnsi="IRNazanin" w:eastAsia="IRNazanin"/>
          <w:b w:val="false"/>
          <w:b w:val="false"/>
          <w:bCs w:val="false"/>
          <w:i w:val="false"/>
          <w:i w:val="false"/>
          <w:iCs w:val="false"/>
          <w:color w:val="333333"/>
          <w:sz w:val="20"/>
          <w:sz w:val="20"/>
          <w:szCs w:val="20"/>
        </w:rPr>
        <w:t>۶۲۵</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زاهدی، مکتب کلامی شیخ الطایفه یادنامه شیخ طوسی،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۵۲۵</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الاربعین فی اصول الدین،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ابن میثم بحرانی، قواعد المرام، ص</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نصیرالدین طوسی، تلخیص المحصل، ص</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سیوری حلی، ارشاد الطالبین الی نهج المسترشدین، ص</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خواجه نصیرالدین طوسی، تلخیص المحصل، ص</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صدرالدین شیرازی، الحکمة المتعالیة،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نصیرالدین طوسی، تلخیص المحصل،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عبدالرحمن ایجی، شرح المواقف،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عبدالرزاق لاهیجی، گوهر مراد، ص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مقصد ششم، مسئله چهارم، ص </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الأصول،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ملاهادی سبزواری، اسرارالحکم، ص</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طوسی، تمهید الأصول،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این بحث را با عنوان کیفیت اعاده اجسام، مطرح نموده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الاقتصاد فی الاعتقاد، ص</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لاهیجی، گوهر مراد، ص </w:t>
      </w:r>
      <w:r>
        <w:rPr>
          <w:rFonts w:ascii="IRNazanin" w:hAnsi="IRNazanin" w:eastAsia="IRNazanin"/>
          <w:b w:val="false"/>
          <w:b w:val="false"/>
          <w:bCs w:val="false"/>
          <w:i w:val="false"/>
          <w:i w:val="false"/>
          <w:iCs w:val="false"/>
          <w:color w:val="333333"/>
          <w:sz w:val="20"/>
          <w:sz w:val="20"/>
          <w:szCs w:val="20"/>
        </w:rPr>
        <w:t>۴۵۳</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در لغت به معنای مرغوب و محبوب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 الشیء، بالضم، نفاسته، فهو نفیس و نافس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و صار مرغوب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۵۱۵</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سیوری حلی، ارشاد الطالبین الی نهج المسترشدین، ص </w:t>
      </w:r>
      <w:r>
        <w:rPr>
          <w:rFonts w:ascii="IRNazanin" w:hAnsi="IRNazanin" w:eastAsia="IRNazanin"/>
          <w:b w:val="false"/>
          <w:b w:val="false"/>
          <w:bCs w:val="false"/>
          <w:i w:val="false"/>
          <w:i w:val="false"/>
          <w:iCs w:val="false"/>
          <w:color w:val="333333"/>
          <w:sz w:val="20"/>
          <w:sz w:val="20"/>
          <w:szCs w:val="20"/>
        </w:rPr>
        <w:t>۱۳۸۸</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مقصد دوم، مسئله چهارم، فصل پنجم،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المطالب العالیه فی علم الالهی،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الاشارات و التنبیهات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اشارات خواجه نصیر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صدرالدین شیرازی، الحکمة المتعالیة،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۳۰۳</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مبادا تو گمان کنی که اینها مردگانند، بلکه زنده و مرزوقند و الآن به آنچه خداوند به آنها داده است، شادمانند و منتظر و مستبشر بشارتهایی هستند از ناحیه کسانی که هنوز به آنها ملحق نشده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خواجکی شیرازی، النظامیة فی مذهب الإمامیة،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الاقتصاد فیما یتعلق بالاعتقاد، ص</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مقصد ششم، مسئله چهاردهم، ص </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ایجی، شرح المواقف،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ثواب و عوض در این است که ثواب، با تکریم و تعظیم همراه است، ولی عوض، از تکریم و بزرگداشت، خالی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تمیهد الاصول،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تمهید الاصول، ص</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التبیان،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الرسائل العشر،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عبارت است از سود و منفعتی که همراه تعظیم و تکریم، نصیب مستحق آن می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عبارت است از ضرر و زیانی که به همراه توهین و کوچک شمردن، به مستحق آن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۱۳۹۰</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اوائل المقالات،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نصیرالدین طوسی، شرح تجرید، ص</w:t>
      </w:r>
      <w:r>
        <w:rPr>
          <w:rFonts w:ascii="IRNazanin" w:hAnsi="IRNazanin" w:eastAsia="IRNazanin"/>
          <w:b w:val="false"/>
          <w:b w:val="false"/>
          <w:bCs w:val="false"/>
          <w:i w:val="false"/>
          <w:i w:val="false"/>
          <w:iCs w:val="false"/>
          <w:color w:val="333333"/>
          <w:sz w:val="20"/>
          <w:sz w:val="20"/>
          <w:szCs w:val="20"/>
        </w:rPr>
        <w:t>۴۴۳</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مناهج الیقین، ص</w:t>
      </w:r>
      <w:r>
        <w:rPr>
          <w:rFonts w:ascii="IRNazanin" w:hAnsi="IRNazanin" w:eastAsia="IRNazanin"/>
          <w:b w:val="false"/>
          <w:b w:val="false"/>
          <w:bCs w:val="false"/>
          <w:i w:val="false"/>
          <w:i w:val="false"/>
          <w:iCs w:val="false"/>
          <w:color w:val="333333"/>
          <w:sz w:val="20"/>
          <w:sz w:val="20"/>
          <w:szCs w:val="20"/>
        </w:rPr>
        <w:t>۵۲۶</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معتزلی، شرح الأصول الخمسه، ص </w:t>
      </w:r>
      <w:r>
        <w:rPr>
          <w:rFonts w:ascii="IRNazanin" w:hAnsi="IRNazanin" w:eastAsia="IRNazanin"/>
          <w:b w:val="false"/>
          <w:b w:val="false"/>
          <w:bCs w:val="false"/>
          <w:i w:val="false"/>
          <w:i w:val="false"/>
          <w:iCs w:val="false"/>
          <w:color w:val="333333"/>
          <w:sz w:val="20"/>
          <w:sz w:val="20"/>
          <w:szCs w:val="20"/>
        </w:rPr>
        <w:t>۶۸۷</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ایجی، شرح المواقف،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اساس البلاغه،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زبیدی، تاج العروس،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باب العین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 فیومی، المصباح المنیر،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زبیدی، تاج العروس،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باب العین؛ سیاح احمد، فرهنگ جامع نوین،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انیس، المعجم الوسیط،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فخرالدین طریحی، مجمع البحرین،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باب العین، دستور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ازهری، تهذیب اللغة، باب العین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فیروزآبادی، القاموس المحیط،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ماده شفع</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التبیان،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الشفاعة إذا حصلت من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فإنها تنفع لامحالة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ترجمه سید محمدباقر موسوی همدانی،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فلسفی، گفتار فلسفی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الکرسی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جعفر سبحانی، منشور جاوید،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فی إسقاط المضار دون زیادة المنافع</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ترجمه سید محمد باقر موسوی،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تفسیر نمونه،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ترجمه سید محمدباقر موسوی،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۴۰۷</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ثواب الاعمال،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طباطبایی، المیزان، ترجمه سیدمحمدباقر موسوی،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ری شهری، میزان الحکمه،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ها،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کلمات قصار،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اوائل المقالات،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نصیرالدین طوسی، کشف المراد، ص</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التفسیر الکبیر،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ایجی، شرح المواقف،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معتزلی، شرح الأصول الخمسه، ص </w:t>
      </w:r>
      <w:r>
        <w:rPr>
          <w:rFonts w:ascii="IRNazanin" w:hAnsi="IRNazanin" w:eastAsia="IRNazanin"/>
          <w:b w:val="false"/>
          <w:b w:val="false"/>
          <w:bCs w:val="false"/>
          <w:i w:val="false"/>
          <w:i w:val="false"/>
          <w:iCs w:val="false"/>
          <w:color w:val="333333"/>
          <w:sz w:val="20"/>
          <w:sz w:val="20"/>
          <w:szCs w:val="20"/>
        </w:rPr>
        <w:t>۶۸۷</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مقاییس اللغة،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جوهری، الصحاح فی اللغة و العلوم،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راغب اصفهانی، معجم مفردات الفاظ القرآن،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زمخشری، اساس البلاغه، ص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ابن منظور، لسان العرب،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فرهنگ و ادب بنیاد پژوهشهای اسلامی، فرهنگنامه قرآنی،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۱۶۰۹</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مقاییس اللغة،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جوهری، الصحاح فی اللغة و العلوم،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معجم مفردات الفاظ القرآن، ص</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زمخشری، اساس البلاغه، ص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ابن منظور، لسان العرب،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فرهنگ و ادب بنیاد پژوهشهای اسلامی، فرهنگنامه قرآنی،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۱۶۰۹</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در اساس البلاغه،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معتقد است که در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مجازی دارد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معتزلی، شرح الأصول الخمسة،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الملل و النحل،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معتزلی، فرق و طبقات المعتزله، 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اموری که مکلف با انجام فعل، مستحق آن می شود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تمهید الاصول،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ص </w:t>
      </w:r>
      <w:r>
        <w:rPr>
          <w:rFonts w:ascii="IRNazanin" w:hAnsi="IRNazanin" w:eastAsia="IRNazanin"/>
          <w:b w:val="false"/>
          <w:b w:val="false"/>
          <w:bCs w:val="false"/>
          <w:i w:val="false"/>
          <w:i w:val="false"/>
          <w:iCs w:val="false"/>
          <w:color w:val="333333"/>
          <w:sz w:val="20"/>
          <w:sz w:val="20"/>
          <w:szCs w:val="20"/>
        </w:rPr>
        <w:t>۱۱۲۰</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الحکیم بلیع، ادب المعتزله، ص</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الملل و النحل،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اشعری، مقالات الاسلامیین،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۲۰۹</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الملل و النحل،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اشعری، مقالات الاسلامیین،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یحیی بن مرتضی، المنیة و الأمل،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نظام الدین نیشابوری، غرائب القرآن،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 اعتزال و اصل در آن چهار قاعده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 صفات باری، قول به قدر، منزلة بین المنزلتین و مخطیء بودن لابعینه یکی از دو فرقه، اصحاب جمل و اصحاب 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عبدالجبار معتزلی، فرق و طبقات المعتزله، 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عثمان، مقدمه شرح الأصول الخمسة،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یحیی بن مرتضی، المنیة و الامل،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ابوالحسین خیاط، الانتصار،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معتزلی، شرح الأصول الخمسة،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انوار الملکوت فی شرح الیاقوت،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اعتقادات شیخ صدوق،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اوائل المقالات، ص</w:t>
      </w:r>
      <w:r>
        <w:rPr>
          <w:rFonts w:ascii="IRNazanin" w:hAnsi="IRNazanin" w:eastAsia="IRNazanin"/>
          <w:b w:val="false"/>
          <w:b w:val="false"/>
          <w:bCs w:val="false"/>
          <w:i w:val="false"/>
          <w:i w:val="false"/>
          <w:iCs w:val="false"/>
          <w:color w:val="333333"/>
          <w:sz w:val="20"/>
          <w:sz w:val="20"/>
          <w:szCs w:val="20"/>
        </w:rPr>
        <w:t>۹</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علم الهدی، الذخیرة فی علی الکلام، ص </w:t>
      </w:r>
      <w:r>
        <w:rPr>
          <w:rFonts w:ascii="IRNazanin" w:hAnsi="IRNazanin" w:eastAsia="IRNazanin"/>
          <w:b w:val="false"/>
          <w:b w:val="false"/>
          <w:bCs w:val="false"/>
          <w:i w:val="false"/>
          <w:i w:val="false"/>
          <w:iCs w:val="false"/>
          <w:color w:val="333333"/>
          <w:sz w:val="20"/>
          <w:sz w:val="20"/>
          <w:szCs w:val="20"/>
        </w:rPr>
        <w:t>۵۰۴</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فیما یتعلق بالاعتقاد،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تمهید الاصول،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تمهید الاصول،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تمهید الاصول،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فیما یتعلق بالاعتقاد، 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تمهیدالاصول، </w:t>
      </w:r>
      <w:r>
        <w:rPr>
          <w:rFonts w:ascii="IRNazanin" w:hAnsi="IRNazanin" w:eastAsia="IRNazanin"/>
          <w:b w:val="false"/>
          <w:b w:val="false"/>
          <w:bCs w:val="false"/>
          <w:i w:val="false"/>
          <w:i w:val="false"/>
          <w:iCs w:val="false"/>
          <w:color w:val="333333"/>
          <w:sz w:val="20"/>
          <w:sz w:val="20"/>
          <w:szCs w:val="20"/>
        </w:rPr>
        <w:t>۲۵۱</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ایجی، شرح المواقف،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تفتازانی، شرح المقاصد،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فخر رازی، التفسیر الکبیر،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معتزلی، شرح الأصول الخمسة، ص</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ایجی، شرح المواقف،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الله لایخلف الله وعده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یأتی وعد الله، إن الله لایخلف المیعاد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العیون و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مصنفات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الحکیم بلیع، ادب المعتزله،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مناهج الیقین، ص</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سیوری حلی، اللوامع الالهیه فی المباحث الکلامیه، ص </w:t>
      </w:r>
      <w:r>
        <w:rPr>
          <w:rFonts w:ascii="IRNazanin" w:hAnsi="IRNazanin" w:eastAsia="IRNazanin"/>
          <w:b w:val="false"/>
          <w:b w:val="false"/>
          <w:bCs w:val="false"/>
          <w:i w:val="false"/>
          <w:i w:val="false"/>
          <w:iCs w:val="false"/>
          <w:color w:val="333333"/>
          <w:sz w:val="20"/>
          <w:sz w:val="20"/>
          <w:szCs w:val="20"/>
        </w:rPr>
        <w:t>۱۳۹۵</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فیما یتعلق بالاعتقاد،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تمهید الأصول، ص </w:t>
      </w:r>
      <w:r>
        <w:rPr>
          <w:rFonts w:ascii="IRNazanin" w:hAnsi="IRNazanin" w:eastAsia="IRNazanin"/>
          <w:b w:val="false"/>
          <w:b w:val="false"/>
          <w:bCs w:val="false"/>
          <w:i w:val="false"/>
          <w:i w:val="false"/>
          <w:iCs w:val="false"/>
          <w:color w:val="333333"/>
          <w:sz w:val="20"/>
          <w:sz w:val="20"/>
          <w:szCs w:val="20"/>
        </w:rPr>
        <w:t>۲۸۸</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ما نیست کسی که ایمان به رجعت ما نداشته باشد و متعه را حلال نداند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علم الهدی، رسائل شریف مرتضی،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النهایة فی غریب الحدیث،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کتاب العین،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جوهری، الصحاح فی اللغة و العلوم،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۱۲۱۶</w:t>
      </w:r>
      <w:r>
        <w:rPr>
          <w:rFonts w:ascii="IRNazanin" w:hAnsi="IRNazanin" w:eastAsia="IRNazanin"/>
          <w:b w:val="false"/>
          <w:b w:val="false"/>
          <w:bCs w:val="false"/>
          <w:i w:val="false"/>
          <w:i w:val="false"/>
          <w:iCs w:val="false"/>
          <w:color w:val="333333"/>
          <w:sz w:val="20"/>
          <w:sz w:val="20"/>
          <w:szCs w:val="20"/>
          <w:rtl w:val="true"/>
        </w:rPr>
        <w:t xml:space="preserve">؛ راغب اصفهانی، المفردات،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ابن اثیر، النهایة فی غریب الحدیث،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فیروزآبادی، القاموس المحیط، 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فخرالدین طریحی، مجمع البحرین،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۰۸۳</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اوائل المقالات،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علم الهدی، رسائل شریف مرتضی،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براج، جواهر الفقه،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نقیض خاص، همیشه اعم از نقیض عام است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الایقاظ من الهجعة بالبرهان علی الرجعة،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محمدرضا طبسی، الشیعة و الرجعة،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محمدرضا مظفر، عقائد الأمامیة،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جعفر سبحانی، الالهیات، ص </w:t>
      </w:r>
      <w:r>
        <w:rPr>
          <w:rFonts w:ascii="IRNazanin" w:hAnsi="IRNazanin" w:eastAsia="IRNazanin"/>
          <w:b w:val="false"/>
          <w:b w:val="false"/>
          <w:bCs w:val="false"/>
          <w:i w:val="false"/>
          <w:i w:val="false"/>
          <w:iCs w:val="false"/>
          <w:color w:val="333333"/>
          <w:sz w:val="20"/>
          <w:sz w:val="20"/>
          <w:szCs w:val="20"/>
        </w:rPr>
        <w:t>۶۱۴</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تردیدی نیست که رجعت و معاد جسمانی در برخی ویژگیها با هم متفاوتند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رجعت در دنیا به وقوع خواهد پیوست، اما معاد جسمانی، ویژه قیامت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رجعت، موقتی است و از نظر مدت و کیفیت، محدود، اما معاد از این نظر نامحدود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رجعت، ویژه بعضی افراد و گروههاست و معاد، همگانی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تفاوت در پاره ای ویژگیها موجب نمی شود که سنخ رجعت نیز با معاد متفاوت باشد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علم الهدی، رسائل شریف مرتضی،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ضمیری، رجعت، 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حق الیقین،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سید عبدالحسین طب، الکلم الطیب،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سید عبدالله شبر، حق الیقین،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مظفر، عقائد الأمامیة،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میرزاجواد تبریزی، صراط النجاة،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جعفر سبحانی، بحوث فی الملل و النحل،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العدة فی الأصول،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۶۲۸</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علم الهدی، رسائل شریف مرتضی،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حر عاملی، الایقاظ من الهجعة بالبرهان علی الرجعة،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الایقاظ من الهجعة بالبرهان علی الرجعة،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۷۲</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اعتقادات صدوق،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اوائل المقالات، ص</w:t>
      </w:r>
      <w:r>
        <w:rPr>
          <w:rFonts w:ascii="IRNazanin" w:hAnsi="IRNazanin" w:eastAsia="IRNazanin"/>
          <w:b w:val="false"/>
          <w:b w:val="false"/>
          <w:bCs w:val="false"/>
          <w:i w:val="false"/>
          <w:i w:val="false"/>
          <w:iCs w:val="false"/>
          <w:color w:val="333333"/>
          <w:sz w:val="20"/>
          <w:sz w:val="20"/>
          <w:szCs w:val="20"/>
        </w:rPr>
        <w:t>۴۶</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علم الهدی، رسائل شریف مرتضی،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الایقاظ من الهجعة بالبرهان علی الرجعة، ص</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مظفر، عقائد الأمامیة،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حق الیقین، ص</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الایقاظ من الهجعة بالبرهان علی الرجعة، ص</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عبدالله شبر، حق الیقین،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میلانی، معجم الکلام، ص</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طبسی، الشیعة و الرجعة،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العدة فی الاصول،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۶۲۸</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الایقاظ من الهجعة بالبرهان علی الرجعة، ص</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اعتقادات صدوق،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سیوطی، الدر المنثور، ص</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محمد بن مسعود العیاش، تفسیر العیاشی،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۷۵۶</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عتیق و عهد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متی، باب یازدهم،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انجیل لوقا، باب هفتم،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انجیل یوحنا، باب یازدهم، ص</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احمد طبرانی، المعجم الکبیر،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قرطبی، الجامع لاحکام القرآن،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سید بن طاووس حسنی، الیقین،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ابن کثیر، تفسیر القرآن العظیم،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علاءالدین متقی هندی، کنز العمال،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طبرسی، مجمع البیان،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سلیمان حلی، مختصر بصائر الدرجات،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حر عاملی، الایقاظ من الهجعة بالبرهان علی الرجعة، ص</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قمی، تفسیر 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حسن بن سلیمان حلی، مختصر بصائر الدرجات،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مسائل سرویة،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الفصول المختارة، ص</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قمی، تفسیر 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تفسیر صافی،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براج، جواهر الفقه،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سلیمان حلی، مختصر بصائر الدرجات،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الایقاظ من الهجعة بالبرهان علی الرجعة، ص</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بحرانی، مدینة المعاجز،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ما را دو بار میراندی و دو بار زنده کردی، اکنون به گناهان خود معترفیم، آیا راهی برای خارج شدن از 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تمهید الاصول،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خداست که خلق را برای نخستین بار آفرید و سپس برای بار دوم نیز بر می گرداند و شما هم به سویش برمیگردید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الایقاظ من الهجعة بالبرهان علی الرجعة، ص</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ascii="IRNazanin" w:hAnsi="IRNazanin" w:eastAsia="IRNazanin"/>
          <w:b w:val="false"/>
          <w:b w:val="false"/>
          <w:bCs w:val="false"/>
          <w:i w:val="false"/>
          <w:i w:val="false"/>
          <w:iCs w:val="false"/>
          <w:color w:val="333333"/>
          <w:sz w:val="20"/>
          <w:sz w:val="20"/>
          <w:szCs w:val="20"/>
        </w:rPr>
        <w:t>۴۵۹</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۷۲۱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۸۲۲</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۸۲۶</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ascii="IRNazanin" w:hAnsi="IRNazanin" w:eastAsia="IRNazanin"/>
          <w:b w:val="false"/>
          <w:b w:val="false"/>
          <w:bCs w:val="false"/>
          <w:i w:val="false"/>
          <w:i w:val="false"/>
          <w:iCs w:val="false"/>
          <w:color w:val="333333"/>
          <w:sz w:val="20"/>
          <w:sz w:val="20"/>
          <w:szCs w:val="20"/>
        </w:rPr>
        <w:t>۷۸۹</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ascii="IRNazanin" w:hAnsi="IRNazanin" w:eastAsia="IRNazanin"/>
          <w:b w:val="false"/>
          <w:b w:val="false"/>
          <w:bCs w:val="false"/>
          <w:i w:val="false"/>
          <w:i w:val="false"/>
          <w:iCs w:val="false"/>
          <w:color w:val="333333"/>
          <w:sz w:val="20"/>
          <w:sz w:val="20"/>
          <w:szCs w:val="20"/>
        </w:rPr>
        <w:t>۶۷۰</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مسائل سرویة،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اوائل المقالات،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علم الهدی، رسائل شریف مرتضی،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الرجعة لیست بعامة و هی خاصة لا یرجع إلا من محض الإیمان محضأ أو محض الشرک محضأ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قمی، تفسیر 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حسن بن سلیمان حلی، مختصر بصائر الدرجات،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۷۸۹</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 تفسیر العیاشی،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أرسل رسوله بالهدی و دین الحق لیظهره علی الدین کله و لو کره المشرکون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کتبنا فی الزبور من بعد الذکر أن الأرض یرثها عبادی الصالحون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در تفسیر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أرسل رسوله بالهدی و دین الحق لیظهره علی الدین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خرج القائم علی لم یبق شرک بالله العظیم و لا کافر إلاکره خروجه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 تفسیر العیاشی،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اوائل المقالات،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علم الهدی، رسائل شریف مرتضی،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والله لاتذهب الأیام و اللیالی حتی یحین الله الموتی و یمیت الأحیاء و ژد الحق إلی أهله و یقیم دینه الذی ارتضاه لنفسه و نبیه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مجموعه مراجعه شود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الکشاف،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صدرالدین شیرازی، تفسیر القرآن الکریم،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 سنگلجی، اسلام و رجعت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میر سید ابو القاسم موسوی، مناهج المعارف، ص </w:t>
      </w:r>
      <w:r>
        <w:rPr>
          <w:rFonts w:ascii="IRNazanin" w:hAnsi="IRNazanin" w:eastAsia="IRNazanin"/>
          <w:b w:val="false"/>
          <w:b w:val="false"/>
          <w:bCs w:val="false"/>
          <w:i w:val="false"/>
          <w:i w:val="false"/>
          <w:iCs w:val="false"/>
          <w:color w:val="333333"/>
          <w:sz w:val="20"/>
          <w:sz w:val="20"/>
          <w:szCs w:val="20"/>
        </w:rPr>
        <w:t>۵۱۵</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اندیشه های کلامی شیخ طوسی،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عبدالقاهر بغدادی، الفرق بین الفرق،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شهرستانی، الملل و النحل،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لذات فلسفه، ترجمه عباس زریاب،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آلن کاردک، کتاب ارواح، ترجمه محسن فرشاد،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اوپانیشاد سر اکبر، ترجمه دارا شکوه، مقدمه سید محمدرضا جلالی نائینی،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کتی ودانتا سوامی پرابهوپادا، بهاگاواد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گیتا همانگونه که گذشت، مترجمان فرهاد سیاهپوش، بزرگمهر گل بیدی، الهه فرمانی، ص </w:t>
      </w:r>
      <w:r>
        <w:rPr>
          <w:rFonts w:ascii="IRNazanin" w:hAnsi="IRNazanin" w:eastAsia="IRNazanin"/>
          <w:b w:val="false"/>
          <w:b w:val="false"/>
          <w:bCs w:val="false"/>
          <w:i w:val="false"/>
          <w:i w:val="false"/>
          <w:iCs w:val="false"/>
          <w:color w:val="333333"/>
          <w:sz w:val="20"/>
          <w:sz w:val="20"/>
          <w:szCs w:val="20"/>
        </w:rPr>
        <w:t>۲۵۷</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کتاب العین، ص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ابن فارس، مقاییس اللغه،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ابوهلال عسکری، الفروق اللغویه،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فیروزآبادی، القاموس المحیط،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جمیل صلیبا، المعجم الفلسفی،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تناسخ به زبان انگلیسی و لاتین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Metempsychosis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زبان فرانسوی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Metempsychose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جرجانی، کتاب التعریفات،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احمد نگری، عبدالنبی بن عبدالرسول، 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العلوم فی اصطلاحات الفنون، 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تهانوی، موسوعة کشاف اصطلاحات الفنون، تقدیم و اشراف و مراجعه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رفیق العجم،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ابوالبقاء ایوب بن موسی، الکلیات، مقابله و اعداد عدنان درویش و محمد المصری،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شمس الدین محمد بن محمود آملی، نفائس الفنون فی عرائس العیون، تصحیح سیدابراهیم میانجی،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منظومه حکیم سبزواری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 و مسخ رسخ فسخ قسما إنسأ و حیوانأ جمادة و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ملاهادی سبزواری، شرح المنظومه،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گرچه نخست این سخن را وجیه دانسته، ولی در پایان، آن را نامناسب با ذیل آیه و خصوصا با آیه بعدی برشمرده است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که چگونه اهل تناسخ، آن همه آیاتی را که به صراحت بر بطلان نظریه آنان دلالت دارد، رها کرده اند و متشبث به آیاتی دیگر شده اند، جای تأمل و تعجب فراوان دارد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اخسئوا فیها و لاتکلمون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 نضجت جلودهم بدلناهم جلودا غیرها لیذوقوا العذاب</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خلقنا الإنسان فی أحسن تقویم، ثم رددناه أسفل سافلین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آیة الله مکارم شیرازی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منسوب به سید مرتضی بن داعی حسنی رازی، تبصرة العوام،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ابراهیمی دینانی، شعاع اندیشه و شهود در فلسفه سهروردی، ص </w:t>
      </w:r>
      <w:r>
        <w:rPr>
          <w:rFonts w:ascii="IRNazanin" w:hAnsi="IRNazanin" w:eastAsia="IRNazanin"/>
          <w:b w:val="false"/>
          <w:b w:val="false"/>
          <w:bCs w:val="false"/>
          <w:i w:val="false"/>
          <w:i w:val="false"/>
          <w:iCs w:val="false"/>
          <w:color w:val="333333"/>
          <w:sz w:val="20"/>
          <w:sz w:val="20"/>
          <w:szCs w:val="20"/>
        </w:rPr>
        <w:t>۵۲۲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بطلان این نظریه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الفصول المهمة فی اصول الائمه،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جواد قیومی، صحیفة الرضا،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Pythagoras</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تئودور گمپرتس، متفکران یونانی، ترجمه محمد حسن لطفی،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احمد صدر حاج سیدجوادی، دائرة المعارف تشیع،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فردریک کاپلستون، تاریخ فلسفه،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یونان و 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سیدجلال الدین مینوی،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امیل بریه، تاریخ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 یونانی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علی مراد داوری،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Karma</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بی ناس، تاریخ جامع ادیان، ترجمه علی اصغر حکمت،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سیبل شاتوک، دین هندو، ترجمه حسن افشار،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اوپانیشاد به معنای نشستن شاگرد نزد استاد برای آموختن علوم سری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اوپانیشادها در حدود سه هزار سال در فلسفه، مذهب و زندگانی مردم هندوستان دارای تسلط، اثر و نفوذ کامل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بیش از دویست اوپانیشاد مختلف موجود است، اما از این تعداد، ده تا هجده اوپانیشاد، اصلی و قدیمی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کتاب اوپانیشاد،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اوپانیشاد به نوع یا طبقه خاصی از متون دلالت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فریدهلم هاردی، ادیان آسیا، ترجمه دکتر عبدالرحیم گواهی،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اوپانیشاد سر اکبر، ترجمه دارا شکوه،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الحکمة المتعالیة،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الشواهد الربوبیه،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المبدأ و المعاد،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حسن حسن زاده آملی، سرح العیون فی شرح العیون، ص </w:t>
      </w:r>
      <w:r>
        <w:rPr>
          <w:rFonts w:ascii="IRNazanin" w:hAnsi="IRNazanin" w:eastAsia="IRNazanin"/>
          <w:b w:val="false"/>
          <w:b w:val="false"/>
          <w:bCs w:val="false"/>
          <w:i w:val="false"/>
          <w:i w:val="false"/>
          <w:iCs w:val="false"/>
          <w:color w:val="333333"/>
          <w:sz w:val="20"/>
          <w:sz w:val="20"/>
          <w:szCs w:val="20"/>
        </w:rPr>
        <w:t>۸۱۴</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عبدالله الاشعری قمی، المقالات و الفرق،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الملل و النحل،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بیان بن سمعان تمیمی نهدی</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عبدالله بن معاویه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ابوالخطاب محمد بن مقلاص</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عبدالله راوندی و به قولی عبدالله بن حرب کندی کوفی راوندی</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این نسبتها تا چه حد قریب به واقع است، مجالی دیگر را می طلبد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بغدادی، الفرق بین الفرق،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اشعری، مقالات الاسلامیین،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الالهیات، ص</w:t>
      </w:r>
      <w:r>
        <w:rPr>
          <w:rFonts w:ascii="IRNazanin" w:hAnsi="IRNazanin" w:eastAsia="IRNazanin"/>
          <w:b w:val="false"/>
          <w:b w:val="false"/>
          <w:bCs w:val="false"/>
          <w:i w:val="false"/>
          <w:i w:val="false"/>
          <w:iCs w:val="false"/>
          <w:color w:val="333333"/>
          <w:sz w:val="20"/>
          <w:sz w:val="20"/>
          <w:szCs w:val="20"/>
        </w:rPr>
        <w:t>۸۰۴</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الاشارات و التنبیهات،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المبدأ و المعاد،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النجاة،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فی شرح تجرید الاعتقاد،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عبدالرزاق لاهیجی، گوهر مراد، ص</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همان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سه دلیل بر اثبات ادعای خود می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الحکمة المتعالیة،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وی در این کتاب، وجه دیگری برای محال بودن تعلق دو نفس به یک بدن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و بدن، یک وجود و یک ذاتند و ممکن نیست وجود واحد، دارای دو ذات و دو وجود باشد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الحکمة المتعالیة،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صدرالدین شیرازی، الشواهد الربوبیة،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تردیدی در تحقق دو قسم اخیر وجود ندارد و آیاتی از قرآن بر آن دلالت دارد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ملاهادی سبزواری، اسرار الحکم، ص</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حسن حسن زاده آملی، سرح العیون فی شرح العیون، ص</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بغدادی، تلبیس ابلیس،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منسوب به سید مرتضی رازی، تبصرة العوام، ص </w:t>
      </w:r>
      <w:r>
        <w:rPr>
          <w:rFonts w:ascii="IRNazanin" w:hAnsi="IRNazanin" w:eastAsia="IRNazanin"/>
          <w:b w:val="false"/>
          <w:b w:val="false"/>
          <w:bCs w:val="false"/>
          <w:i w:val="false"/>
          <w:i w:val="false"/>
          <w:iCs w:val="false"/>
          <w:color w:val="333333"/>
          <w:sz w:val="20"/>
          <w:sz w:val="20"/>
          <w:szCs w:val="20"/>
        </w:rPr>
        <w:t>۸۸</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مواضع گوناگونی را که شیخ در عبارت فوق گفته است، تا جایی که ما جسته ایم و کتابهای ایشان را مورد فحص قرار داده ایم، به جز آنچه اشاره کردیم، نیافتیم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تمهید الاصول،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 تفاوتی در عبارات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سید مرتضی نیز در فصلی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الرد علی أصحاب التناسخ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بطلان نظریه طرفداران تناسخ می پردازد و یادآور می شود اگر بتوانیم درد و الم غیر استحقاقی را ثابت کنیم و موارد آن را برشماریم، اساس مذهب فرو می ریزد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ایشان پنج دلیل بر این ادعا اقامه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علم الهدی، الذخیرة فی علم الکلام،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الاقتصاد فیما یتعلق بالاعتقاد، ص</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بکریه مورد خطاب نیست؛ زیرا آنان از اساس، منکر هرگونه درد و الم برای کودکان و حیوانات شده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تمهید الاصول،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الاقتصاد فیما یتعلق بالاعتقاد، ص</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کسانی واقعه عظیم مرگ را سبب این فراموشی بدانند که در پاسخ می توان گفت، ادله فراوانی وجود دارد که نه تنها شخص، آنها را فراموش نمی کند، بلکه مو به مو آنچه انجام داده، به یاد دارد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حبشه، زنگبار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کشوری در آفریقای شرقی در کنار اقیانوس 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تونس و دیگر ولایات آفریقا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دهخدا، ذیل ماده زنگبار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تمهید الاصول،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صدرالدین شیرازی، الحکمة المتعالیه،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فروغ السادات رحیم پور، معاد از دیدگاه امام خمینی ال،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صدرالدین شیرازی، الحکمة المتعالیه،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فروغ السادات رحیم پور، معاد از دیدگاه امام خمینی ،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غلامحسین ابراهیمی دینانی، شعاع اندیشه و شهود در فلسفه سهروردی، ص</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الالهیات، ص</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صورت در این جا، صورت بدن است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۸۰۸</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جعفر سبحانی، الالهیات، ص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شیخ مفید، اوائل المقالات،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سید مرتضی علم الهدی، رسائل شریف مرتضی،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مقاییس اللغة،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ص</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اسلامی، المعجم الوسیط،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۸۲۶</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دین و فرهنگ آکسفورد، مدخل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Grace</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بهاء الدین خرمشاهی، دانشنامه قرآن، ص</w:t>
      </w:r>
      <w:r>
        <w:rPr>
          <w:rFonts w:ascii="IRNazanin" w:hAnsi="IRNazanin" w:eastAsia="IRNazanin"/>
          <w:b w:val="false"/>
          <w:b w:val="false"/>
          <w:bCs w:val="false"/>
          <w:i w:val="false"/>
          <w:i w:val="false"/>
          <w:iCs w:val="false"/>
          <w:color w:val="333333"/>
          <w:sz w:val="20"/>
          <w:sz w:val="20"/>
          <w:szCs w:val="20"/>
        </w:rPr>
        <w:t>۱۹۳۳</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تمهید الاصول،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التبیان،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الغیبة،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تلخیص الشافی،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العدة فی الأصول،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انوار الملکوت فی شرح الیاقوت، ص</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النکت الاعتقاد به،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معتزلی، شرح الأصول الخمسة، ص</w:t>
      </w:r>
      <w:r>
        <w:rPr>
          <w:rFonts w:ascii="IRNazanin" w:hAnsi="IRNazanin" w:eastAsia="IRNazanin"/>
          <w:b w:val="false"/>
          <w:b w:val="false"/>
          <w:bCs w:val="false"/>
          <w:i w:val="false"/>
          <w:i w:val="false"/>
          <w:iCs w:val="false"/>
          <w:color w:val="333333"/>
          <w:sz w:val="20"/>
          <w:sz w:val="20"/>
          <w:szCs w:val="20"/>
        </w:rPr>
        <w:t>۵۱۹</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علم الهدی، الذخیرة فی علم الکلام،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نصیرالدین طوسی، تلخیص المحصل،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علامه حلی، کشف المراد،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نظرعلی طالقانی، کاشف الاسرار،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ملاهادی سبزواری، شرح الاسماء، ص</w:t>
      </w:r>
      <w:r>
        <w:rPr>
          <w:rFonts w:ascii="IRNazanin" w:hAnsi="IRNazanin" w:eastAsia="IRNazanin"/>
          <w:b w:val="false"/>
          <w:b w:val="false"/>
          <w:bCs w:val="false"/>
          <w:i w:val="false"/>
          <w:i w:val="false"/>
          <w:iCs w:val="false"/>
          <w:color w:val="333333"/>
          <w:sz w:val="20"/>
          <w:sz w:val="20"/>
          <w:szCs w:val="20"/>
        </w:rPr>
        <w:t>۴۸۸</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التوحید، ص</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ایجی، زبدة المعارف، ص</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اسماء الله، روایت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ملاهادی سبزواری، شرح الاسماء، ص</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خطبه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تمهید الاصول، ص</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فیما یتعلق بالاعتقاد، ص</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تمهید الاصول، ص</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نجفی، شرح تجرید،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ابن میثم بحرانی، قواعد المرام، 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شیخ مفید، النکت الاعتقادیه،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خواجه نصیرالدین طوسی، تلخیص المحصل،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سیوری حلی، اللوامع الالهیه،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عبدالرزاق لاهیجی، سرمایه ایمان،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شیخ طوسی، تلخیص الشافی،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نصیرالدین طوسی، شرح تجرید، ص</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اشعری، مقالات الاسلامیین،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قوشجی، شرح الهیات تجرید،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اشعری، مقالات الاسلامیین،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مکدر موت، اندیشه های کلامی شیخ مفید،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شیخ مفید، اوائل المقالات،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لاهیجی، گوهر مراد،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لاهیجی، سرمایه ایمان،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معتزلی، شرح الأصول الخمسة، ص</w:t>
      </w:r>
      <w:r>
        <w:rPr>
          <w:rFonts w:ascii="IRNazanin" w:hAnsi="IRNazanin" w:eastAsia="IRNazanin"/>
          <w:b w:val="false"/>
          <w:b w:val="false"/>
          <w:bCs w:val="false"/>
          <w:i w:val="false"/>
          <w:i w:val="false"/>
          <w:iCs w:val="false"/>
          <w:color w:val="333333"/>
          <w:sz w:val="20"/>
          <w:sz w:val="20"/>
          <w:szCs w:val="20"/>
        </w:rPr>
        <w:t>۵۱۹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۵۲۰</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الفهرست، ص</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علامه حلی، کشف المراد،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ابن میثم بحرانی، قواعد المرام،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عبدالجبار معتزلی، شرح الأصول الخمسة، ص</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سیوری حلی، ارشاد الطالبین،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شیخ طوسی، الاقتصاد فیما یتعلق بالاعتقاد، ص</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انوار الملکوت فی شرح الیاقوت، ص</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نصیرالدین طوسی، کشف المراد،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اوائل المقالات،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انوار الملکوت فی شرح الیاقوت،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علم الهدی، الذخیرة فی علم الکلام، ص</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گلپایگانی، قاعده لطف در کلام عدلیه، مجموعه مقالات کنگره شیخ مفید، ش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طبرسی، الاحتجاج علی اهل اللجاج، ص</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التوحید، باب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شعرانی، اثبات نبوت،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اسماعیل نوری طبرسی، کفایة الموحدین،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علامه حلی، کشف المراد،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نصیرالدین طوسی، تلخیص المحصل،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 جبلی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original sin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گناه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مسیحیان اولیه معتقد هستند که گناه اولیه حضرت آدم، از طریق نزدیکی جنسی، به نسلهای بعد منتقل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مبنای این مفهوم، در طول عمل زناشویی، والدین دستخوش شهوت و نفس اماره بوده و همین امر، ابزار مؤثر انتقال گناه به جنین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هبوط آدم، همۀ اطفال در یک حالت گناه آلود متولد می شوند؛ زیرا والدین آنها به هنگام انجام عمل لقاح و باروری، دستخوش تمایلات نامربوط و مفرطی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نظر برخی مسیحیان، راه علاج و درمان گناه جبلی موروثی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لطف و عنایت خداوند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نمی تواند درباره آن وضعیت اولیه، کوچکترین کاری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خداوند است که می تواند از طریق فیض و لطفی که ما استحقاق و شایستگی آن را نداریم، در این کار مؤثر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گواهی، جهان مذهبی،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جان ویدی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چنین نظریه ای را به ما تعلیم نمی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انجیل میگوید، آن است که آدم و حوا در مقابل خداوند تنها عصیان کردند و در نتیجه، از بهشت و از محضر خدا رانده شدند و همچنین به مرگ و فناپذیری محکوم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به خاطر گناه آدم به ما رسیده، مرگ است، نه این که طبیعتا گناه کاریم و مسؤولیت گناه آدم بر عهده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و مکافات عمل آدم و حوا آن 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بهشت عدن نیستیم؛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به زنان ما درد زایمان داده؛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به دست آوردن روزی باید عرق جبین بریزیم؛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برای انسان مقرر گردید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آکویناس، رساله ای در باب لطف، فصل چهارم، باب دوم؛ 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تمهید الاصول،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؛دائرة المعارف دین، ترجمه دکتر عبدالرحیم گواهی، مدخل </w:t>
      </w:r>
      <w:r>
        <w:rPr>
          <w:rFonts w:eastAsia="IRNazanin" w:cs="IRNazanin"/>
          <w:b w:val="false"/>
          <w:bCs w:val="false"/>
          <w:i w:val="false"/>
          <w:iCs w:val="false"/>
          <w:color w:val="333333"/>
          <w:sz w:val="20"/>
          <w:szCs w:val="20"/>
        </w:rPr>
        <w:t>Grace</w:t>
      </w:r>
      <w:r>
        <w:rPr>
          <w:rFonts w:ascii="IRNazanin" w:hAnsi="IRNazanin" w:eastAsia="IRNazanin"/>
          <w:b w:val="false"/>
          <w:b w:val="false"/>
          <w:bCs w:val="false"/>
          <w:i w:val="false"/>
          <w:i w:val="false"/>
          <w:iCs w:val="false"/>
          <w:color w:val="333333"/>
          <w:sz w:val="20"/>
          <w:sz w:val="20"/>
          <w:szCs w:val="20"/>
          <w:rtl w:val="true"/>
        </w:rPr>
        <w:t xml:space="preserve">، جهان مذهبی،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۷۴۲</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تمهید الاصول، ص</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النکت الاعتقادیه،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نصیرالدین طوسی، شرح تجرید،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فیما یتعلق بالاعتقاد،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شیخ مفید، اوائل المقالات،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شیخ طوسی، التبیان،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تمهید الاصول،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تلخیص الشافی،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الغیبه، با مقدمه آغا بزرگ تهرانی،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النکت الاعتقادیة، 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الغیبه،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نصیرالدین طوسی، کشف المراد،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شرح تجرید الاعتقاد،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فیما یتعلق بالاعتقاد،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تلخیص الشافی،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عبدالجبار معتزلی، شرح الأصول الخمسة، ص </w:t>
      </w:r>
      <w:r>
        <w:rPr>
          <w:rFonts w:ascii="IRNazanin" w:hAnsi="IRNazanin" w:eastAsia="IRNazanin"/>
          <w:b w:val="false"/>
          <w:b w:val="false"/>
          <w:bCs w:val="false"/>
          <w:i w:val="false"/>
          <w:i w:val="false"/>
          <w:iCs w:val="false"/>
          <w:color w:val="333333"/>
          <w:sz w:val="20"/>
          <w:sz w:val="20"/>
          <w:szCs w:val="20"/>
        </w:rPr>
        <w:t>۷۴۹</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فیما یتعلق بالاعتقاد، ص</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فیما یتعلق بالاعتقاد،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التبیان،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تلخیص الشافی،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تمهید الاصول،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فیما یتعلق بالاعتقاد، ص</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نصیرالدین طوسی، تلخیص المحصل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العقائد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الباب الخامس، ص</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علم الهدی، الذخیرة فی علم الکلام،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ابوصلاح حلبی، تقریب المعارف فی الکلام،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احوال براهمه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براهمه گروهی از مردم هند بودند که خدا را می پرستیدند، ولی پیامبران را انکار می کردند و به طور مطلق، عبادت خدا را به جای می آوردند و عبادت آنان به ادعای خودشان، مانند عبادت پیامبران، پیش از مبعوث شدنشان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سیدمصطفی حسینی دشتی، معارف و معاریف،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ص</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العدة فی الأصول،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خراسانی، کفایة الاصول،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الملل و النحل،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محمد ابوزهره، تاریخ المذاهب الإسلامیة،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عبدالنبی احمد نگری، جامع العلوم فی اصطلاحات الفنون،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فرید وجدی، دائرة معارف القرن العشرین،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صلیبا، المعجم الفلسفی،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شاذان، الایضاح،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اکبر قرشی، قاموس قرآن،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اشعری، مقالات الاسلامیین، ص</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ابومنصور بغدادی، الفرق بین الفرق،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لیس الله عزوجل فی أکسابهم و لا فی أعمال سائر الحیوانات صنع و تقدیر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نصیرالدین طوسی، شرح اشارات،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الهادی الی طریق الرشاد،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صدرالدین شیرازی، الحکمة المتعالیة،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صدرالدین شیرازی، الحکمة المتعالیة،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رساله طلب و اراده، ترجمه احمد فهری،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مختاریم یا مجبور؟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دانشکده ادبیات و علوم انسانی دانشگاه تهران، فروردین </w:t>
      </w:r>
      <w:r>
        <w:rPr>
          <w:rFonts w:ascii="IRNazanin" w:hAnsi="IRNazanin" w:eastAsia="IRNazanin"/>
          <w:b w:val="false"/>
          <w:b w:val="false"/>
          <w:bCs w:val="false"/>
          <w:i w:val="false"/>
          <w:i w:val="false"/>
          <w:iCs w:val="false"/>
          <w:color w:val="333333"/>
          <w:sz w:val="20"/>
          <w:sz w:val="20"/>
          <w:szCs w:val="20"/>
        </w:rPr>
        <w:t>۱۳۴۷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سؤالی که از امیرالمؤمنین علی پس از بازگشت از جنگ صفین در مسجد کوفه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نهج البلاغه، کلمات قصار، شماره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۱۱۲۰</w:t>
      </w:r>
      <w:r>
        <w:rPr>
          <w:rFonts w:ascii="IRNazanin" w:hAnsi="IRNazanin" w:eastAsia="IRNazanin"/>
          <w:b w:val="false"/>
          <w:b w:val="false"/>
          <w:bCs w:val="false"/>
          <w:i w:val="false"/>
          <w:i w:val="false"/>
          <w:iCs w:val="false"/>
          <w:color w:val="333333"/>
          <w:sz w:val="20"/>
          <w:sz w:val="20"/>
          <w:szCs w:val="20"/>
          <w:rtl w:val="true"/>
        </w:rPr>
        <w:t xml:space="preserve">؛ شیخ صدوق، عیون اخبار الرضاع،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جوابی که امام حسن مجتبی علا برای نامه حسن بصری 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حرانی، تحف العقول،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 معنوی،</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۱۴۰۱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معتزلی، المغنی،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الملل و النحل،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ترجمه افضل الدین ترکه اصفهانی،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عبدالقاهر بغدادی، الفرق بین الفرق، ترجمه محمدجواد مشکور، ص</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فاضل، معتزله، ص ده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فرهنگ عقاید و مذاهب اسلامی،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سید مرتضی علم الهدی، الذخیرة فی علم الکلام،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تمهید الاصول در علم کلام اسلامی، ترجمه عبدالمحسن مشکوة الدینی، ص</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تمهید الاصول،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سید مرتضی علم الهدی، الذخیرة فی علم الکلام، ص</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۵۱۳</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ص </w:t>
      </w:r>
      <w:r>
        <w:rPr>
          <w:rFonts w:ascii="IRNazanin" w:hAnsi="IRNazanin" w:eastAsia="IRNazanin"/>
          <w:b w:val="false"/>
          <w:b w:val="false"/>
          <w:bCs w:val="false"/>
          <w:i w:val="false"/>
          <w:i w:val="false"/>
          <w:iCs w:val="false"/>
          <w:color w:val="333333"/>
          <w:sz w:val="20"/>
          <w:sz w:val="20"/>
          <w:szCs w:val="20"/>
        </w:rPr>
        <w:t>۴۸۰</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الهادی الی طریق الرشاد،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الهادی الی طریق الرشاد،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التوحید، ص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جعفری، جبر و اختیار، ص</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footer" Target="footer14.xml"/><Relationship Id="rId40" Type="http://schemas.openxmlformats.org/officeDocument/2006/relationships/image" Target="media/image13.jpeg"/><Relationship Id="rId41" Type="http://schemas.openxmlformats.org/officeDocument/2006/relationships/image" Target="media/image13.jpeg"/><Relationship Id="rId42" Type="http://schemas.openxmlformats.org/officeDocument/2006/relationships/footer" Target="footer15.xml"/><Relationship Id="rId43" Type="http://schemas.openxmlformats.org/officeDocument/2006/relationships/image" Target="media/image14.jpeg"/><Relationship Id="rId44" Type="http://schemas.openxmlformats.org/officeDocument/2006/relationships/image" Target="media/image14.jpeg"/><Relationship Id="rId45" Type="http://schemas.openxmlformats.org/officeDocument/2006/relationships/footer" Target="footer16.xml"/><Relationship Id="rId46" Type="http://schemas.openxmlformats.org/officeDocument/2006/relationships/footer" Target="footer17.xml"/><Relationship Id="rId47" Type="http://schemas.openxmlformats.org/officeDocument/2006/relationships/footer" Target="footer18.xml"/><Relationship Id="rId48" Type="http://schemas.openxmlformats.org/officeDocument/2006/relationships/footer" Target="footer19.xml"/><Relationship Id="rId49" Type="http://schemas.openxmlformats.org/officeDocument/2006/relationships/footer" Target="footer20.xml"/><Relationship Id="rId50" Type="http://schemas.openxmlformats.org/officeDocument/2006/relationships/footer" Target="footer21.xml"/><Relationship Id="rId51" Type="http://schemas.openxmlformats.org/officeDocument/2006/relationships/footer" Target="footer22.xml"/><Relationship Id="rId52" Type="http://schemas.openxmlformats.org/officeDocument/2006/relationships/footer" Target="footer23.xml"/><Relationship Id="rId53" Type="http://schemas.openxmlformats.org/officeDocument/2006/relationships/footer" Target="footer24.xml"/><Relationship Id="rId54" Type="http://schemas.openxmlformats.org/officeDocument/2006/relationships/footer" Target="footer25.xml"/><Relationship Id="rId55" Type="http://schemas.openxmlformats.org/officeDocument/2006/relationships/footer" Target="footer26.xml"/><Relationship Id="rId56" Type="http://schemas.openxmlformats.org/officeDocument/2006/relationships/footer" Target="footer27.xml"/><Relationship Id="rId57" Type="http://schemas.openxmlformats.org/officeDocument/2006/relationships/footer" Target="footer28.xml"/><Relationship Id="rId58" Type="http://schemas.openxmlformats.org/officeDocument/2006/relationships/footer" Target="footer29.xml"/><Relationship Id="rId59" Type="http://schemas.openxmlformats.org/officeDocument/2006/relationships/footer" Target="footer30.xml"/><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footer" Target="footer36.xml"/><Relationship Id="rId66" Type="http://schemas.openxmlformats.org/officeDocument/2006/relationships/footer" Target="footer37.xml"/><Relationship Id="rId67" Type="http://schemas.openxmlformats.org/officeDocument/2006/relationships/footer" Target="footer38.xml"/><Relationship Id="rId68" Type="http://schemas.openxmlformats.org/officeDocument/2006/relationships/footer" Target="footer39.xml"/><Relationship Id="rId69" Type="http://schemas.openxmlformats.org/officeDocument/2006/relationships/footer" Target="footer40.xml"/><Relationship Id="rId70" Type="http://schemas.openxmlformats.org/officeDocument/2006/relationships/footer" Target="footer41.xml"/><Relationship Id="rId71" Type="http://schemas.openxmlformats.org/officeDocument/2006/relationships/footer" Target="footer42.xml"/><Relationship Id="rId72" Type="http://schemas.openxmlformats.org/officeDocument/2006/relationships/footer" Target="footer43.xml"/><Relationship Id="rId73" Type="http://schemas.openxmlformats.org/officeDocument/2006/relationships/footer" Target="footer44.xml"/><Relationship Id="rId74" Type="http://schemas.openxmlformats.org/officeDocument/2006/relationships/footer" Target="footer45.xml"/><Relationship Id="rId75" Type="http://schemas.openxmlformats.org/officeDocument/2006/relationships/footer" Target="footer46.xml"/><Relationship Id="rId76" Type="http://schemas.openxmlformats.org/officeDocument/2006/relationships/footer" Target="footer47.xml"/><Relationship Id="rId77" Type="http://schemas.openxmlformats.org/officeDocument/2006/relationships/footer" Target="footer48.xml"/><Relationship Id="rId78" Type="http://schemas.openxmlformats.org/officeDocument/2006/relationships/footer" Target="footer49.xml"/><Relationship Id="rId79" Type="http://schemas.openxmlformats.org/officeDocument/2006/relationships/footer" Target="footer50.xml"/><Relationship Id="rId80" Type="http://schemas.openxmlformats.org/officeDocument/2006/relationships/footer" Target="footer51.xml"/><Relationship Id="rId81" Type="http://schemas.openxmlformats.org/officeDocument/2006/relationships/footer" Target="footer52.xml"/><Relationship Id="rId82" Type="http://schemas.openxmlformats.org/officeDocument/2006/relationships/footer" Target="footer53.xml"/><Relationship Id="rId83" Type="http://schemas.openxmlformats.org/officeDocument/2006/relationships/footer" Target="footer54.xml"/><Relationship Id="rId84" Type="http://schemas.openxmlformats.org/officeDocument/2006/relationships/footer" Target="footer55.xml"/><Relationship Id="rId85" Type="http://schemas.openxmlformats.org/officeDocument/2006/relationships/footer" Target="footer56.xml"/><Relationship Id="rId86" Type="http://schemas.openxmlformats.org/officeDocument/2006/relationships/footer" Target="footer57.xml"/><Relationship Id="rId87" Type="http://schemas.openxmlformats.org/officeDocument/2006/relationships/footer" Target="footer58.xml"/><Relationship Id="rId88" Type="http://schemas.openxmlformats.org/officeDocument/2006/relationships/footer" Target="footer59.xml"/><Relationship Id="rId89" Type="http://schemas.openxmlformats.org/officeDocument/2006/relationships/footer" Target="footer60.xml"/><Relationship Id="rId90" Type="http://schemas.openxmlformats.org/officeDocument/2006/relationships/footer" Target="footer61.xml"/><Relationship Id="rId91" Type="http://schemas.openxmlformats.org/officeDocument/2006/relationships/footer" Target="footer62.xml"/><Relationship Id="rId92" Type="http://schemas.openxmlformats.org/officeDocument/2006/relationships/footer" Target="footer63.xml"/><Relationship Id="rId93" Type="http://schemas.openxmlformats.org/officeDocument/2006/relationships/footer" Target="footer64.xml"/><Relationship Id="rId94" Type="http://schemas.openxmlformats.org/officeDocument/2006/relationships/footer" Target="footer65.xml"/><Relationship Id="rId95" Type="http://schemas.openxmlformats.org/officeDocument/2006/relationships/footer" Target="footer66.xml"/><Relationship Id="rId96" Type="http://schemas.openxmlformats.org/officeDocument/2006/relationships/footer" Target="footer67.xml"/><Relationship Id="rId97" Type="http://schemas.openxmlformats.org/officeDocument/2006/relationships/footer" Target="footer68.xml"/><Relationship Id="rId98" Type="http://schemas.openxmlformats.org/officeDocument/2006/relationships/footer" Target="footer69.xml"/><Relationship Id="rId99" Type="http://schemas.openxmlformats.org/officeDocument/2006/relationships/footer" Target="footer70.xml"/><Relationship Id="rId100" Type="http://schemas.openxmlformats.org/officeDocument/2006/relationships/footer" Target="footer71.xml"/><Relationship Id="rId101" Type="http://schemas.openxmlformats.org/officeDocument/2006/relationships/footer" Target="footer72.xml"/><Relationship Id="rId102" Type="http://schemas.openxmlformats.org/officeDocument/2006/relationships/footer" Target="footer73.xml"/><Relationship Id="rId103" Type="http://schemas.openxmlformats.org/officeDocument/2006/relationships/footer" Target="footer74.xml"/><Relationship Id="rId104" Type="http://schemas.openxmlformats.org/officeDocument/2006/relationships/footer" Target="footer75.xml"/><Relationship Id="rId105" Type="http://schemas.openxmlformats.org/officeDocument/2006/relationships/footer" Target="footer76.xml"/><Relationship Id="rId106" Type="http://schemas.openxmlformats.org/officeDocument/2006/relationships/footer" Target="footer77.xml"/><Relationship Id="rId107" Type="http://schemas.openxmlformats.org/officeDocument/2006/relationships/footer" Target="footer78.xml"/><Relationship Id="rId108" Type="http://schemas.openxmlformats.org/officeDocument/2006/relationships/footer" Target="footer79.xml"/><Relationship Id="rId109" Type="http://schemas.openxmlformats.org/officeDocument/2006/relationships/footer" Target="footer80.xml"/><Relationship Id="rId110" Type="http://schemas.openxmlformats.org/officeDocument/2006/relationships/footer" Target="footer81.xml"/><Relationship Id="rId111" Type="http://schemas.openxmlformats.org/officeDocument/2006/relationships/footer" Target="footer82.xml"/><Relationship Id="rId112" Type="http://schemas.openxmlformats.org/officeDocument/2006/relationships/footer" Target="footer83.xml"/><Relationship Id="rId113" Type="http://schemas.openxmlformats.org/officeDocument/2006/relationships/footer" Target="footer84.xml"/><Relationship Id="rId114" Type="http://schemas.openxmlformats.org/officeDocument/2006/relationships/footer" Target="footer85.xml"/><Relationship Id="rId115" Type="http://schemas.openxmlformats.org/officeDocument/2006/relationships/footer" Target="footer86.xml"/><Relationship Id="rId116" Type="http://schemas.openxmlformats.org/officeDocument/2006/relationships/footer" Target="footer87.xml"/><Relationship Id="rId117" Type="http://schemas.openxmlformats.org/officeDocument/2006/relationships/footer" Target="footer88.xml"/><Relationship Id="rId118" Type="http://schemas.openxmlformats.org/officeDocument/2006/relationships/footer" Target="footer89.xml"/><Relationship Id="rId119" Type="http://schemas.openxmlformats.org/officeDocument/2006/relationships/footer" Target="footer90.xml"/><Relationship Id="rId120" Type="http://schemas.openxmlformats.org/officeDocument/2006/relationships/footer" Target="footer91.xml"/><Relationship Id="rId121" Type="http://schemas.openxmlformats.org/officeDocument/2006/relationships/footer" Target="footer92.xml"/><Relationship Id="rId122" Type="http://schemas.openxmlformats.org/officeDocument/2006/relationships/footer" Target="footer93.xml"/><Relationship Id="rId123" Type="http://schemas.openxmlformats.org/officeDocument/2006/relationships/footer" Target="footer94.xml"/><Relationship Id="rId124" Type="http://schemas.openxmlformats.org/officeDocument/2006/relationships/footer" Target="footer95.xml"/><Relationship Id="rId125" Type="http://schemas.openxmlformats.org/officeDocument/2006/relationships/footer" Target="footer96.xml"/><Relationship Id="rId126" Type="http://schemas.openxmlformats.org/officeDocument/2006/relationships/footer" Target="footer97.xml"/><Relationship Id="rId127" Type="http://schemas.openxmlformats.org/officeDocument/2006/relationships/footer" Target="footer98.xml"/><Relationship Id="rId128" Type="http://schemas.openxmlformats.org/officeDocument/2006/relationships/footer" Target="footer99.xml"/><Relationship Id="rId129" Type="http://schemas.openxmlformats.org/officeDocument/2006/relationships/footer" Target="footer100.xml"/><Relationship Id="rId130" Type="http://schemas.openxmlformats.org/officeDocument/2006/relationships/footer" Target="footer101.xml"/><Relationship Id="rId131" Type="http://schemas.openxmlformats.org/officeDocument/2006/relationships/footer" Target="footer102.xml"/><Relationship Id="rId132" Type="http://schemas.openxmlformats.org/officeDocument/2006/relationships/footer" Target="footer103.xml"/><Relationship Id="rId133" Type="http://schemas.openxmlformats.org/officeDocument/2006/relationships/footer" Target="footer104.xml"/><Relationship Id="rId134" Type="http://schemas.openxmlformats.org/officeDocument/2006/relationships/footer" Target="footer105.xml"/><Relationship Id="rId135" Type="http://schemas.openxmlformats.org/officeDocument/2006/relationships/footer" Target="footer106.xml"/><Relationship Id="rId136" Type="http://schemas.openxmlformats.org/officeDocument/2006/relationships/footer" Target="footer107.xml"/><Relationship Id="rId137" Type="http://schemas.openxmlformats.org/officeDocument/2006/relationships/footer" Target="footer108.xml"/><Relationship Id="rId138" Type="http://schemas.openxmlformats.org/officeDocument/2006/relationships/footer" Target="footer109.xml"/><Relationship Id="rId139" Type="http://schemas.openxmlformats.org/officeDocument/2006/relationships/footer" Target="footer110.xml"/><Relationship Id="rId140" Type="http://schemas.openxmlformats.org/officeDocument/2006/relationships/footer" Target="footer111.xml"/><Relationship Id="rId141" Type="http://schemas.openxmlformats.org/officeDocument/2006/relationships/footer" Target="footer112.xml"/><Relationship Id="rId142" Type="http://schemas.openxmlformats.org/officeDocument/2006/relationships/footer" Target="footer113.xml"/><Relationship Id="rId143" Type="http://schemas.openxmlformats.org/officeDocument/2006/relationships/footer" Target="footer114.xml"/><Relationship Id="rId144" Type="http://schemas.openxmlformats.org/officeDocument/2006/relationships/footer" Target="footer115.xml"/><Relationship Id="rId145" Type="http://schemas.openxmlformats.org/officeDocument/2006/relationships/footer" Target="footer116.xml"/><Relationship Id="rId146" Type="http://schemas.openxmlformats.org/officeDocument/2006/relationships/footer" Target="footer117.xml"/><Relationship Id="rId147" Type="http://schemas.openxmlformats.org/officeDocument/2006/relationships/footer" Target="footer118.xml"/><Relationship Id="rId148" Type="http://schemas.openxmlformats.org/officeDocument/2006/relationships/footer" Target="footer119.xml"/><Relationship Id="rId149" Type="http://schemas.openxmlformats.org/officeDocument/2006/relationships/footer" Target="footer120.xml"/><Relationship Id="rId150" Type="http://schemas.openxmlformats.org/officeDocument/2006/relationships/footer" Target="footer121.xml"/><Relationship Id="rId151" Type="http://schemas.openxmlformats.org/officeDocument/2006/relationships/footer" Target="footer122.xml"/><Relationship Id="rId152" Type="http://schemas.openxmlformats.org/officeDocument/2006/relationships/footer" Target="footer123.xml"/><Relationship Id="rId153" Type="http://schemas.openxmlformats.org/officeDocument/2006/relationships/footer" Target="footer124.xml"/><Relationship Id="rId154" Type="http://schemas.openxmlformats.org/officeDocument/2006/relationships/footer" Target="footer125.xml"/><Relationship Id="rId155" Type="http://schemas.openxmlformats.org/officeDocument/2006/relationships/footer" Target="footer126.xml"/><Relationship Id="rId156" Type="http://schemas.openxmlformats.org/officeDocument/2006/relationships/footer" Target="footer127.xml"/><Relationship Id="rId157" Type="http://schemas.openxmlformats.org/officeDocument/2006/relationships/footer" Target="footer128.xml"/><Relationship Id="rId158" Type="http://schemas.openxmlformats.org/officeDocument/2006/relationships/footer" Target="footer129.xml"/><Relationship Id="rId159" Type="http://schemas.openxmlformats.org/officeDocument/2006/relationships/footer" Target="footer130.xml"/><Relationship Id="rId160" Type="http://schemas.openxmlformats.org/officeDocument/2006/relationships/footer" Target="footer131.xml"/><Relationship Id="rId161" Type="http://schemas.openxmlformats.org/officeDocument/2006/relationships/footer" Target="footer132.xml"/><Relationship Id="rId162" Type="http://schemas.openxmlformats.org/officeDocument/2006/relationships/footer" Target="footer133.xml"/><Relationship Id="rId163" Type="http://schemas.openxmlformats.org/officeDocument/2006/relationships/footer" Target="footer134.xml"/><Relationship Id="rId164" Type="http://schemas.openxmlformats.org/officeDocument/2006/relationships/footer" Target="footer135.xml"/><Relationship Id="rId165" Type="http://schemas.openxmlformats.org/officeDocument/2006/relationships/footer" Target="footer136.xml"/><Relationship Id="rId166" Type="http://schemas.openxmlformats.org/officeDocument/2006/relationships/footer" Target="footer137.xml"/><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footer" Target="footer141.xml"/><Relationship Id="rId171" Type="http://schemas.openxmlformats.org/officeDocument/2006/relationships/footer" Target="footer142.xml"/><Relationship Id="rId172" Type="http://schemas.openxmlformats.org/officeDocument/2006/relationships/footer" Target="footer143.xml"/><Relationship Id="rId173" Type="http://schemas.openxmlformats.org/officeDocument/2006/relationships/footer" Target="footer144.xml"/><Relationship Id="rId174" Type="http://schemas.openxmlformats.org/officeDocument/2006/relationships/footer" Target="footer145.xml"/><Relationship Id="rId175" Type="http://schemas.openxmlformats.org/officeDocument/2006/relationships/footer" Target="footer146.xml"/><Relationship Id="rId176" Type="http://schemas.openxmlformats.org/officeDocument/2006/relationships/footer" Target="footer147.xml"/><Relationship Id="rId177" Type="http://schemas.openxmlformats.org/officeDocument/2006/relationships/footer" Target="footer148.xml"/><Relationship Id="rId178" Type="http://schemas.openxmlformats.org/officeDocument/2006/relationships/footer" Target="footer149.xml"/><Relationship Id="rId179" Type="http://schemas.openxmlformats.org/officeDocument/2006/relationships/footer" Target="footer150.xml"/><Relationship Id="rId180" Type="http://schemas.openxmlformats.org/officeDocument/2006/relationships/footer" Target="footer151.xml"/><Relationship Id="rId181" Type="http://schemas.openxmlformats.org/officeDocument/2006/relationships/footer" Target="footer152.xml"/><Relationship Id="rId182" Type="http://schemas.openxmlformats.org/officeDocument/2006/relationships/footer" Target="footer153.xml"/><Relationship Id="rId183" Type="http://schemas.openxmlformats.org/officeDocument/2006/relationships/footer" Target="footer154.xml"/><Relationship Id="rId184" Type="http://schemas.openxmlformats.org/officeDocument/2006/relationships/footer" Target="footer155.xml"/><Relationship Id="rId185" Type="http://schemas.openxmlformats.org/officeDocument/2006/relationships/footer" Target="footer156.xml"/><Relationship Id="rId186" Type="http://schemas.openxmlformats.org/officeDocument/2006/relationships/footer" Target="footer157.xml"/><Relationship Id="rId187" Type="http://schemas.openxmlformats.org/officeDocument/2006/relationships/footer" Target="footer158.xml"/><Relationship Id="rId188" Type="http://schemas.openxmlformats.org/officeDocument/2006/relationships/footer" Target="footer159.xml"/><Relationship Id="rId189" Type="http://schemas.openxmlformats.org/officeDocument/2006/relationships/footer" Target="footer160.xml"/><Relationship Id="rId190" Type="http://schemas.openxmlformats.org/officeDocument/2006/relationships/footer" Target="footer161.xml"/><Relationship Id="rId191" Type="http://schemas.openxmlformats.org/officeDocument/2006/relationships/footer" Target="footer162.xml"/><Relationship Id="rId192" Type="http://schemas.openxmlformats.org/officeDocument/2006/relationships/footer" Target="footer163.xml"/><Relationship Id="rId193" Type="http://schemas.openxmlformats.org/officeDocument/2006/relationships/footer" Target="footer164.xml"/><Relationship Id="rId194" Type="http://schemas.openxmlformats.org/officeDocument/2006/relationships/footer" Target="footer165.xml"/><Relationship Id="rId195" Type="http://schemas.openxmlformats.org/officeDocument/2006/relationships/footer" Target="footer166.xml"/><Relationship Id="rId196" Type="http://schemas.openxmlformats.org/officeDocument/2006/relationships/footer" Target="footer167.xml"/><Relationship Id="rId197" Type="http://schemas.openxmlformats.org/officeDocument/2006/relationships/footer" Target="footer168.xml"/><Relationship Id="rId198" Type="http://schemas.openxmlformats.org/officeDocument/2006/relationships/footer" Target="footer169.xml"/><Relationship Id="rId199" Type="http://schemas.openxmlformats.org/officeDocument/2006/relationships/footer" Target="footer170.xml"/><Relationship Id="rId200" Type="http://schemas.openxmlformats.org/officeDocument/2006/relationships/footer" Target="footer171.xml"/><Relationship Id="rId201" Type="http://schemas.openxmlformats.org/officeDocument/2006/relationships/footer" Target="footer172.xml"/><Relationship Id="rId202" Type="http://schemas.openxmlformats.org/officeDocument/2006/relationships/footer" Target="footer173.xml"/><Relationship Id="rId203" Type="http://schemas.openxmlformats.org/officeDocument/2006/relationships/footer" Target="footer174.xml"/><Relationship Id="rId204" Type="http://schemas.openxmlformats.org/officeDocument/2006/relationships/footer" Target="footer175.xml"/><Relationship Id="rId205" Type="http://schemas.openxmlformats.org/officeDocument/2006/relationships/footer" Target="footer176.xml"/><Relationship Id="rId206" Type="http://schemas.openxmlformats.org/officeDocument/2006/relationships/footer" Target="footer177.xml"/><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footer" Target="footer182.xml"/><Relationship Id="rId212" Type="http://schemas.openxmlformats.org/officeDocument/2006/relationships/footer" Target="footer183.xml"/><Relationship Id="rId213" Type="http://schemas.openxmlformats.org/officeDocument/2006/relationships/footer" Target="footer184.xml"/><Relationship Id="rId214" Type="http://schemas.openxmlformats.org/officeDocument/2006/relationships/footer" Target="footer185.xml"/><Relationship Id="rId215" Type="http://schemas.openxmlformats.org/officeDocument/2006/relationships/footer" Target="footer186.xml"/><Relationship Id="rId216" Type="http://schemas.openxmlformats.org/officeDocument/2006/relationships/footer" Target="footer187.xml"/><Relationship Id="rId217" Type="http://schemas.openxmlformats.org/officeDocument/2006/relationships/footer" Target="footer188.xml"/><Relationship Id="rId218" Type="http://schemas.openxmlformats.org/officeDocument/2006/relationships/footer" Target="footer189.xml"/><Relationship Id="rId219" Type="http://schemas.openxmlformats.org/officeDocument/2006/relationships/footer" Target="footer190.xml"/><Relationship Id="rId220" Type="http://schemas.openxmlformats.org/officeDocument/2006/relationships/footer" Target="footer191.xml"/><Relationship Id="rId221" Type="http://schemas.openxmlformats.org/officeDocument/2006/relationships/footer" Target="footer192.xml"/><Relationship Id="rId222" Type="http://schemas.openxmlformats.org/officeDocument/2006/relationships/footer" Target="footer193.xml"/><Relationship Id="rId223" Type="http://schemas.openxmlformats.org/officeDocument/2006/relationships/footer" Target="footer194.xml"/><Relationship Id="rId224" Type="http://schemas.openxmlformats.org/officeDocument/2006/relationships/footer" Target="footer195.xml"/><Relationship Id="rId225" Type="http://schemas.openxmlformats.org/officeDocument/2006/relationships/footer" Target="footer196.xml"/><Relationship Id="rId226" Type="http://schemas.openxmlformats.org/officeDocument/2006/relationships/footer" Target="footer197.xml"/><Relationship Id="rId227" Type="http://schemas.openxmlformats.org/officeDocument/2006/relationships/footer" Target="footer198.xml"/><Relationship Id="rId228" Type="http://schemas.openxmlformats.org/officeDocument/2006/relationships/footer" Target="footer199.xml"/><Relationship Id="rId229" Type="http://schemas.openxmlformats.org/officeDocument/2006/relationships/footer" Target="footer200.xml"/><Relationship Id="rId230" Type="http://schemas.openxmlformats.org/officeDocument/2006/relationships/footer" Target="footer201.xml"/><Relationship Id="rId231" Type="http://schemas.openxmlformats.org/officeDocument/2006/relationships/footer" Target="footer202.xml"/><Relationship Id="rId232" Type="http://schemas.openxmlformats.org/officeDocument/2006/relationships/footer" Target="footer203.xml"/><Relationship Id="rId233" Type="http://schemas.openxmlformats.org/officeDocument/2006/relationships/footer" Target="footer204.xml"/><Relationship Id="rId234" Type="http://schemas.openxmlformats.org/officeDocument/2006/relationships/footer" Target="footer205.xml"/><Relationship Id="rId235" Type="http://schemas.openxmlformats.org/officeDocument/2006/relationships/footer" Target="footer206.xml"/><Relationship Id="rId236" Type="http://schemas.openxmlformats.org/officeDocument/2006/relationships/footer" Target="footer207.xml"/><Relationship Id="rId237" Type="http://schemas.openxmlformats.org/officeDocument/2006/relationships/footer" Target="footer208.xml"/><Relationship Id="rId238" Type="http://schemas.openxmlformats.org/officeDocument/2006/relationships/footer" Target="footer209.xml"/><Relationship Id="rId239" Type="http://schemas.openxmlformats.org/officeDocument/2006/relationships/footer" Target="footer210.xml"/><Relationship Id="rId240" Type="http://schemas.openxmlformats.org/officeDocument/2006/relationships/footer" Target="footer211.xml"/><Relationship Id="rId241" Type="http://schemas.openxmlformats.org/officeDocument/2006/relationships/footer" Target="footer212.xml"/><Relationship Id="rId242" Type="http://schemas.openxmlformats.org/officeDocument/2006/relationships/footer" Target="footer213.xml"/><Relationship Id="rId243" Type="http://schemas.openxmlformats.org/officeDocument/2006/relationships/footer" Target="footer214.xml"/><Relationship Id="rId244" Type="http://schemas.openxmlformats.org/officeDocument/2006/relationships/footer" Target="footer215.xml"/><Relationship Id="rId245" Type="http://schemas.openxmlformats.org/officeDocument/2006/relationships/footer" Target="footer216.xml"/><Relationship Id="rId246" Type="http://schemas.openxmlformats.org/officeDocument/2006/relationships/footer" Target="footer217.xml"/><Relationship Id="rId247" Type="http://schemas.openxmlformats.org/officeDocument/2006/relationships/footer" Target="footer218.xml"/><Relationship Id="rId248" Type="http://schemas.openxmlformats.org/officeDocument/2006/relationships/footer" Target="footer219.xml"/><Relationship Id="rId249" Type="http://schemas.openxmlformats.org/officeDocument/2006/relationships/footer" Target="footer220.xml"/><Relationship Id="rId250" Type="http://schemas.openxmlformats.org/officeDocument/2006/relationships/footer" Target="footer221.xml"/><Relationship Id="rId251" Type="http://schemas.openxmlformats.org/officeDocument/2006/relationships/footer" Target="footer222.xml"/><Relationship Id="rId252" Type="http://schemas.openxmlformats.org/officeDocument/2006/relationships/footer" Target="footer223.xml"/><Relationship Id="rId253" Type="http://schemas.openxmlformats.org/officeDocument/2006/relationships/footer" Target="footer224.xml"/><Relationship Id="rId254" Type="http://schemas.openxmlformats.org/officeDocument/2006/relationships/footer" Target="footer225.xml"/><Relationship Id="rId255" Type="http://schemas.openxmlformats.org/officeDocument/2006/relationships/footer" Target="footer226.xml"/><Relationship Id="rId256" Type="http://schemas.openxmlformats.org/officeDocument/2006/relationships/footer" Target="footer227.xml"/><Relationship Id="rId257" Type="http://schemas.openxmlformats.org/officeDocument/2006/relationships/footer" Target="footer228.xml"/><Relationship Id="rId258" Type="http://schemas.openxmlformats.org/officeDocument/2006/relationships/footer" Target="footer229.xml"/><Relationship Id="rId259" Type="http://schemas.openxmlformats.org/officeDocument/2006/relationships/footer" Target="footer230.xml"/><Relationship Id="rId260" Type="http://schemas.openxmlformats.org/officeDocument/2006/relationships/footer" Target="footer231.xml"/><Relationship Id="rId261" Type="http://schemas.openxmlformats.org/officeDocument/2006/relationships/footer" Target="footer232.xml"/><Relationship Id="rId262" Type="http://schemas.openxmlformats.org/officeDocument/2006/relationships/footer" Target="footer233.xml"/><Relationship Id="rId263" Type="http://schemas.openxmlformats.org/officeDocument/2006/relationships/footer" Target="footer234.xml"/><Relationship Id="rId264" Type="http://schemas.openxmlformats.org/officeDocument/2006/relationships/footer" Target="footer235.xml"/><Relationship Id="rId265" Type="http://schemas.openxmlformats.org/officeDocument/2006/relationships/footer" Target="footer236.xml"/><Relationship Id="rId266" Type="http://schemas.openxmlformats.org/officeDocument/2006/relationships/footer" Target="footer237.xml"/><Relationship Id="rId267" Type="http://schemas.openxmlformats.org/officeDocument/2006/relationships/footer" Target="footer238.xml"/><Relationship Id="rId268" Type="http://schemas.openxmlformats.org/officeDocument/2006/relationships/footer" Target="footer239.xml"/><Relationship Id="rId269" Type="http://schemas.openxmlformats.org/officeDocument/2006/relationships/footer" Target="footer240.xml"/><Relationship Id="rId270" Type="http://schemas.openxmlformats.org/officeDocument/2006/relationships/footer" Target="footer241.xml"/><Relationship Id="rId271" Type="http://schemas.openxmlformats.org/officeDocument/2006/relationships/footer" Target="footer242.xml"/><Relationship Id="rId272" Type="http://schemas.openxmlformats.org/officeDocument/2006/relationships/footer" Target="footer243.xml"/><Relationship Id="rId273" Type="http://schemas.openxmlformats.org/officeDocument/2006/relationships/footer" Target="footer244.xml"/><Relationship Id="rId274" Type="http://schemas.openxmlformats.org/officeDocument/2006/relationships/footer" Target="footer245.xml"/><Relationship Id="rId275" Type="http://schemas.openxmlformats.org/officeDocument/2006/relationships/footer" Target="footer246.xml"/><Relationship Id="rId276" Type="http://schemas.openxmlformats.org/officeDocument/2006/relationships/footer" Target="footer247.xml"/><Relationship Id="rId277" Type="http://schemas.openxmlformats.org/officeDocument/2006/relationships/footer" Target="footer248.xml"/><Relationship Id="rId278" Type="http://schemas.openxmlformats.org/officeDocument/2006/relationships/footer" Target="footer249.xml"/><Relationship Id="rId279" Type="http://schemas.openxmlformats.org/officeDocument/2006/relationships/footer" Target="footer250.xml"/><Relationship Id="rId280" Type="http://schemas.openxmlformats.org/officeDocument/2006/relationships/footer" Target="footer251.xml"/><Relationship Id="rId281" Type="http://schemas.openxmlformats.org/officeDocument/2006/relationships/footer" Target="footer252.xml"/><Relationship Id="rId282" Type="http://schemas.openxmlformats.org/officeDocument/2006/relationships/footer" Target="footer253.xml"/><Relationship Id="rId283" Type="http://schemas.openxmlformats.org/officeDocument/2006/relationships/footer" Target="footer254.xml"/><Relationship Id="rId284" Type="http://schemas.openxmlformats.org/officeDocument/2006/relationships/footer" Target="footer255.xml"/><Relationship Id="rId285" Type="http://schemas.openxmlformats.org/officeDocument/2006/relationships/footer" Target="footer256.xml"/><Relationship Id="rId286" Type="http://schemas.openxmlformats.org/officeDocument/2006/relationships/footer" Target="footer257.xml"/><Relationship Id="rId287" Type="http://schemas.openxmlformats.org/officeDocument/2006/relationships/footer" Target="footer258.xml"/><Relationship Id="rId288" Type="http://schemas.openxmlformats.org/officeDocument/2006/relationships/footer" Target="footer259.xml"/><Relationship Id="rId289" Type="http://schemas.openxmlformats.org/officeDocument/2006/relationships/footer" Target="footer260.xml"/><Relationship Id="rId290" Type="http://schemas.openxmlformats.org/officeDocument/2006/relationships/footer" Target="footer261.xml"/><Relationship Id="rId291" Type="http://schemas.openxmlformats.org/officeDocument/2006/relationships/footer" Target="footer262.xml"/><Relationship Id="rId292" Type="http://schemas.openxmlformats.org/officeDocument/2006/relationships/footer" Target="footer263.xml"/><Relationship Id="rId293" Type="http://schemas.openxmlformats.org/officeDocument/2006/relationships/footer" Target="footer264.xml"/><Relationship Id="rId294" Type="http://schemas.openxmlformats.org/officeDocument/2006/relationships/footer" Target="footer265.xml"/><Relationship Id="rId295" Type="http://schemas.openxmlformats.org/officeDocument/2006/relationships/footer" Target="footer266.xml"/><Relationship Id="rId296" Type="http://schemas.openxmlformats.org/officeDocument/2006/relationships/footer" Target="footer267.xml"/><Relationship Id="rId297" Type="http://schemas.openxmlformats.org/officeDocument/2006/relationships/footer" Target="footer268.xml"/><Relationship Id="rId298" Type="http://schemas.openxmlformats.org/officeDocument/2006/relationships/footer" Target="footer269.xml"/><Relationship Id="rId299" Type="http://schemas.openxmlformats.org/officeDocument/2006/relationships/footer" Target="footer270.xml"/><Relationship Id="rId300" Type="http://schemas.openxmlformats.org/officeDocument/2006/relationships/footer" Target="footer271.xml"/><Relationship Id="rId301" Type="http://schemas.openxmlformats.org/officeDocument/2006/relationships/footer" Target="footer272.xml"/><Relationship Id="rId302" Type="http://schemas.openxmlformats.org/officeDocument/2006/relationships/footer" Target="footer273.xml"/><Relationship Id="rId303" Type="http://schemas.openxmlformats.org/officeDocument/2006/relationships/footer" Target="footer274.xml"/><Relationship Id="rId304" Type="http://schemas.openxmlformats.org/officeDocument/2006/relationships/footer" Target="footer275.xml"/><Relationship Id="rId305" Type="http://schemas.openxmlformats.org/officeDocument/2006/relationships/footer" Target="footer276.xml"/><Relationship Id="rId306" Type="http://schemas.openxmlformats.org/officeDocument/2006/relationships/footer" Target="footer277.xml"/><Relationship Id="rId307" Type="http://schemas.openxmlformats.org/officeDocument/2006/relationships/footer" Target="footer278.xml"/><Relationship Id="rId308" Type="http://schemas.openxmlformats.org/officeDocument/2006/relationships/footer" Target="footer279.xml"/><Relationship Id="rId309" Type="http://schemas.openxmlformats.org/officeDocument/2006/relationships/footer" Target="footer280.xml"/><Relationship Id="rId310" Type="http://schemas.openxmlformats.org/officeDocument/2006/relationships/footer" Target="footer281.xml"/><Relationship Id="rId311" Type="http://schemas.openxmlformats.org/officeDocument/2006/relationships/footer" Target="footer282.xml"/><Relationship Id="rId312" Type="http://schemas.openxmlformats.org/officeDocument/2006/relationships/footer" Target="footer283.xml"/><Relationship Id="rId313" Type="http://schemas.openxmlformats.org/officeDocument/2006/relationships/footer" Target="footer284.xml"/><Relationship Id="rId314" Type="http://schemas.openxmlformats.org/officeDocument/2006/relationships/footer" Target="footer285.xml"/><Relationship Id="rId315" Type="http://schemas.openxmlformats.org/officeDocument/2006/relationships/footer" Target="footer286.xml"/><Relationship Id="rId316" Type="http://schemas.openxmlformats.org/officeDocument/2006/relationships/footer" Target="footer287.xml"/><Relationship Id="rId317" Type="http://schemas.openxmlformats.org/officeDocument/2006/relationships/footer" Target="footer288.xml"/><Relationship Id="rId318" Type="http://schemas.openxmlformats.org/officeDocument/2006/relationships/footer" Target="footer289.xml"/><Relationship Id="rId319" Type="http://schemas.openxmlformats.org/officeDocument/2006/relationships/footer" Target="footer290.xml"/><Relationship Id="rId320" Type="http://schemas.openxmlformats.org/officeDocument/2006/relationships/footer" Target="footer291.xml"/><Relationship Id="rId321" Type="http://schemas.openxmlformats.org/officeDocument/2006/relationships/footer" Target="footer292.xml"/><Relationship Id="rId322" Type="http://schemas.openxmlformats.org/officeDocument/2006/relationships/footer" Target="footer293.xml"/><Relationship Id="rId323" Type="http://schemas.openxmlformats.org/officeDocument/2006/relationships/footer" Target="footer294.xml"/><Relationship Id="rId324" Type="http://schemas.openxmlformats.org/officeDocument/2006/relationships/footer" Target="footer295.xml"/><Relationship Id="rId325" Type="http://schemas.openxmlformats.org/officeDocument/2006/relationships/footer" Target="footer296.xml"/><Relationship Id="rId326" Type="http://schemas.openxmlformats.org/officeDocument/2006/relationships/footer" Target="footer297.xml"/><Relationship Id="rId327" Type="http://schemas.openxmlformats.org/officeDocument/2006/relationships/footer" Target="footer298.xml"/><Relationship Id="rId328" Type="http://schemas.openxmlformats.org/officeDocument/2006/relationships/footer" Target="footer299.xml"/><Relationship Id="rId329" Type="http://schemas.openxmlformats.org/officeDocument/2006/relationships/footer" Target="footer300.xml"/><Relationship Id="rId330" Type="http://schemas.openxmlformats.org/officeDocument/2006/relationships/footer" Target="footer301.xml"/><Relationship Id="rId331" Type="http://schemas.openxmlformats.org/officeDocument/2006/relationships/footer" Target="footer302.xml"/><Relationship Id="rId332" Type="http://schemas.openxmlformats.org/officeDocument/2006/relationships/footer" Target="footer303.xml"/><Relationship Id="rId333" Type="http://schemas.openxmlformats.org/officeDocument/2006/relationships/footer" Target="footer304.xml"/><Relationship Id="rId334" Type="http://schemas.openxmlformats.org/officeDocument/2006/relationships/footer" Target="footer305.xml"/><Relationship Id="rId335" Type="http://schemas.openxmlformats.org/officeDocument/2006/relationships/footer" Target="footer306.xml"/><Relationship Id="rId336" Type="http://schemas.openxmlformats.org/officeDocument/2006/relationships/footer" Target="footer307.xml"/><Relationship Id="rId337" Type="http://schemas.openxmlformats.org/officeDocument/2006/relationships/footer" Target="footer308.xml"/><Relationship Id="rId338" Type="http://schemas.openxmlformats.org/officeDocument/2006/relationships/footer" Target="footer309.xml"/><Relationship Id="rId339" Type="http://schemas.openxmlformats.org/officeDocument/2006/relationships/footer" Target="footer310.xml"/><Relationship Id="rId340" Type="http://schemas.openxmlformats.org/officeDocument/2006/relationships/footer" Target="footer311.xml"/><Relationship Id="rId341" Type="http://schemas.openxmlformats.org/officeDocument/2006/relationships/footer" Target="footer312.xml"/><Relationship Id="rId342" Type="http://schemas.openxmlformats.org/officeDocument/2006/relationships/footer" Target="footer313.xml"/><Relationship Id="rId343" Type="http://schemas.openxmlformats.org/officeDocument/2006/relationships/footer" Target="footer314.xml"/><Relationship Id="rId344" Type="http://schemas.openxmlformats.org/officeDocument/2006/relationships/footer" Target="footer315.xml"/><Relationship Id="rId345" Type="http://schemas.openxmlformats.org/officeDocument/2006/relationships/footer" Target="footer316.xml"/><Relationship Id="rId346" Type="http://schemas.openxmlformats.org/officeDocument/2006/relationships/footer" Target="footer317.xml"/><Relationship Id="rId347" Type="http://schemas.openxmlformats.org/officeDocument/2006/relationships/footer" Target="footer318.xml"/><Relationship Id="rId348" Type="http://schemas.openxmlformats.org/officeDocument/2006/relationships/footer" Target="footer319.xml"/><Relationship Id="rId349" Type="http://schemas.openxmlformats.org/officeDocument/2006/relationships/footer" Target="footer320.xml"/><Relationship Id="rId350" Type="http://schemas.openxmlformats.org/officeDocument/2006/relationships/footer" Target="footer321.xml"/><Relationship Id="rId351" Type="http://schemas.openxmlformats.org/officeDocument/2006/relationships/footer" Target="footer322.xml"/><Relationship Id="rId352" Type="http://schemas.openxmlformats.org/officeDocument/2006/relationships/footer" Target="footer323.xml"/><Relationship Id="rId353" Type="http://schemas.openxmlformats.org/officeDocument/2006/relationships/footer" Target="footer324.xml"/><Relationship Id="rId354" Type="http://schemas.openxmlformats.org/officeDocument/2006/relationships/footer" Target="footer325.xml"/><Relationship Id="rId355" Type="http://schemas.openxmlformats.org/officeDocument/2006/relationships/footer" Target="footer326.xml"/><Relationship Id="rId356" Type="http://schemas.openxmlformats.org/officeDocument/2006/relationships/footer" Target="footer327.xml"/><Relationship Id="rId357" Type="http://schemas.openxmlformats.org/officeDocument/2006/relationships/footer" Target="footer328.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29.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344</Pages>
  <Words>54699</Words>
  <Characters>208014</Characters>
  <CharactersWithSpaces>260747</CharactersWithSpaces>
  <Paragraphs>2122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2026-08-28T15:00:37Z</dcterms:created>
  <dc:creator>ghaemiyeh.com</dc:creator>
  <dc:description/>
  <dc:language>en-US</dc:language>
  <cp:lastModifiedBy/>
  <dcterms:modified xsi:type="dcterms:W3CDTF">2026-08-28T18:31:02Z</dcterms:modified>
  <cp:revision>1</cp:revision>
  <dc:subject/>
  <dc:title>اندیشه های کلامی شیخ طوسی جلد 3</dc:title>
</cp:coreProperties>
</file>

<file path=docProps/custom.xml><?xml version="1.0" encoding="utf-8"?>
<Properties xmlns="http://schemas.openxmlformats.org/officeDocument/2006/custom-properties" xmlns:vt="http://schemas.openxmlformats.org/officeDocument/2006/docPropsVTypes"/>
</file>