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مبادئ حقوق الإنسان فی ضوء عهد الإمام علی علیه السلام لمالک الأشتر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036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83036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30364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8830366_1051229030">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8830368_105122903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8830370_1051229030">
            <w:r>
              <w:rPr>
                <w:webHidden/>
                <w:rStyle w:val="IndexLink"/>
                <w:rtl w:val="true"/>
              </w:rPr>
              <w:t>سبب اختيار الموضوع</w:t>
            </w:r>
            <w:r>
              <w:rPr>
                <w:rStyle w:val="IndexLink"/>
                <w:rtl w:val="true"/>
              </w:rPr>
              <w:t>:</w:t>
              <w:tab/>
            </w:r>
            <w:r>
              <w:rPr>
                <w:rStyle w:val="IndexLink"/>
              </w:rPr>
              <w:t>19</w:t>
            </w:r>
          </w:hyperlink>
        </w:p>
        <w:p>
          <w:pPr>
            <w:pStyle w:val="Contents2"/>
            <w:tabs>
              <w:tab w:val="clear" w:pos="8743"/>
              <w:tab w:val="right" w:pos="9026" w:leader="dot"/>
            </w:tabs>
            <w:rPr/>
          </w:pPr>
          <w:hyperlink w:anchor="__RefHeading___Toc8830372_1051229030">
            <w:r>
              <w:rPr>
                <w:webHidden/>
                <w:rStyle w:val="IndexLink"/>
                <w:rtl w:val="true"/>
              </w:rPr>
              <w:t>أهمية البحث</w:t>
            </w:r>
            <w:r>
              <w:rPr>
                <w:rStyle w:val="IndexLink"/>
                <w:rtl w:val="true"/>
              </w:rPr>
              <w:t>:</w:t>
              <w:tab/>
            </w:r>
            <w:r>
              <w:rPr>
                <w:rStyle w:val="IndexLink"/>
              </w:rPr>
              <w:t>19</w:t>
            </w:r>
          </w:hyperlink>
        </w:p>
        <w:p>
          <w:pPr>
            <w:pStyle w:val="Contents2"/>
            <w:tabs>
              <w:tab w:val="clear" w:pos="8743"/>
              <w:tab w:val="right" w:pos="9026" w:leader="dot"/>
            </w:tabs>
            <w:rPr/>
          </w:pPr>
          <w:hyperlink w:anchor="__RefHeading___Toc8830374_1051229030">
            <w:r>
              <w:rPr>
                <w:webHidden/>
                <w:rStyle w:val="IndexLink"/>
                <w:rtl w:val="true"/>
              </w:rPr>
              <w:t>فكرة البحث</w:t>
            </w:r>
            <w:r>
              <w:rPr>
                <w:rStyle w:val="IndexLink"/>
                <w:rtl w:val="true"/>
              </w:rPr>
              <w:t>:</w:t>
              <w:tab/>
            </w:r>
            <w:r>
              <w:rPr>
                <w:rStyle w:val="IndexLink"/>
              </w:rPr>
              <w:t>20</w:t>
            </w:r>
          </w:hyperlink>
        </w:p>
        <w:p>
          <w:pPr>
            <w:pStyle w:val="Contents2"/>
            <w:tabs>
              <w:tab w:val="clear" w:pos="8743"/>
              <w:tab w:val="right" w:pos="9026" w:leader="dot"/>
            </w:tabs>
            <w:rPr/>
          </w:pPr>
          <w:hyperlink w:anchor="__RefHeading___Toc8830376_1051229030">
            <w:r>
              <w:rPr>
                <w:webHidden/>
                <w:rStyle w:val="IndexLink"/>
                <w:rtl w:val="true"/>
              </w:rPr>
              <w:t>منهجية البحث</w:t>
            </w:r>
            <w:r>
              <w:rPr>
                <w:rStyle w:val="IndexLink"/>
                <w:rtl w:val="true"/>
              </w:rPr>
              <w:t>:</w:t>
              <w:tab/>
            </w:r>
            <w:r>
              <w:rPr>
                <w:rStyle w:val="IndexLink"/>
              </w:rPr>
              <w:t>21</w:t>
            </w:r>
          </w:hyperlink>
        </w:p>
        <w:p>
          <w:pPr>
            <w:pStyle w:val="Contents2"/>
            <w:tabs>
              <w:tab w:val="clear" w:pos="8743"/>
              <w:tab w:val="right" w:pos="9026" w:leader="dot"/>
            </w:tabs>
            <w:rPr/>
          </w:pPr>
          <w:hyperlink w:anchor="__RefHeading___Toc8830378_1051229030">
            <w:r>
              <w:rPr>
                <w:webHidden/>
                <w:rStyle w:val="IndexLink"/>
                <w:rtl w:val="true"/>
              </w:rPr>
              <w:t>التمهيد</w:t>
            </w:r>
            <w:r>
              <w:rPr>
                <w:rStyle w:val="IndexLink"/>
                <w:rtl w:val="true"/>
              </w:rPr>
              <w:tab/>
            </w:r>
            <w:r>
              <w:rPr>
                <w:rStyle w:val="IndexLink"/>
              </w:rPr>
              <w:t>27</w:t>
            </w:r>
          </w:hyperlink>
        </w:p>
        <w:p>
          <w:pPr>
            <w:pStyle w:val="Contents3"/>
            <w:tabs>
              <w:tab w:val="clear" w:pos="8459"/>
              <w:tab w:val="right" w:pos="9026" w:leader="dot"/>
            </w:tabs>
            <w:rPr/>
          </w:pPr>
          <w:hyperlink w:anchor="__RefHeading___Toc8830380_1051229030">
            <w:r>
              <w:rPr>
                <w:webHidden/>
                <w:rStyle w:val="IndexLink"/>
                <w:rtl w:val="true"/>
              </w:rPr>
              <w:t>أولاً</w:t>
            </w:r>
            <w:r>
              <w:rPr>
                <w:rStyle w:val="IndexLink"/>
                <w:rtl w:val="true"/>
              </w:rPr>
              <w:t xml:space="preserve">: </w:t>
            </w:r>
            <w:r>
              <w:rPr>
                <w:rStyle w:val="IndexLink"/>
                <w:rtl w:val="true"/>
              </w:rPr>
              <w:t xml:space="preserve">ما يعرف بالكلمات المفتاحية الرئيسة لعنوان البحث </w:t>
            </w:r>
            <w:r>
              <w:rPr>
                <w:rStyle w:val="IndexLink"/>
                <w:rtl w:val="true"/>
              </w:rPr>
              <w:t>(</w:t>
            </w:r>
            <w:r>
              <w:rPr>
                <w:rStyle w:val="IndexLink"/>
              </w:rPr>
              <w:t>Keywords</w:t>
            </w:r>
            <w:r>
              <w:rPr>
                <w:rStyle w:val="IndexLink"/>
                <w:rtl w:val="true"/>
              </w:rPr>
              <w:t xml:space="preserve">) </w:t>
            </w:r>
            <w:r>
              <w:rPr>
                <w:rStyle w:val="IndexLink"/>
                <w:rtl w:val="true"/>
              </w:rPr>
              <w:t>وبيانها لغةً واصطلاحاً</w:t>
            </w:r>
            <w:r>
              <w:rPr>
                <w:rStyle w:val="IndexLink"/>
                <w:rtl w:val="true"/>
              </w:rPr>
              <w:t>.</w:t>
              <w:tab/>
            </w:r>
            <w:r>
              <w:rPr>
                <w:rStyle w:val="IndexLink"/>
              </w:rPr>
              <w:t>27</w:t>
            </w:r>
          </w:hyperlink>
        </w:p>
        <w:p>
          <w:pPr>
            <w:pStyle w:val="Contents3"/>
            <w:tabs>
              <w:tab w:val="clear" w:pos="8459"/>
              <w:tab w:val="right" w:pos="9026" w:leader="dot"/>
            </w:tabs>
            <w:rPr/>
          </w:pPr>
          <w:hyperlink w:anchor="__RefHeading___Toc8830382_1051229030">
            <w:r>
              <w:rPr>
                <w:webHidden/>
                <w:rStyle w:val="IndexLink"/>
                <w:rtl w:val="true"/>
              </w:rPr>
              <w:t>ثانياً</w:t>
            </w:r>
            <w:r>
              <w:rPr>
                <w:rStyle w:val="IndexLink"/>
                <w:rtl w:val="true"/>
              </w:rPr>
              <w:t xml:space="preserve">: </w:t>
            </w:r>
            <w:r>
              <w:rPr>
                <w:rStyle w:val="IndexLink"/>
                <w:rtl w:val="true"/>
              </w:rPr>
              <w:t xml:space="preserve">لمحة عن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وتعاطيه مع حقوق الإنسان خارج هذا العهد</w:t>
            </w:r>
            <w:r>
              <w:rPr>
                <w:rStyle w:val="IndexLink"/>
                <w:rtl w:val="true"/>
              </w:rPr>
              <w:t>:</w:t>
              <w:tab/>
            </w:r>
            <w:r>
              <w:rPr>
                <w:rStyle w:val="IndexLink"/>
              </w:rPr>
              <w:t>32</w:t>
            </w:r>
          </w:hyperlink>
        </w:p>
        <w:p>
          <w:pPr>
            <w:pStyle w:val="Contents3"/>
            <w:tabs>
              <w:tab w:val="clear" w:pos="8459"/>
              <w:tab w:val="right" w:pos="9026" w:leader="dot"/>
            </w:tabs>
            <w:rPr/>
          </w:pPr>
          <w:hyperlink w:anchor="__RefHeading___Toc8830384_1051229030">
            <w:r>
              <w:rPr>
                <w:webHidden/>
                <w:rStyle w:val="IndexLink"/>
                <w:rtl w:val="true"/>
              </w:rPr>
              <w:t>ثالثا</w:t>
            </w:r>
            <w:r>
              <w:rPr>
                <w:rStyle w:val="IndexLink"/>
                <w:rtl w:val="true"/>
              </w:rPr>
              <w:t xml:space="preserve">: </w:t>
            </w:r>
            <w:r>
              <w:rPr>
                <w:rStyle w:val="IndexLink"/>
                <w:rtl w:val="true"/>
              </w:rPr>
              <w:t>نظرة تأريخية مختصرة عن حياة مالك الأشتر وعهده</w:t>
            </w:r>
            <w:r>
              <w:rPr>
                <w:rStyle w:val="IndexLink"/>
                <w:rtl w:val="true"/>
              </w:rPr>
              <w:t>:</w:t>
              <w:tab/>
            </w:r>
            <w:r>
              <w:rPr>
                <w:rStyle w:val="IndexLink"/>
              </w:rPr>
              <w:t>37</w:t>
            </w:r>
          </w:hyperlink>
        </w:p>
        <w:p>
          <w:pPr>
            <w:pStyle w:val="Contents2"/>
            <w:tabs>
              <w:tab w:val="clear" w:pos="8743"/>
              <w:tab w:val="right" w:pos="9026" w:leader="dot"/>
            </w:tabs>
            <w:rPr/>
          </w:pPr>
          <w:hyperlink w:anchor="__RefHeading___Toc8830386_1051229030">
            <w:r>
              <w:rPr>
                <w:webHidden/>
                <w:rStyle w:val="IndexLink"/>
                <w:rtl w:val="true"/>
              </w:rPr>
              <w:t>مضامين العهد</w:t>
            </w:r>
            <w:r>
              <w:rPr>
                <w:rStyle w:val="IndexLink"/>
                <w:rtl w:val="true"/>
              </w:rPr>
              <w:t>:</w:t>
              <w:tab/>
            </w:r>
            <w:r>
              <w:rPr>
                <w:rStyle w:val="IndexLink"/>
              </w:rPr>
              <w:t>45</w:t>
            </w:r>
          </w:hyperlink>
        </w:p>
        <w:p>
          <w:pPr>
            <w:pStyle w:val="Contents2"/>
            <w:tabs>
              <w:tab w:val="clear" w:pos="8743"/>
              <w:tab w:val="right" w:pos="9026" w:leader="dot"/>
            </w:tabs>
            <w:rPr/>
          </w:pPr>
          <w:hyperlink w:anchor="__RefHeading___Toc8830388_1051229030">
            <w:r>
              <w:rPr>
                <w:webHidden/>
                <w:rStyle w:val="IndexLink"/>
                <w:rtl w:val="true"/>
              </w:rPr>
              <w:t>تاريخ العهد وسبب اختيار مالك لولاية مصر</w:t>
            </w:r>
            <w:r>
              <w:rPr>
                <w:rStyle w:val="IndexLink"/>
                <w:rtl w:val="true"/>
              </w:rPr>
              <w:t>:</w:t>
              <w:tab/>
            </w:r>
            <w:r>
              <w:rPr>
                <w:rStyle w:val="IndexLink"/>
              </w:rPr>
              <w:t>46</w:t>
            </w:r>
          </w:hyperlink>
        </w:p>
        <w:p>
          <w:pPr>
            <w:pStyle w:val="Contents2"/>
            <w:tabs>
              <w:tab w:val="clear" w:pos="8743"/>
              <w:tab w:val="right" w:pos="9026" w:leader="dot"/>
            </w:tabs>
            <w:rPr/>
          </w:pPr>
          <w:hyperlink w:anchor="__RefHeading___Toc8830390_1051229030">
            <w:r>
              <w:rPr>
                <w:webHidden/>
                <w:rStyle w:val="IndexLink"/>
                <w:rtl w:val="true"/>
              </w:rPr>
              <w:t>المطلب الأول</w:t>
            </w:r>
            <w:r>
              <w:rPr>
                <w:rStyle w:val="IndexLink"/>
                <w:rtl w:val="true"/>
              </w:rPr>
              <w:t xml:space="preserve">: </w:t>
            </w:r>
            <w:r>
              <w:rPr>
                <w:rStyle w:val="IndexLink"/>
                <w:rtl w:val="true"/>
              </w:rPr>
              <w:t>حق التعايش السلمي للإنسان</w:t>
            </w:r>
            <w:r>
              <w:rPr>
                <w:rStyle w:val="IndexLink"/>
                <w:rtl w:val="true"/>
              </w:rPr>
              <w:t>:</w:t>
              <w:tab/>
            </w:r>
            <w:r>
              <w:rPr>
                <w:rStyle w:val="IndexLink"/>
              </w:rPr>
              <w:t>48</w:t>
            </w:r>
          </w:hyperlink>
        </w:p>
        <w:p>
          <w:pPr>
            <w:pStyle w:val="Contents2"/>
            <w:tabs>
              <w:tab w:val="clear" w:pos="8743"/>
              <w:tab w:val="right" w:pos="9026" w:leader="dot"/>
            </w:tabs>
            <w:rPr/>
          </w:pPr>
          <w:hyperlink w:anchor="__RefHeading___Toc8830392_1051229030">
            <w:r>
              <w:rPr>
                <w:webHidden/>
                <w:rStyle w:val="IndexLink"/>
                <w:rtl w:val="true"/>
              </w:rPr>
              <w:t>المطلب الثاني</w:t>
            </w:r>
            <w:r>
              <w:rPr>
                <w:rStyle w:val="IndexLink"/>
                <w:rtl w:val="true"/>
              </w:rPr>
              <w:t xml:space="preserve">: </w:t>
            </w:r>
            <w:r>
              <w:rPr>
                <w:rStyle w:val="IndexLink"/>
                <w:rtl w:val="true"/>
              </w:rPr>
              <w:t>حق الإنسان في الحرية</w:t>
            </w:r>
            <w:r>
              <w:rPr>
                <w:rStyle w:val="IndexLink"/>
                <w:rtl w:val="true"/>
              </w:rPr>
              <w:tab/>
            </w:r>
            <w:r>
              <w:rPr>
                <w:rStyle w:val="IndexLink"/>
              </w:rPr>
              <w:t>61</w:t>
            </w:r>
          </w:hyperlink>
        </w:p>
        <w:p>
          <w:pPr>
            <w:pStyle w:val="Contents3"/>
            <w:tabs>
              <w:tab w:val="clear" w:pos="8459"/>
              <w:tab w:val="right" w:pos="9026" w:leader="dot"/>
            </w:tabs>
            <w:rPr/>
          </w:pPr>
          <w:hyperlink w:anchor="__RefHeading___Toc8830394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8830396_1051229030">
            <w:r>
              <w:rPr>
                <w:webHidden/>
                <w:rStyle w:val="IndexLink"/>
                <w:rtl w:val="true"/>
              </w:rPr>
              <w:t xml:space="preserve">أولاً </w:t>
            </w:r>
            <w:r>
              <w:rPr>
                <w:rStyle w:val="IndexLink"/>
                <w:rtl w:val="true"/>
              </w:rPr>
              <w:t xml:space="preserve">- </w:t>
            </w:r>
            <w:r>
              <w:rPr>
                <w:rStyle w:val="IndexLink"/>
                <w:rtl w:val="true"/>
              </w:rPr>
              <w:t>حرية العقيدة وعبادة الله تعالى</w:t>
            </w:r>
            <w:r>
              <w:rPr>
                <w:rStyle w:val="IndexLink"/>
                <w:rtl w:val="true"/>
              </w:rPr>
              <w:t>:</w:t>
              <w:tab/>
            </w:r>
            <w:r>
              <w:rPr>
                <w:rStyle w:val="IndexLink"/>
              </w:rPr>
              <w:t>64</w:t>
            </w:r>
          </w:hyperlink>
        </w:p>
        <w:p>
          <w:pPr>
            <w:pStyle w:val="Contents3"/>
            <w:tabs>
              <w:tab w:val="clear" w:pos="8459"/>
              <w:tab w:val="right" w:pos="9026" w:leader="dot"/>
            </w:tabs>
            <w:rPr/>
          </w:pPr>
          <w:hyperlink w:anchor="__RefHeading___Toc8830398_1051229030">
            <w:r>
              <w:rPr>
                <w:webHidden/>
                <w:rStyle w:val="IndexLink"/>
                <w:rtl w:val="true"/>
              </w:rPr>
              <w:t xml:space="preserve">ثانياً </w:t>
            </w:r>
            <w:r>
              <w:rPr>
                <w:rStyle w:val="IndexLink"/>
                <w:rtl w:val="true"/>
              </w:rPr>
              <w:t xml:space="preserve">- </w:t>
            </w:r>
            <w:r>
              <w:rPr>
                <w:rStyle w:val="IndexLink"/>
                <w:rtl w:val="true"/>
              </w:rPr>
              <w:t>الحرية الشخصية</w:t>
            </w:r>
            <w:r>
              <w:rPr>
                <w:rStyle w:val="IndexLink"/>
                <w:rtl w:val="true"/>
              </w:rPr>
              <w:t>:</w:t>
              <w:tab/>
            </w:r>
            <w:r>
              <w:rPr>
                <w:rStyle w:val="IndexLink"/>
              </w:rPr>
              <w:t>71</w:t>
            </w:r>
          </w:hyperlink>
        </w:p>
        <w:p>
          <w:pPr>
            <w:pStyle w:val="Contents2"/>
            <w:tabs>
              <w:tab w:val="clear" w:pos="8743"/>
              <w:tab w:val="right" w:pos="9026" w:leader="dot"/>
            </w:tabs>
            <w:rPr/>
          </w:pPr>
          <w:hyperlink w:anchor="__RefHeading___Toc8830400_1051229030">
            <w:r>
              <w:rPr>
                <w:webHidden/>
                <w:rStyle w:val="IndexLink"/>
                <w:rtl w:val="true"/>
              </w:rPr>
              <w:t>المطلب الثالث</w:t>
            </w:r>
            <w:r>
              <w:rPr>
                <w:rStyle w:val="IndexLink"/>
                <w:rtl w:val="true"/>
              </w:rPr>
              <w:t xml:space="preserve">: </w:t>
            </w:r>
            <w:r>
              <w:rPr>
                <w:rStyle w:val="IndexLink"/>
                <w:rtl w:val="true"/>
              </w:rPr>
              <w:t>حق الإنسان في حرية التعبير</w:t>
            </w:r>
            <w:r>
              <w:rPr>
                <w:rStyle w:val="IndexLink"/>
                <w:rtl w:val="true"/>
              </w:rPr>
              <w:tab/>
            </w:r>
            <w:r>
              <w:rPr>
                <w:rStyle w:val="IndexLink"/>
              </w:rPr>
              <w:t>73</w:t>
            </w:r>
          </w:hyperlink>
        </w:p>
        <w:p>
          <w:pPr>
            <w:pStyle w:val="Contents2"/>
            <w:tabs>
              <w:tab w:val="clear" w:pos="8743"/>
              <w:tab w:val="right" w:pos="9026" w:leader="dot"/>
            </w:tabs>
            <w:rPr/>
          </w:pPr>
          <w:hyperlink w:anchor="__RefHeading___Toc8830402_1051229030">
            <w:r>
              <w:rPr>
                <w:webHidden/>
                <w:rStyle w:val="IndexLink"/>
                <w:rtl w:val="true"/>
              </w:rPr>
              <w:t>المطلب الرابع</w:t>
            </w:r>
            <w:r>
              <w:rPr>
                <w:rStyle w:val="IndexLink"/>
                <w:rtl w:val="true"/>
              </w:rPr>
              <w:t xml:space="preserve">: </w:t>
            </w:r>
            <w:r>
              <w:rPr>
                <w:rStyle w:val="IndexLink"/>
                <w:rtl w:val="true"/>
              </w:rPr>
              <w:t>حق الإنسان في العدل والمساواة</w:t>
            </w:r>
            <w:r>
              <w:rPr>
                <w:rStyle w:val="IndexLink"/>
                <w:rtl w:val="true"/>
              </w:rPr>
              <w:tab/>
            </w:r>
            <w:r>
              <w:rPr>
                <w:rStyle w:val="IndexLink"/>
              </w:rPr>
              <w:t>77</w:t>
            </w:r>
          </w:hyperlink>
        </w:p>
        <w:p>
          <w:pPr>
            <w:pStyle w:val="Contents2"/>
            <w:tabs>
              <w:tab w:val="clear" w:pos="8743"/>
              <w:tab w:val="right" w:pos="9026" w:leader="dot"/>
            </w:tabs>
            <w:rPr/>
          </w:pPr>
          <w:hyperlink w:anchor="__RefHeading___Toc8830404_1051229030">
            <w:r>
              <w:rPr>
                <w:webHidden/>
                <w:rStyle w:val="IndexLink"/>
                <w:rtl w:val="true"/>
              </w:rPr>
              <w:t>المطلب الخامس</w:t>
            </w:r>
            <w:r>
              <w:rPr>
                <w:rStyle w:val="IndexLink"/>
                <w:rtl w:val="true"/>
              </w:rPr>
              <w:t xml:space="preserve">: </w:t>
            </w:r>
            <w:r>
              <w:rPr>
                <w:rStyle w:val="IndexLink"/>
                <w:rtl w:val="true"/>
              </w:rPr>
              <w:t>حق الإنسان في الحياة</w:t>
            </w:r>
            <w:r>
              <w:rPr>
                <w:rStyle w:val="IndexLink"/>
                <w:rtl w:val="true"/>
              </w:rPr>
              <w:tab/>
            </w:r>
            <w:r>
              <w:rPr>
                <w:rStyle w:val="IndexLink"/>
              </w:rPr>
              <w:t>85</w:t>
            </w:r>
          </w:hyperlink>
        </w:p>
        <w:p>
          <w:pPr>
            <w:pStyle w:val="Contents2"/>
            <w:tabs>
              <w:tab w:val="clear" w:pos="8743"/>
              <w:tab w:val="right" w:pos="9026" w:leader="dot"/>
            </w:tabs>
            <w:rPr/>
          </w:pPr>
          <w:hyperlink w:anchor="__RefHeading___Toc8830406_1051229030">
            <w:r>
              <w:rPr>
                <w:webHidden/>
                <w:rStyle w:val="IndexLink"/>
                <w:rtl w:val="true"/>
              </w:rPr>
              <w:t>الخاتمة</w:t>
            </w:r>
            <w:r>
              <w:rPr>
                <w:rStyle w:val="IndexLink"/>
                <w:rtl w:val="true"/>
              </w:rPr>
              <w:tab/>
            </w:r>
            <w:r>
              <w:rPr>
                <w:rStyle w:val="IndexLink"/>
              </w:rPr>
              <w:t>90</w:t>
            </w:r>
          </w:hyperlink>
        </w:p>
        <w:p>
          <w:pPr>
            <w:pStyle w:val="Contents2"/>
            <w:tabs>
              <w:tab w:val="clear" w:pos="8743"/>
              <w:tab w:val="right" w:pos="9026" w:leader="dot"/>
            </w:tabs>
            <w:rPr/>
          </w:pPr>
          <w:hyperlink w:anchor="__RefHeading___Toc8830408_1051229030">
            <w:r>
              <w:rPr>
                <w:webHidden/>
                <w:rStyle w:val="IndexLink"/>
                <w:rtl w:val="true"/>
              </w:rPr>
              <w:t>ثبت المصادر والمراجع</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87_113041"/>
      <w:bookmarkStart w:id="1" w:name="pg8187_113041"/>
      <w:bookmarkEnd w:id="1"/>
    </w:p>
    <w:p>
      <w:pPr>
        <w:pStyle w:val="Heading2"/>
        <w:numPr>
          <w:ilvl w:val="1"/>
          <w:numId w:val="1"/>
        </w:numPr>
        <w:rPr/>
      </w:pPr>
      <w:bookmarkStart w:id="2" w:name="pg8187_113041"/>
      <w:bookmarkStart w:id="3" w:name="__RefHeading___Toc883036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adr ILPaK-QI ara ILPak-QI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BP38.09.H8 A56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رباح صعصع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حقوق الانسان في ضوء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صعصع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حقوق الانسان،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036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adr ILPaK-QI ara ILPak-QI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BP38.09.H8 A56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رباح صعصع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حقوق الانسان في ضوء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صعصع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حقوق الانسان،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حقوق الإنسان مبادئ حقوق الإنسان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صعصع عنان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بالضرورة عن وجهة نظر العتبة الحسینیة المقدسة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87_113047"/>
      <w:bookmarkStart w:id="8" w:name="pg8187_113047"/>
      <w:bookmarkEnd w:id="8"/>
    </w:p>
    <w:p>
      <w:pPr>
        <w:pStyle w:val="Heading2"/>
        <w:numPr>
          <w:ilvl w:val="1"/>
          <w:numId w:val="1"/>
        </w:numPr>
        <w:rPr/>
      </w:pPr>
      <w:bookmarkStart w:id="9" w:name="pg8187_113047"/>
      <w:bookmarkStart w:id="10" w:name="__RefHeading___Toc8830364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أهدي هذا الجهد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ومولاي، روحي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وأقف على بابه سائلاً، أن يقبل مني هديةً مزجاةً كما هي، وأن لا يردني خائباً، فأكون مصداقاً للآية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آتَانِيَ اللَّهُ خَيْرٌ مِمَّا آتَاكُمْ بَلْ أَنْتُمْ بِهَدِيَّتِكُمْ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حيث أنا، لا من حيث أنت سيدي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87_113049"/>
      <w:bookmarkStart w:id="13" w:name="pg8187_113049"/>
      <w:bookmarkEnd w:id="13"/>
    </w:p>
    <w:p>
      <w:pPr>
        <w:pStyle w:val="BookText"/>
        <w:rPr/>
      </w:pPr>
      <w:bookmarkStart w:id="14" w:name="pg8187_113049"/>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8830366_1051229030"/>
      <w:bookmarkStart w:id="16" w:name="_Toc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والصلاة والسلام على خير الخلق أجمعين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لَحدیث </w:t>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صلاحية النص القرآني لكل الأزمنة متلازماً مع صلاحيّة 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خصبة للعلوم الإنسانية التي هي أشرف العلوم ومدار بناء الإنسان 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حقوق الانسان في ضوء عهد الإمام علي عليه السلام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انتهج فيه الباحث منهجاً </w:t>
      </w:r>
    </w:p>
    <w:p>
      <w:pPr>
        <w:pStyle w:val="BookText"/>
        <w:rPr/>
      </w:pPr>
      <w:r>
        <w:rPr>
          <w:rFonts w:ascii="Amiri" w:hAnsi="Amiri" w:eastAsia="Amiri" w:cs="Amiri"/>
          <w:color w:val="111111"/>
          <w:sz w:val="28"/>
          <w:sz w:val="28"/>
          <w:szCs w:val="28"/>
          <w:rtl w:val="true"/>
          <w:lang w:bidi="ar-SA"/>
        </w:rPr>
        <w:t xml:space="preserve">شاملاً أراد من خلاله أن يعبّر عن حقوق الإنسان انطلاقاً من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الأنموذج في ذلك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تلك الدراسة على وفق منهج تحليلي استنطق النص المبارك ليقف على أهم المواضع التي أورد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 حقوق الإنسان والتي بدت معاصرة لما جاءت به الدراسات الحديثة حول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7" w:name="pg8187_113053"/>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8830368_1051229030"/>
      <w:bookmarkStart w:id="19" w:name="_Toc5"/>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وبعد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عن حقوق الإنسان والإمام علي عليه السلام حديث طويل له بداية وليس له نهاية؛ كونه مرتبط بشخصٍ يعطي حقاً للنملة التي ندرسها على الأرض ولا ندري ولا نلتفت لها، وهي مسحوقة تحت الأرجل، هل ماتت أو مازالت حيّة؟ بينما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أُعْطِيتُ الْأَقَالِيمَ السَّبْعَةَ بِمَا تَحْتَ أَفْلَاکِهَا، عَلَى أَنْ أَعْصِيَ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نَمْلَةٍ أَسْلُبُهَا جُلْبَ شَعِيرَةٍ مَا فَعَلْتُ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والسؤال الساذج هنا الذي قد يُطرح من البعض لغموض شابَهُ الزمن المتراكم، وهو إن العهد مخصصٌ لمالك في حكمه على مصر، ومالك الأشتر استلم الكتاب من الإمام علي عليه السلام ولم يصل مصر، ولم يطبق ويستفيد من محتوى العهد فكيف لنا أن نستفيد منه في الوقت الحاضر؟ هذا العهد وهذا الكتاب وما جاء فيه من وصايا تاريخية ودستور واضح، يعجز الدهر على الاتيان به، فهو وإن كان الخطاب موجهاً فيه إلى شخص مالك الأشتر إلا إنه خطاب عالمي </w:t>
      </w:r>
    </w:p>
    <w:p>
      <w:pPr>
        <w:pStyle w:val="BookText"/>
        <w:rPr/>
      </w:pPr>
      <w:r>
        <w:rPr>
          <w:rFonts w:ascii="IRNazanin" w:hAnsi="IRNazanin" w:eastAsia="IRNazanin"/>
          <w:color w:val="111111"/>
          <w:sz w:val="28"/>
          <w:sz w:val="28"/>
          <w:szCs w:val="28"/>
          <w:rtl w:val="true"/>
          <w:lang w:bidi="fa-IR"/>
        </w:rPr>
        <w:t xml:space="preserve">موجه لجميع الحكام مسلمين وغير مسلمين إلى يوم القيامة؛ لأن المورد لا يخصص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يعبرون في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العبرة بعموم اللفظ لا بخصوص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هناك فرق بين حقوق المواطن بصورة خاصة في بلد معين تحت إمرة سلطان وبين حقوق الإنسان بصورة عامة، لأننا لو أردنا استنباط حقوق الإنسان من عهد الامام عليه السلام لمالك الأشتر قد نلاقي صعوبة، أما لو اعتبرنا أن هذا الخطاب وإن كان موجهاً له بوصفه حاکماً، نعتبره موجهاً له بوصفه إنساناً يعيش وسط باقي الناس فله حقوق وعليه واجبات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لو أردنا أن نجري قول الإمام عليه السلام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تكونن عليهم سبعاً ضارياً </w:t>
      </w:r>
      <w:bookmarkStart w:id="20" w:name="pg8187_113056"/>
    </w:p>
    <w:p>
      <w:pPr>
        <w:pStyle w:val="BookText"/>
        <w:rPr/>
      </w:pPr>
      <w:bookmarkEnd w:id="20"/>
      <w:r>
        <w:rPr>
          <w:rFonts w:ascii="IRNazanin" w:hAnsi="IRNazanin" w:eastAsia="IRNazanin"/>
          <w:color w:val="111111"/>
          <w:sz w:val="28"/>
          <w:sz w:val="28"/>
          <w:szCs w:val="28"/>
          <w:rtl w:val="true"/>
          <w:lang w:bidi="fa-IR"/>
        </w:rPr>
        <w:t>تغتنم أكلهم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فرد في المجتمع، ألا يمكن ذلك؟ أم هل هو خطاب فقط موجه للحاکم أمام رعيته؟ ألا يمكن أن يكون للأخ مع أخوته، للأب مع أولاده للفرد مع جيرانه، للموظف مع الباقين، وغيرهم</w:t>
      </w:r>
      <w:r>
        <w:rPr>
          <w:rFonts w:eastAsia="IRNazanin" w:cs="IRNazanin"/>
          <w:color w:val="111111"/>
          <w:sz w:val="28"/>
          <w:szCs w:val="28"/>
          <w:rtl w:val="true"/>
          <w:lang w:bidi="fa-IR"/>
        </w:rPr>
        <w:t>.</w:t>
      </w:r>
    </w:p>
    <w:p>
      <w:pPr>
        <w:pStyle w:val="Heading2"/>
        <w:numPr>
          <w:ilvl w:val="1"/>
          <w:numId w:val="1"/>
        </w:numPr>
        <w:rPr/>
      </w:pPr>
      <w:bookmarkStart w:id="21" w:name="__RefHeading___Toc8830370_1051229030"/>
      <w:bookmarkStart w:id="22" w:name="_Toc6"/>
      <w:bookmarkEnd w:id="21"/>
      <w:r>
        <w:rPr>
          <w:rtl w:val="true"/>
        </w:rPr>
        <w:t>سبب اختيار الموضوع</w:t>
      </w:r>
      <w:r>
        <w:rPr>
          <w:rtl w:val="true"/>
        </w:rPr>
        <w:t>:</w:t>
      </w:r>
      <w:bookmarkEnd w:id="22"/>
    </w:p>
    <w:p>
      <w:pPr>
        <w:pStyle w:val="BookText"/>
        <w:rPr/>
      </w:pPr>
      <w:r>
        <w:rPr>
          <w:rFonts w:ascii="Amiri" w:hAnsi="Amiri" w:eastAsia="Amiri" w:cs="Amiri"/>
          <w:color w:val="111111"/>
          <w:sz w:val="28"/>
          <w:sz w:val="28"/>
          <w:szCs w:val="28"/>
          <w:rtl w:val="true"/>
          <w:lang w:bidi="ar-SA"/>
        </w:rPr>
        <w:t>السبب لبيان ما جاء في هذا العهد من حقوق الإنسان، التي طالما ينادي بها العالم بأعلى صوته من دون جدوى، ولعدم وجود الاهتمام الكافي من قبل الحكام والزعامات لهذا العهد والابتعاد عنه واقعياً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830372_1051229030"/>
      <w:bookmarkStart w:id="24" w:name="_Toc7"/>
      <w:bookmarkEnd w:id="23"/>
      <w:r>
        <w:rPr>
          <w:rtl w:val="true"/>
        </w:rPr>
        <w:t>أهمية البحث</w:t>
      </w:r>
      <w:r>
        <w:rPr>
          <w:rtl w:val="true"/>
        </w:rPr>
        <w:t>:</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أهمية هذا البحث في كونه مرتبط بمعاناة وهموم وحقوق أكرم المخلوقات التي </w:t>
      </w:r>
      <w:bookmarkStart w:id="25" w:name="pg8187_113057"/>
    </w:p>
    <w:p>
      <w:pPr>
        <w:pStyle w:val="BookText"/>
        <w:rPr/>
      </w:pPr>
      <w:bookmarkEnd w:id="25"/>
      <w:r>
        <w:rPr>
          <w:rFonts w:ascii="Amiri" w:hAnsi="Amiri" w:eastAsia="Amiri" w:cs="Amiri"/>
          <w:color w:val="111111"/>
          <w:sz w:val="28"/>
          <w:sz w:val="28"/>
          <w:szCs w:val="28"/>
          <w:rtl w:val="true"/>
          <w:lang w:bidi="ar-SA"/>
        </w:rPr>
        <w:t xml:space="preserve">أبدعها الله تعالى،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وكذلك لارتباطه بدستور وضعه أشرف ما خلق الله بعد نبيه، نفس رسول الله ووصيه وربيبه وحامل لوائه، ألا وهو سيد البلغاء والمتكلمين أمير المؤمنين ويعسوب الدين، ذاك علي بن أبي طالب عليه السلام</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8830374_1051229030"/>
      <w:bookmarkStart w:id="27" w:name="_Toc8"/>
      <w:bookmarkEnd w:id="26"/>
      <w:r>
        <w:rPr>
          <w:rtl w:val="true"/>
        </w:rPr>
        <w:t>فكرة البحث</w:t>
      </w:r>
      <w:r>
        <w:rPr>
          <w:rtl w:val="true"/>
        </w:rPr>
        <w:t>:</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تسليط الضوء على أهم الإشارات الموجودة في هذا العهد المبارك لحقوق الإنسان وعرضها عرضاً جديداً يتوافق ومتطلبات الثقافة المعاصرة، </w:t>
      </w:r>
      <w:bookmarkStart w:id="28" w:name="pg8187_113058"/>
    </w:p>
    <w:p>
      <w:pPr>
        <w:pStyle w:val="BookText"/>
        <w:rPr/>
      </w:pPr>
      <w:bookmarkEnd w:id="28"/>
      <w:r>
        <w:rPr>
          <w:rFonts w:ascii="Amiri" w:hAnsi="Amiri" w:eastAsia="Amiri" w:cs="Amiri"/>
          <w:color w:val="111111"/>
          <w:sz w:val="28"/>
          <w:sz w:val="28"/>
          <w:szCs w:val="28"/>
          <w:rtl w:val="true"/>
          <w:lang w:bidi="ar-SA"/>
        </w:rPr>
        <w:t>من خلال التحليل والشرح لتلك الكلمات المباركة، وربطها بالآيات القرآنية المتضمنة ذلك، ومدى علاقتها بمواقف أمير المؤمنين عليه السلام مع باقي الناس، ومدى علاقتها بالواقع المعاش</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830376_1051229030"/>
      <w:bookmarkStart w:id="30" w:name="_Toc9"/>
      <w:bookmarkEnd w:id="29"/>
      <w:r>
        <w:rPr>
          <w:rtl w:val="true"/>
        </w:rPr>
        <w:t>منهجية البحث</w:t>
      </w:r>
      <w:r>
        <w:rPr>
          <w:rtl w:val="true"/>
        </w:rPr>
        <w:t>:</w:t>
      </w:r>
      <w:bookmarkEnd w:id="30"/>
    </w:p>
    <w:p>
      <w:pPr>
        <w:pStyle w:val="BookText"/>
        <w:rPr/>
      </w:pPr>
      <w:r>
        <w:rPr>
          <w:rFonts w:ascii="Amiri" w:hAnsi="Amiri" w:eastAsia="Amiri" w:cs="Amiri"/>
          <w:color w:val="111111"/>
          <w:sz w:val="28"/>
          <w:sz w:val="28"/>
          <w:szCs w:val="28"/>
          <w:rtl w:val="true"/>
          <w:lang w:bidi="ar-SA"/>
        </w:rPr>
        <w:t>منهجية البحث تحددت بمنهجين التاريخي والتحليلي، تاريخي كون هذا العهد يشكل حقبة من التاريخ السردي، وتحليلي حيث سيتم الوقوف على كل مفردة يتناولها الباحث بالتحليل الدقيق الذي من شأنه بيان الجوانب المشرقة لهذا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الاستفادة من المنهج المقارن عند الحاجة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الأساسي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حقوق </w:t>
      </w:r>
    </w:p>
    <w:p>
      <w:pPr>
        <w:pStyle w:val="BookText"/>
        <w:rPr/>
      </w:pPr>
      <w:r>
        <w:rPr>
          <w:rFonts w:ascii="Amiri" w:hAnsi="Amiri" w:eastAsia="Amiri" w:cs="Amiri"/>
          <w:color w:val="111111"/>
          <w:sz w:val="28"/>
          <w:sz w:val="28"/>
          <w:szCs w:val="28"/>
          <w:rtl w:val="true"/>
          <w:lang w:bidi="ar-SA"/>
        </w:rPr>
        <w:t>الإنسان التي ينادي بها العالم اليوم قد لامست الحقوق التي لهج بها أمير المؤمنين عليه السلام و تجسدت اليوم مثلا تبلورت في سلوك علي عليه السلام؟ الأسئلة الفرعية للبحث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بالإمكان تطبيق حقوق الإنسان کما أرادها علي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قاربت تلك الحقوق ما جاء من حقوق في القرآن الكريم والديانات السماوية؟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يُعد هذا العهد خاصاً بمالك الأشتر، أو خاصاً وموجهاً لشريحة الحكام ورؤساء الدول فقط، أم أنه خطاب لجميع الناس؟ فرضية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تنطلق فرضية البحث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 ظلت شعارات معلقة</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يافطة المثالية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تتجسد ولم يترجمها واقعياً غير عليٍ عليه السلام، فهو المرتكز الأساس لحل مشكلة حقوق الإنسان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هيكلية البحث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قائمة على تقسيمه الى مطالب عدة بعد المقدمة والتمهيد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التي نتجول فيها الآن، هي مرآة البحث العاكسة لمحتواه، فسيرى من خلالها القارئ مضامين البحث، والأسباب والأهداف ومشكلة البحث وفرضية المعالجة، وخطة تفصيلية والدراسات السابقة، والسؤال الأساسي للبحث وكذلك الأسئلة الفرعية، التي من شأنها تثير حفيظة أفكار الباحث والقارئ في الحين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 بعض المصادر الأساسية التي استعملها</w:t>
      </w:r>
    </w:p>
    <w:p>
      <w:pPr>
        <w:pStyle w:val="BookText"/>
        <w:rPr/>
      </w:pPr>
      <w:r>
        <w:rPr>
          <w:rFonts w:ascii="IRNazanin" w:hAnsi="IRNazanin" w:eastAsia="IRNazanin"/>
          <w:color w:val="111111"/>
          <w:sz w:val="28"/>
          <w:sz w:val="28"/>
          <w:szCs w:val="28"/>
          <w:rtl w:val="true"/>
          <w:lang w:bidi="fa-IR"/>
        </w:rPr>
        <w:t>الباحث لبيان قوة البحث ورصانته ومدی سعة اطلاع الباحث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ويحتوي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بالكلمات المفتاحية الرئيسة لعنوان البحث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Keywords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وبيانها لغة واصطلاحاً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موجزة عن أمير المؤمنين عليه السلام وتعاطيه في مجال حقوق الإنسان؛ لأنه لدى الإمام وقفات ومناسبات أخرى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جداً عن حياة مالك الأشتر، نظرة تاريخية مختصرة عن حياة مالك الأشتر وعهده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مضامين العهد، وسبب اختيار </w:t>
      </w:r>
    </w:p>
    <w:p>
      <w:pPr>
        <w:pStyle w:val="BookText"/>
        <w:rPr/>
      </w:pPr>
      <w:r>
        <w:rPr>
          <w:rFonts w:ascii="Amiri" w:hAnsi="Amiri" w:eastAsia="Amiri" w:cs="Amiri"/>
          <w:color w:val="111111"/>
          <w:sz w:val="28"/>
          <w:sz w:val="28"/>
          <w:szCs w:val="28"/>
          <w:rtl w:val="true"/>
          <w:lang w:bidi="ar-SA"/>
        </w:rPr>
        <w:t>مالك لولاية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البحث ويتضمن مطالب 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التعايش السلمي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العقيدة وحرية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الشخصية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حرية التعبير، وتضمن 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العدل والمساواة، والمطلب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كيا العادة هناك خاتمة فيها زبدة المقال، وهناك قائمة المصادر والمراجع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ولكن ليطمئن قلبي، لأن هفوات قلمي وأخطائه، ستمر عبر نخبة من الكفاءات العالية المختصة، ومهمتهم المقدسة بتصحيح هذا </w:t>
      </w:r>
    </w:p>
    <w:p>
      <w:pPr>
        <w:pStyle w:val="BookText"/>
        <w:rPr/>
      </w:pPr>
      <w:r>
        <w:rPr>
          <w:rFonts w:ascii="IRNazanin" w:hAnsi="IRNazanin" w:eastAsia="IRNazanin"/>
          <w:color w:val="111111"/>
          <w:sz w:val="28"/>
          <w:sz w:val="28"/>
          <w:szCs w:val="28"/>
          <w:rtl w:val="true"/>
          <w:lang w:bidi="fa-IR"/>
        </w:rPr>
        <w:t>البحث ليخرجَ بحُلّةٍ علميةٍ صحيحةٍ، وأتمنی أن ينظروا في تصحيحه وتنقيحه بعين العناية والرضا؛ لأنّ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الرِّضا عن كلَّ عيبٍ كليلةٌ ولَکِنَّ عَينَ السُّخْطِ تُبْدي المَسَاوِیَا الباحث </w:t>
      </w:r>
      <w:bookmarkStart w:id="31" w:name="pg8187_113064"/>
    </w:p>
    <w:p>
      <w:pPr>
        <w:pStyle w:val="Heading2"/>
        <w:numPr>
          <w:ilvl w:val="1"/>
          <w:numId w:val="1"/>
        </w:numPr>
        <w:rPr/>
      </w:pPr>
      <w:bookmarkStart w:id="32" w:name="__RefHeading___Toc8830378_1051229030"/>
      <w:bookmarkStart w:id="33" w:name="_Toc10"/>
      <w:bookmarkEnd w:id="31"/>
      <w:bookmarkEnd w:id="32"/>
      <w:r>
        <w:rPr>
          <w:rtl w:val="true"/>
        </w:rPr>
        <w:t>التمهيد</w:t>
      </w:r>
      <w:bookmarkEnd w:id="33"/>
    </w:p>
    <w:p>
      <w:pPr>
        <w:pStyle w:val="Heading3"/>
        <w:numPr>
          <w:ilvl w:val="2"/>
          <w:numId w:val="1"/>
        </w:numPr>
        <w:rPr/>
      </w:pPr>
      <w:bookmarkStart w:id="34" w:name="__RefHeading___Toc8830380_1051229030"/>
      <w:bookmarkStart w:id="35" w:name="_Toc11"/>
      <w:bookmarkEnd w:id="34"/>
      <w:r>
        <w:rPr>
          <w:rtl w:val="true"/>
        </w:rPr>
        <w:t>أولاً</w:t>
      </w:r>
      <w:r>
        <w:rPr>
          <w:rtl w:val="true"/>
        </w:rPr>
        <w:t xml:space="preserve">: </w:t>
      </w:r>
      <w:r>
        <w:rPr>
          <w:rtl w:val="true"/>
        </w:rPr>
        <w:t xml:space="preserve">ما يعرف بالكلمات المفتاحية الرئيسة لعنوان البحث </w:t>
      </w:r>
      <w:r>
        <w:rPr>
          <w:rtl w:val="true"/>
        </w:rPr>
        <w:t>(</w:t>
      </w:r>
      <w:r>
        <w:rPr/>
        <w:t>Keywords</w:t>
      </w:r>
      <w:r>
        <w:rPr>
          <w:rtl w:val="true"/>
        </w:rPr>
        <w:t xml:space="preserve">) </w:t>
      </w:r>
      <w:r>
        <w:rPr>
          <w:rtl w:val="true"/>
        </w:rPr>
        <w:t>وبيانها لغةً واصطلاحاً</w:t>
      </w:r>
      <w:r>
        <w:rPr>
          <w:rtl w:val="true"/>
        </w:rPr>
        <w:t>.</w:t>
      </w:r>
      <w:bookmarkEnd w:id="35"/>
    </w:p>
    <w:p>
      <w:pPr>
        <w:pStyle w:val="BookText"/>
        <w:rPr/>
      </w:pPr>
      <w:r>
        <w:rPr>
          <w:rFonts w:ascii="Amiri" w:hAnsi="Amiri" w:eastAsia="Amiri" w:cs="Amiri"/>
          <w:color w:val="111111"/>
          <w:sz w:val="28"/>
          <w:sz w:val="28"/>
          <w:szCs w:val="28"/>
          <w:rtl w:val="true"/>
          <w:lang w:bidi="ar-SA"/>
        </w:rPr>
        <w:t>تعريف الحقوق لغةً،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الباطل وجمعه حُقوقٌ وحِقاقٌ، وليس له بِناء أدني عدَد وفي حديث التلبية لبَّيك حَقّاً حقّاً، أي غير باطل، وهو مصدر مؤكد لغيره، أي أنه أكَّد به معنی ألزَم طاعتَك الذي دلّ عليه لبيك،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حقّاً، فتؤَكِّد به وتُكرِّرُه لزيادة التأْكيد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وجاءت تعريفات لعلماء المسلمين تتضمن الصبغة الشرعية والفقهية والأخلاقية، منه تعريف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اللغة هو الثابت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يسوغ إنكاره، وفي اصطلاح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الأقوال والعقائد والأديان والمذاهب باعتبار اشتمالها على ذلك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تعريف العيسوي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ثابتة للشخص على سبيل الاختصاص والاستئثار يقررها الشارع الحكيم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أَصله إِنْسِیانٌ لأَن العرب قاطبة قالوا في 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أُنَيْسِيانٌ، فدلت الياء الأَخيرة على الياء في تكبيره، إِلا أَنهم حذفوها لما كثر الناسُ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وإِنْسانٌ في الأَصل إِنْسِيانٌ، وهو فِعْليانٌ من الإِنس والأَلف فيه </w:t>
      </w:r>
    </w:p>
    <w:p>
      <w:pPr>
        <w:pStyle w:val="BookText"/>
        <w:rPr/>
      </w:pPr>
      <w:r>
        <w:rPr>
          <w:rFonts w:ascii="Amiri" w:hAnsi="Amiri" w:eastAsia="Amiri" w:cs="Amiri"/>
          <w:color w:val="111111"/>
          <w:sz w:val="28"/>
          <w:sz w:val="28"/>
          <w:szCs w:val="28"/>
          <w:rtl w:val="true"/>
          <w:lang w:bidi="ar-SA"/>
        </w:rPr>
        <w:t>فاء الفعل،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الواحد إِنْسِيٌّ وأَنَسيٌّ أَيضاً،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وآناسٌ كثير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تعریف مفهوم مجموع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تعريفاً محدداً بل هناك العديد من التعاريف التي قد يختلف مفهومها من مجتمع إلى آخر أو من ثقافة إلى أخرى، لأن مفهوم حقوق الإنسان أو نوع هذه الحقوق يرتبطان بالأساس بالتصور الذي نتصور به الإنسان، لذلك سوف يعرض الباحث مجموعة من التعاريف لتحديد هذا المصطلح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رينية كاسان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واضعي الإعلان العالمي لحقوق الإنسان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خاص من الفروع الاجتماعية يختص بدراسة العلاقات بين الناس استناداً إلى كرامة الإنسان </w:t>
      </w:r>
    </w:p>
    <w:p>
      <w:pPr>
        <w:pStyle w:val="BookText"/>
        <w:rPr/>
      </w:pPr>
      <w:r>
        <w:rPr>
          <w:rFonts w:ascii="Amiri" w:hAnsi="Amiri" w:eastAsia="Amiri" w:cs="Amiri"/>
          <w:color w:val="111111"/>
          <w:sz w:val="28"/>
          <w:sz w:val="28"/>
          <w:szCs w:val="28"/>
          <w:rtl w:val="true"/>
          <w:lang w:bidi="ar-SA"/>
        </w:rPr>
        <w:t>وتحديد الحقوق والرخص الضرورية لازدهار شخصية كل كائن إنساني، ويرى البعض أن حقوق الإنسان تمثل رزمة منطقية متضاربة من الحقوق والحقوق المدعاة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فاساك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فيعرفها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یهم كل شخص ولا سيما الإنسان العامل الذي يعيش في إطار دولة معينة، والذي إذا ما كان متهماً بخرق القانون أو ضحية حالة حرب، يجب أن يستفيد من حماية القانون الوطني والدولي، وأن تكون حقوقه وخاصة الحق في المساواة مطابقة لضرورات المحافظة على النظام العام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يراها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مادیو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دراسة الحقوق الشخصية المعرف بها وطنياً ودولياً في ظل حضارة معينة تضمن الجمع بين تأكيد الكرامة الإنسانية وحمايتها من جهة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والمحافظة على النظام العام من جهة أخرى</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تعريف مصطفى الزرقا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القواعد والنصوص التشريعية التي تنظم على سبيل الإلزام علائق الناس من حيث الأشخاص والأموال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فبناء على ذلك، يمكن القول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الحقوق الطبيعية التي يمتلكها الإنسان واللصيقة بطبيعته والتي تظل موجودة، وان لم يتم الاعتراف بها، بل أكثر من ذلك حتى ان انتهكت من سلطة 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6" w:name="pg8187_113069"/>
    </w:p>
    <w:p>
      <w:pPr>
        <w:pStyle w:val="Heading3"/>
        <w:numPr>
          <w:ilvl w:val="2"/>
          <w:numId w:val="1"/>
        </w:numPr>
        <w:rPr/>
      </w:pPr>
      <w:bookmarkStart w:id="37" w:name="__RefHeading___Toc8830382_1051229030"/>
      <w:bookmarkStart w:id="38" w:name="_Toc12"/>
      <w:bookmarkEnd w:id="36"/>
      <w:bookmarkEnd w:id="37"/>
      <w:r>
        <w:rPr>
          <w:rtl w:val="true"/>
        </w:rPr>
        <w:t>ثانياً</w:t>
      </w:r>
      <w:r>
        <w:rPr>
          <w:rtl w:val="true"/>
        </w:rPr>
        <w:t xml:space="preserve">: </w:t>
      </w:r>
      <w:r>
        <w:rPr>
          <w:rtl w:val="true"/>
        </w:rPr>
        <w:t xml:space="preserve">لمحة عن الامام </w:t>
      </w:r>
      <w:r>
        <w:rPr>
          <w:rtl w:val="true"/>
        </w:rPr>
        <w:t>(</w:t>
      </w:r>
      <w:r>
        <w:rPr>
          <w:rtl w:val="true"/>
        </w:rPr>
        <w:t>علیه السلام</w:t>
      </w:r>
      <w:r>
        <w:rPr>
          <w:rtl w:val="true"/>
        </w:rPr>
        <w:t xml:space="preserve">) </w:t>
      </w:r>
      <w:r>
        <w:rPr>
          <w:rtl w:val="true"/>
        </w:rPr>
        <w:t>وتعاطيه مع حقوق الإنسان خارج هذا العهد</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مقابل الكون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يترك شيء في هذا الكون لم يعطه حقه، بدليل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يُروي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سبعة 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 بأن الدنيا سبعة أقاليم،</w:t>
      </w:r>
      <w:r>
        <w:rPr>
          <w:rStyle w:val="FootnoteAnchor"/>
          <w:rtl w:val="true"/>
        </w:rPr>
        <w:footnoteReference w:id="12"/>
      </w:r>
      <w:r>
        <w:rPr>
          <w:rFonts w:ascii="Amiri" w:hAnsi="Amiri" w:eastAsia="Amiri" w:cs="Amiri"/>
          <w:color w:val="111111"/>
          <w:sz w:val="28"/>
          <w:sz w:val="28"/>
          <w:szCs w:val="28"/>
          <w:rtl w:val="true"/>
          <w:lang w:bidi="ar-SA"/>
        </w:rPr>
        <w:t xml:space="preserve">لقد أقسم عليه السلام هذا القسم الشرعي، لو أُعطي تلك الأقاليم بما تضم من خيرات أقسم من أجل أضعف </w:t>
      </w:r>
    </w:p>
    <w:p>
      <w:pPr>
        <w:pStyle w:val="BookText"/>
        <w:rPr/>
      </w:pPr>
      <w:r>
        <w:rPr>
          <w:rFonts w:ascii="Amiri" w:hAnsi="Amiri" w:eastAsia="Amiri" w:cs="Amiri"/>
          <w:color w:val="111111"/>
          <w:sz w:val="28"/>
          <w:sz w:val="28"/>
          <w:szCs w:val="28"/>
          <w:rtl w:val="true"/>
          <w:lang w:bidi="ar-SA"/>
        </w:rPr>
        <w:t xml:space="preserve">المخلوقات في الكون، أقسم ألاّ يعصي الله تعالى بماذا؟ بقشرة شعير، وليس شعيرة كاملة، بأن يسلبها من النملة، لم يفعل، هذا عليٌ مع النملة، فكيف لو كان حق إنسان لدي علي عليه السلام، تُرى ماذا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علي مع جوع الإنسان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عليه السلام وحق الحياة للإنسان، فمن حقوق الإنسان أن يحيا حياة كريمة، لا أن يموت من شدة الجوع أو العطش فهذا يُعدّ ظلماً، من قبل الذين شبعوا ولم يعطوه، ومن الذين ارتووا ولم يروه، هكذا كان حق الحياة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هَيْهَاتَ أَنْ يَغْلِبَنِي هَوَايَ وَ يَقُودَنِي جَشَعِي إِلَى تَخَيُّرِ اَلْأَطْعِمَةِ وَلَعَلَّ بِالْحِجَازِ أَوْ اَلْيَمامَةِ مَنْ لاَ طَمَعَ لَهُ فِي اَلقُرْصِ وَلاَ عَهْدَ لَهُ بِالشِّبَعِ أَوْ أَبِيتَ مِبْطَاناً وَحَوْلِي بُطُونٌ غَرْثَی </w:t>
      </w:r>
    </w:p>
    <w:p>
      <w:pPr>
        <w:pStyle w:val="BookText"/>
        <w:rPr/>
      </w:pPr>
      <w:r>
        <w:rPr>
          <w:rFonts w:ascii="Amiri" w:hAnsi="Amiri" w:eastAsia="Amiri" w:cs="Amiri"/>
          <w:color w:val="111111"/>
          <w:sz w:val="28"/>
          <w:sz w:val="28"/>
          <w:szCs w:val="28"/>
          <w:rtl w:val="true"/>
          <w:lang w:bidi="ar-SA"/>
        </w:rPr>
        <w:t>وَأَکْبَادٌ حَرَّى 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فهناك فرق بين حق الانسان وحق المواطن، والإمام عليه السلام هنا قوله، لعل هناك انسان موجود في أقصى الأرض، سواء أكان مواطناً ينتمي لبلده وتحت سلطانه أم لم یکن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مع أخيه عقيل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لم يرضَ أن يعطي لأخيه عقيل فوق حصته ومقدار عطائه؛ لأنه سوف ينقص من حقوق الناس، فما أحوجنا اليوم لعدل علي صلوات الله عليه، مع إن أخاه عقیل محتاج </w:t>
      </w:r>
    </w:p>
    <w:p>
      <w:pPr>
        <w:pStyle w:val="BookText"/>
        <w:rPr/>
      </w:pPr>
      <w:r>
        <w:rPr>
          <w:rFonts w:ascii="Amiri" w:hAnsi="Amiri" w:eastAsia="Amiri" w:cs="Amiri"/>
          <w:color w:val="111111"/>
          <w:sz w:val="28"/>
          <w:sz w:val="28"/>
          <w:szCs w:val="28"/>
          <w:rtl w:val="true"/>
          <w:lang w:bidi="ar-SA"/>
        </w:rPr>
        <w:t xml:space="preserve">وأولاده جياع،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أَبِيتَ عَلَى حَسَكِ السَّعْدَانِ مُسَهَّداً، أَوْ أُجَرَّ فِي الاَغْلاَلِ مُصَفَّداً، أَحَبُّ إِلَيَّ مِنْ أَنْ أَلقَى اللهَ وَرَسُولَهُ يَوْمَ الْقِيَامَةِ ظَالِماً لِبَعْضِ الْعِبَادِ، وَغَاصِباً لِشَيْء مِنَ الْحُطَامِ، وَكَيْفَ أَظْلِمُ أَحَداً لِنَفْس يُسْرِعُ إِلَى الْبِلَى قُفُولُها وَيَطُولُ فِي الثَّرَي حُلُولُها؟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رَأَيْتُ عَقِيلاً وَقَدْ أمْلَقَ حَتَّى اسْتماحَنِي مِنْ بُرِّکُمْ صَاعاً، وَرَأَيتُ صِبْيَانَهُ 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الاَلْوَانِ، مِنْ فَقْرِهِمْ، كَأَنَّمَا سُوِّدَتْ وُجُوهُهُمْ بِالْعِظْلِمِ، وَعَاوَدَنِي مُؤَکِّداً، وَکَرَّرَ عَلَيَّ الْقَوْلَ مُرَدِّداً، فَأَصْغَيْتُ إِلَيْهِ سَمَعِي، فَظَنَّ أَنِّي أَبِيعُهُ دِينِي، وَأَتَّبِعُ قِيَادَهُ، مُفَارِقاً طَرِيقِي، فَأَحْمَيْتُ لَهُ حَدِيدَةً، ثُمَّ أَدْنَیْتُهَا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الثَّوَاکِلُ، </w:t>
      </w:r>
    </w:p>
    <w:p>
      <w:pPr>
        <w:pStyle w:val="BookText"/>
        <w:rPr/>
      </w:pPr>
      <w:r>
        <w:rPr>
          <w:rFonts w:ascii="Amiri" w:hAnsi="Amiri" w:eastAsia="Amiri" w:cs="Amiri"/>
          <w:color w:val="111111"/>
          <w:sz w:val="28"/>
          <w:sz w:val="28"/>
          <w:szCs w:val="28"/>
          <w:rtl w:val="true"/>
          <w:lang w:bidi="ar-SA"/>
        </w:rPr>
        <w:t>یَا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الاَذَى وَلاَ أَئِنُّ مِنْ لَظىً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عند علي بن أبي طالب ليس أسطورة تُحكي ولا نظرية تُدرس ثم تطبق، ولا حلمٌ افلاطوني لم يدخل حيز التنفيذ، بل هو سلوك جرى به القلم، لذا لم يحتج الى لحظة تفكير کي يقرر بها مع من الحق، مع عقيل الذي طلب صاعاً، أم مع حق الناس المؤتمن عنده</w:t>
      </w:r>
      <w:r>
        <w:rPr>
          <w:rFonts w:eastAsia="IRNazanin" w:cs="IRNazanin"/>
          <w:color w:val="111111"/>
          <w:sz w:val="28"/>
          <w:szCs w:val="28"/>
          <w:rtl w:val="true"/>
          <w:lang w:bidi="fa-IR"/>
        </w:rPr>
        <w:t xml:space="preserve">. </w:t>
      </w:r>
      <w:bookmarkStart w:id="39" w:name="pg8187_113074"/>
    </w:p>
    <w:p>
      <w:pPr>
        <w:pStyle w:val="Heading3"/>
        <w:numPr>
          <w:ilvl w:val="2"/>
          <w:numId w:val="1"/>
        </w:numPr>
        <w:rPr/>
      </w:pPr>
      <w:bookmarkStart w:id="40" w:name="__RefHeading___Toc8830384_1051229030"/>
      <w:bookmarkStart w:id="41" w:name="_Toc13"/>
      <w:bookmarkEnd w:id="39"/>
      <w:bookmarkEnd w:id="40"/>
      <w:r>
        <w:rPr>
          <w:rtl w:val="true"/>
        </w:rPr>
        <w:t>ثالثا</w:t>
      </w:r>
      <w:r>
        <w:rPr>
          <w:rtl w:val="true"/>
        </w:rPr>
        <w:t xml:space="preserve">: </w:t>
      </w:r>
      <w:r>
        <w:rPr>
          <w:rtl w:val="true"/>
        </w:rPr>
        <w:t>نظرة تأريخية مختصرة عن حياة مالك الأشتر وعهده</w:t>
      </w:r>
      <w:r>
        <w:rPr>
          <w:rtl w:val="true"/>
        </w:rPr>
        <w:t>:</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مالك بن الحارث بن عبد يغوث بن مسلمة إلى جده النخع، ولقد اشتهر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یکاد يطغى على إسمه الحقيقي ولا يعرف إلا به، وكنيته ابو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لُقب بالأشتر وكبش العراق، وهناك روايتان في كيفية شُتر عينه،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عينه شُترت في حروب الردة في جهاده عن الاسلام عندما ضربه أبو مسیكمه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الثانية ان عينه شُترت في وقعة اليرموك، عند مبارزته لرجل مشرك من الروم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تكون عينه قد فقئت في حروب الردة ثم اُصيبت ثانية في معركة اليرموك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بكبش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أورده الرازي في مختار الصحاح </w:t>
      </w:r>
    </w:p>
    <w:p>
      <w:pPr>
        <w:pStyle w:val="BookText"/>
        <w:rPr/>
      </w:pPr>
      <w:r>
        <w:rPr>
          <w:rFonts w:ascii="Amiri" w:hAnsi="Amiri" w:eastAsia="Amiri" w:cs="Amiri"/>
          <w:color w:val="111111"/>
          <w:sz w:val="28"/>
          <w:sz w:val="28"/>
          <w:szCs w:val="28"/>
          <w:rtl w:val="true"/>
          <w:lang w:bidi="ar-SA"/>
        </w:rPr>
        <w:t>ونصر بن مزاحم في كتابه وقعة صفين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ولا يُعرف تاريخ مولد الأشتر بدقّة، لكن کتّاب السِّیَر اتفقوا على أنه رأى النور في عهد الجاهلية، وربما بين عامي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عهد الرسول و ثبت على إسلامه ووصل في إيمانه درجة شهد بها الرسول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كانت له صحبة ودور في عصر الرسول صلى الله عليه وآله؟ هناك رأي يعتقد أن مالك الأشتر عاصر النبي صلى الله عليه وآله وسلم، ولكنه لم يره ولم يسمع حديثه، وذُكر عند النبي صلى الله عليه </w:t>
      </w:r>
    </w:p>
    <w:p>
      <w:pPr>
        <w:pStyle w:val="BookText"/>
        <w:rPr/>
      </w:pPr>
      <w:r>
        <w:rPr>
          <w:rFonts w:ascii="Amiri" w:hAnsi="Amiri" w:eastAsia="Amiri" w:cs="Amiri"/>
          <w:color w:val="111111"/>
          <w:sz w:val="28"/>
          <w:sz w:val="28"/>
          <w:szCs w:val="28"/>
          <w:rtl w:val="true"/>
          <w:lang w:bidi="ar-SA"/>
        </w:rPr>
        <w:t>وآله فقال فيه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المؤمن حقاً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حجر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الأشتر سمع الرسول صلى الله عليه وآله وسلم وجعل له صحبة، وكان ممن شهد بايع تحت الشجرة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وكان شجاعاً معروفاً بشجاعته بين يدي سیده وشخصية مالك الأشتر شخصية الرجل الشجاع الذي يفرض نفسه في كل موقف، وهو الذي لم تُرد له راية أو ينكسر له جیش</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وقد قال فيه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لله أم قامت عن الأشتر لو أن إنساناً يقسم أن الله تعالى ما خلق في العرب ولا في العجم أشجع منه إلا أستاذه عليه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لما خشيت عليه الإثم ولله در القائل وقد سئل عن الأشتر ما أقول في رجل هزمت حياته أهل الشام وهزم موته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ما قال فيه أمير المؤمنين عليه السلام كان الأشترلي کا کنت لرسول الله صلى الله عليه وآله</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لذلك ذكره الإمام أكثر من مرة في أكثر من مناسبة كما في عهده إليه إلى أهل مصر، حين جعله والياً على هذا الإقليم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بَعَثْتُ إِلَيْكُمْ عَبْداً مِنْ عِبَادِاللهِ عَزَّوَجَلَّ، لاَيَنَامُ أَيَّامَ الخَوْفِ، وَلاَ يَنْکُلُ عَنِ الاَعْدَاءِ سَاعَاتِ الرَّوْعِ، أَشَدَّ عَلَى الْفُجَّارِ مِنْ حَرَيقِ النَّارِ، وَهُوَ مَالِكُ بْنُ الْحَارِثِ أَخُو مَذْحِج، فَاسْمَعُوا لَهُ أَطِيعُوا أَمْرَهُ فِيَما طَابَقَ الْحَقَّ، فَإِنَّهُ سَيْفٌ مِنْ سُیُوفِ اللهِ، لاَ كَلِيلُ الظُّبَةِ، وَلاَ نَابِي الضَّرِيبَةِ، فَإِنْ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أَمَرَکُمْ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وإن الإمام علي عليه السلام ذكره بقول يبين رأيه فيه، وهي شهادة على ما كان يتصف به من صفات حيث جاء في كتاب لأمير المؤمنين علي بن أبي طالب عليه السلام إلى أميرين من أُمراء 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عَلَيْکُمَا وَعَلى مَنْ فِي حَیِّزِکُمَا مَالِكَ بْنَ الْحَارثِ الأشْترِ، فَاسْمَعَا لَهُ وَأَطِيعاً، واجْعَلاَهُ دِرْعاً وَمِجَنّاً، فَإِنهُ مِمَّنْ لاَ يُخَافُ وَهْنُهُ، وَلاَ سَقْطَتُهُ، وَلاَ بُطْؤُهُ عَمَّا الإسراع إِلَيْهِ أَحْزَمُ، وَلاَ إِسْرَاعُهُ إِلَى مَا الْبُطءُ عَنْهُ أَمْثَلُ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ثناء أمير المؤمنين عليه السلام عليه فقد بلغ مع اختصاره ما لا يبلغ بالكلام الطويل، ولعمري لقد كان الأشتر أهلا لذلك، كان شديد البأس جواداً رئيساً حليماً فصيحاً شاعراً وكان يجمع بين اللين والعنف فيسطو في موضع السطوة ويرفق في موضع الرفق</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انتهت معركة صفين عاد الأشتر إلى الجزيرة، فلمّا اضطربت الأوضاع في مصر قرّر أمير المؤمنين عليه السلام عزل الأشتر عن ولاية نصيبين وتعيينه والياً على مصر لمعالجة الوضع المضطرب هناك</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جواسيس معاوية بذلك كتبوا إليه نبأ انتصاب مالك الأشتر والياً على مصر من قبل أمير المؤمنين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حينها شعر معاوية بصعوبة الموقف فيما إذا وصل الأشتر إلى مصر التي كان معاوية يروم السيطرة عليها في عهد واليها محمد بن أبي بكر، فبعث معاوية إلى رجل من أهل الخراج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الأشتر قد ولي مصر فان كفيتنيه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آخذ منك خراجاً ما بقيت، فاحتال في هلاکه ما 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فاحتال هذا القلزمي في أن تظاهر له بحبّ علي عليه السلام، وأتاه بطعام حتى إذا طعم سقاة شربة عسل قد جعل فيها سماً، فلمّا شربها مات</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الأشتر في سنة تسع وثلاثين متوجهاً إلى مصر والياً عليها لعلي عليه السلام قيل سقي سماً، وقيل إنّه لم يصح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وإنما مات حتف أنفه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وقال عليه السّلام وقد جاءہ نعي الأشتر وقد دخلوا جماعة على أمير المؤمنين حين بلغه موت الأشتر فوجدناه يتلهف ويتأسف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وما مالك لو كان من جبل لكان فندا ولو كان من حجر لکان صلدا أما والله ليهدّنّ موتك عالماً وليفرحن عالماً، على مثل مالك فلتبك البواكي وهل مرجو کمالك وهل موجود کمالك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قيس النخعي فما زال علي يتلهف ويتأسف حتى ظننا أنه المصاب به دوننا وعرف ذلك في وجهه أياما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2" w:name="pg8187_113082"/>
    </w:p>
    <w:p>
      <w:pPr>
        <w:pStyle w:val="Heading2"/>
        <w:numPr>
          <w:ilvl w:val="1"/>
          <w:numId w:val="1"/>
        </w:numPr>
        <w:rPr/>
      </w:pPr>
      <w:bookmarkStart w:id="43" w:name="__RefHeading___Toc8830386_1051229030"/>
      <w:bookmarkStart w:id="44" w:name="_Toc14"/>
      <w:bookmarkEnd w:id="42"/>
      <w:bookmarkEnd w:id="43"/>
      <w:r>
        <w:rPr>
          <w:rtl w:val="true"/>
        </w:rPr>
        <w:t>مضامين العهد</w:t>
      </w:r>
      <w:r>
        <w:rPr>
          <w:rtl w:val="true"/>
        </w:rPr>
        <w:t>:</w:t>
      </w:r>
      <w:bookmarkEnd w:id="44"/>
    </w:p>
    <w:p>
      <w:pPr>
        <w:pStyle w:val="BookText"/>
        <w:rPr/>
      </w:pPr>
      <w:r>
        <w:rPr>
          <w:rFonts w:ascii="Amiri" w:hAnsi="Amiri" w:eastAsia="Amiri" w:cs="Amiri"/>
          <w:color w:val="111111"/>
          <w:sz w:val="28"/>
          <w:sz w:val="28"/>
          <w:szCs w:val="28"/>
          <w:rtl w:val="true"/>
          <w:lang w:bidi="ar-SA"/>
        </w:rPr>
        <w:t>لقد تضمن العهد حوالي أربعين فقرة تناولت عدة عنوانات،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الحسنة، العلاقة مع الرعية، عدم التكبر، الانصاف، العدل، الوشاة، الاستشارة، دور الوزراء وصفاتهم، الاحسان، السنة، دور العلماء، العلاقة بين طبقات المجتمع، دور قادة الجيوش والعلاقة بهم، اختيار القضاة، الشبهات، اختيار العمال والولاة، خيانة العمال، الخراج ومالية الدولة، الكتاب وأصحاب الديوان، فنون الكتاب، التجار والاحتكار، الاهتمام بالفقراء، اصحاب الحاجات والمصالح، واجبات الحاكم، أداء الفرائض، عدم الاحتجاب عن الناس، دور الحاشية، الاستفادة من العلماء، العلاقة بالأعداء والعهود معهم، وصفات خاصة</w:t>
      </w:r>
      <w:r>
        <w:rPr>
          <w:rFonts w:eastAsia="Amiri" w:cs="Amiri" w:ascii="Amiri" w:hAnsi="Amiri"/>
          <w:color w:val="111111"/>
          <w:sz w:val="28"/>
          <w:szCs w:val="28"/>
          <w:rtl w:val="true"/>
          <w:lang w:bidi="ar-SA"/>
        </w:rPr>
        <w:t>.</w:t>
      </w:r>
      <w:r>
        <w:rPr>
          <w:rStyle w:val="FootnoteAnchor"/>
          <w:rtl w:val="true"/>
        </w:rPr>
        <w:footnoteReference w:id="26"/>
      </w:r>
      <w:bookmarkStart w:id="45" w:name="pg8187_113083"/>
    </w:p>
    <w:p>
      <w:pPr>
        <w:pStyle w:val="Heading2"/>
        <w:numPr>
          <w:ilvl w:val="1"/>
          <w:numId w:val="1"/>
        </w:numPr>
        <w:rPr/>
      </w:pPr>
      <w:bookmarkStart w:id="46" w:name="__RefHeading___Toc8830388_1051229030"/>
      <w:bookmarkStart w:id="47" w:name="_Toc15"/>
      <w:bookmarkEnd w:id="45"/>
      <w:bookmarkEnd w:id="46"/>
      <w:r>
        <w:rPr>
          <w:rtl w:val="true"/>
        </w:rPr>
        <w:t>تاريخ العهد وسبب اختيار مالك لولاية مصر</w:t>
      </w:r>
      <w:r>
        <w:rPr>
          <w:rtl w:val="true"/>
        </w:rPr>
        <w:t>:</w:t>
      </w:r>
      <w:bookmarkEnd w:id="47"/>
    </w:p>
    <w:p>
      <w:pPr>
        <w:pStyle w:val="BookText"/>
        <w:rPr/>
      </w:pPr>
      <w:r>
        <w:rPr>
          <w:rFonts w:ascii="Amiri" w:hAnsi="Amiri" w:eastAsia="Amiri" w:cs="Amiri"/>
          <w:color w:val="111111"/>
          <w:sz w:val="28"/>
          <w:sz w:val="28"/>
          <w:szCs w:val="28"/>
          <w:rtl w:val="true"/>
          <w:lang w:bidi="ar-SA"/>
        </w:rPr>
        <w:t>كان هذا العهد عندما ولّى أمير المؤمنين عليه السلام مالك الاشتر على مصر بعدما عزل محمد بن أبي بكر حين اضطرب، وهو أطول عهد وأجمع كتبه للمحاسن، فقال أمير المؤمنين علي عليه السلام لما بلغه توجده من عزله بالأشتر عن مصر ثم توفي الأشتر في توجهه إلى هناك قبل وصوله إليها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مَوْجِدَتُكَ مِنْ تَسْرِیحِ اَلْأَشْتَرِ إِلَى عَمَلِكَ وَ إِنِّي لَمْ أَفْعَلْ ذَلِكَ اِسْتِبْطَاءً لَكَ فِي اَلْجَهْدَ وَ لاَ اِزْدِیَاداً لَكَ فِي اَلْجِدِّ وَ لَوْ نَزَعْتُ مَا تَحْتَ يَدِكَ مِنْ سُلْطَانِكَ لَوَلَّيْتُكَ مَا هُوَ أَيْسَرُ عَلَيْكَ مَئُونَةً وَأَعْجَبُ إِلَيْكَ وِلاَيَةً إنَّ اَلرَّجُلَ اَلَّذِي كُنْتُ وَلَّيْتُهُ أَمْرَ مِصْرَ کَانَ رَجُلاً لَنَا نَاصِحاً وَعَلَى عَدُوِّنَا شَدِیداً نَاقِماً فَرَحِمَهُ اَللَّهُ فَلَقَدِ اِسْتَكْمَلَ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أَيَّامَهُ وَ لاَقَی حِمَامَهُ وَنَحْنُ عَنْهُ رَاضُونَ أَوْلاَهُ اَللَّهُ رِضْوَانَهُ وَضَاعَفَ اَلثَّوَابَ لَهُ</w:t>
      </w:r>
      <w:r>
        <w:rPr>
          <w:rFonts w:eastAsia="Amiri" w:cs="Amiri" w:ascii="Amiri" w:hAnsi="Amiri"/>
          <w:color w:val="111111"/>
          <w:sz w:val="28"/>
          <w:szCs w:val="28"/>
          <w:rtl w:val="true"/>
          <w:lang w:bidi="ar-SA"/>
        </w:rPr>
        <w:t>))</w:t>
      </w:r>
      <w:r>
        <w:rPr>
          <w:rStyle w:val="FootnoteAnchor"/>
          <w:rtl w:val="true"/>
        </w:rPr>
        <w:footnoteReference w:id="27"/>
      </w:r>
      <w:bookmarkStart w:id="48" w:name="pg8187_113085"/>
    </w:p>
    <w:p>
      <w:pPr>
        <w:pStyle w:val="Heading2"/>
        <w:numPr>
          <w:ilvl w:val="1"/>
          <w:numId w:val="1"/>
        </w:numPr>
        <w:rPr/>
      </w:pPr>
      <w:bookmarkStart w:id="49" w:name="__RefHeading___Toc8830390_1051229030"/>
      <w:bookmarkStart w:id="50" w:name="_Toc16"/>
      <w:bookmarkEnd w:id="48"/>
      <w:bookmarkEnd w:id="49"/>
      <w:r>
        <w:rPr>
          <w:rtl w:val="true"/>
        </w:rPr>
        <w:t>المطلب الأول</w:t>
      </w:r>
      <w:r>
        <w:rPr>
          <w:rtl w:val="true"/>
        </w:rPr>
        <w:t xml:space="preserve">: </w:t>
      </w:r>
      <w:r>
        <w:rPr>
          <w:rtl w:val="true"/>
        </w:rPr>
        <w:t>حق التعايش السلمي للإنسان</w:t>
      </w:r>
      <w:r>
        <w:rPr>
          <w:rtl w:val="true"/>
        </w:rPr>
        <w:t>:</w:t>
      </w:r>
      <w:bookmarkEnd w:id="50"/>
    </w:p>
    <w:p>
      <w:pPr>
        <w:pStyle w:val="BookText"/>
        <w:rPr/>
      </w:pPr>
      <w:r>
        <w:rPr>
          <w:rFonts w:ascii="Amiri" w:hAnsi="Amiri" w:eastAsia="Amiri" w:cs="Amiri"/>
          <w:color w:val="111111"/>
          <w:sz w:val="28"/>
          <w:sz w:val="28"/>
          <w:szCs w:val="28"/>
          <w:rtl w:val="true"/>
          <w:lang w:bidi="ar-SA"/>
        </w:rPr>
        <w:t>قال عليه السلام في عهده یرشده على معاملة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واللجنة القانونية في الأمم المتحدة، بعد مدارسات طويلة، طرحت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يرشح للتصويت؟ وقد مرّت عليه مراحل ثم رُشِّح للتصويت، وصوتت عليه الدول بأنه أحد مصادر التشريع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باللغة الانجليزية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Kofi Annan, the UN secretary states The words of Ali ibn Abi Talib, “O Malik! The” people are either brothers in religion or your equal in creation must be adhered to by all organisations and “it is a statement that all humanity must embrace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التعايش السلمي الذي دعا إليه القرآن، هو ذاته الذي أقرّه الإمام علي عليه السلام؛ لأن القرآن وعلياً، وجهان لنورٍ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سوى أن القرآن كتاب الله الصامت وعليٌ عليه السلام قرآن الله الناطق المتجسد عملياً على الأرض، تأويل ينطق لنا بما لا قدرة لنا على فهمه ودرکه من کلمات بحروف تلملمت فصارت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والمعني بحسب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أب وأم تشتركون جميعاً فيهما، من رجل وامرأة فكل واحد منكم إنسان مولود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إنسانين لا تفترقون من هذه الجهة، من غير فرق بين الأبيض والأسود والعربي و العجمي وجعلناكم شعوبا وقبائل مختلفة لا لكرامة لبعضكم على بعض، بل لأن تتعارفوا فيعرف بعضكم بعضا ويتم بذلك أمر اجتماعكم؛ فيستقیم مواصلاتكم ومعاملاتكم، فلو فرض ارتفاع المعرفة من بين أفراد المجتمع؛ انفصم عقد الاجتماع وبادت الإنسانية، فهذا هو الغرض من جعل الشعوب والقبائل لا أن تتفاخروا بالأنساب وتتباهوا بالآباء والأمهات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فحق الإنسان عند عليٍ صلوات الله عليه في التعايش السلمي، سواء كانوا مسلمين أم غيرهم،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به الوجوب الشرعي الفقهي، وإنما الوجوب الأخلاقي الإنساني </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الاعتداء عليه أبداً على وفق هذين المبدأين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الأخوة الدينية والنظير الإنساني الخلقي الترابي، فالأخوة الدينية منبعثة من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 لكن أي إيمان هنا؟ هل تعني مطلق الإيمان بالله، أم المراد الإيمان بالمعنی الخاص؟ وهو الإيمان بجميع الملائكة، وبجميع الرسل، وبالبعث الروحي والجسدي، والإيمان بلقائه تعالى، كما يروى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بارزاً يوما للناس فأتاه جبریل فقال ما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بالله وملائكته وبلقائه ورسله وتؤمن بالعبث</w:t>
      </w:r>
      <w:r>
        <w:rPr>
          <w:rFonts w:eastAsia="IRNazanin" w:cs="IRNazanin"/>
          <w:color w:val="111111"/>
          <w:sz w:val="28"/>
          <w:szCs w:val="28"/>
          <w:rtl w:val="true"/>
          <w:lang w:bidi="fa-IR"/>
        </w:rPr>
        <w:t>... ))</w:t>
      </w:r>
      <w:r>
        <w:rPr>
          <w:rStyle w:val="FootnoteAnchor"/>
          <w:rtl w:val="true"/>
        </w:rPr>
        <w:footnoteReference w:id="32"/>
      </w:r>
      <w:r>
        <w:rPr>
          <w:rFonts w:ascii="Amiri" w:hAnsi="Amiri" w:eastAsia="Amiri" w:cs="Amiri"/>
          <w:color w:val="111111"/>
          <w:sz w:val="28"/>
          <w:sz w:val="28"/>
          <w:szCs w:val="28"/>
          <w:rtl w:val="true"/>
          <w:lang w:bidi="ar-SA"/>
        </w:rPr>
        <w:t xml:space="preserve">وكذلك الإيمان الذي هو بضع وسبعون أو وستون شعبة والحياء شعبة منها، والمؤمنون الموجه لهم الخطاب </w:t>
      </w:r>
    </w:p>
    <w:p>
      <w:pPr>
        <w:pStyle w:val="BookText"/>
        <w:rPr/>
      </w:pPr>
      <w:r>
        <w:rPr>
          <w:rFonts w:ascii="Amiri" w:hAnsi="Amiri" w:eastAsia="Amiri" w:cs="Amiri"/>
          <w:color w:val="111111"/>
          <w:sz w:val="28"/>
          <w:sz w:val="28"/>
          <w:szCs w:val="28"/>
          <w:rtl w:val="true"/>
          <w:lang w:bidi="ar-SA"/>
        </w:rPr>
        <w:t xml:space="preserve">الديني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الإيمان الذي يدخل فيه كل من اتصف بروحه وقلبه أنه مؤمن بتوحيدٍ يجعله يتجه صوب المقدس الغيبي بلا شعور بآخر مع الله عزّ وجل، دون الالتفات إلى مسمیات نمطية تصنيفية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يهودي، مسيحي، صابئي،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صاحب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الإيمان في الآية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الاتصاف بحقيقته کما يعطيه السياق، يفيد أن المراد بالذين آمنوا في صدر </w:t>
      </w:r>
    </w:p>
    <w:p>
      <w:pPr>
        <w:pStyle w:val="BookText"/>
        <w:rPr/>
      </w:pPr>
      <w:r>
        <w:rPr>
          <w:rFonts w:ascii="IRNazanin" w:hAnsi="IRNazanin" w:eastAsia="IRNazanin"/>
          <w:color w:val="111111"/>
          <w:sz w:val="28"/>
          <w:sz w:val="28"/>
          <w:szCs w:val="28"/>
          <w:rtl w:val="true"/>
          <w:lang w:bidi="fa-IR"/>
        </w:rPr>
        <w:t>الآية، هم المتصفون بالإيمان ظاهراً المتسمون بهذا الاسم؛ فيكون محصّل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والتسمي بها مثل المؤمنين واليهود والنصاری والصابئين لا يوجب عند الله تعالى أجراً ولا أمناً من العذاب، وإنما ملاك الأمر وسبب الكرامة والسعادة، حقيقة الإيمان بالله واليوم الآخر والعمل الصالح، ولذلك لم يقل من آمن منهم بإرجاع الضمير إلى الموصول اللازم في الصلة؛ لئلا يكون تقريرا للفائدة في التسمي على ما يعطيه النظم کیا لا يخفی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تكررت فيه آيات القرآن أن السعادة والكرامة تدور مدار العبودية، فلا اسم من هذه الأسماء ينفع لمتسميه شيئا، ولا وصف من أوصاف الكمال يبقى لصاحبه وينجيه إلا مع لزوم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الدر المنثور،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دین کنت معهم، فذكر من صلاتهم وعبادتهم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بالمعنی الأخص، بل مطلق التسليم والانقياد لله تعالى في الطاعة والاستجابة، يعني أن الله تعالى حاشا له أن يخلق البشر من أجل أن يعذبهم ويدخلهم جهنم، إنما يحتاج إلى الظلم الضعيف وحاشاه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والمبدأ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ينطلق منه حق التعايش السلمي للإنسان، هو السنخية وتساوي الخلق في البشر، وهذا ما أكده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w:t>
      </w:r>
    </w:p>
    <w:p>
      <w:pPr>
        <w:pStyle w:val="BookText"/>
        <w:rPr/>
      </w:pPr>
      <w:r>
        <w:rPr>
          <w:rFonts w:ascii="Amiri" w:hAnsi="Amiri" w:eastAsia="Amiri" w:cs="Amiri"/>
          <w:color w:val="111111"/>
          <w:sz w:val="28"/>
          <w:sz w:val="28"/>
          <w:szCs w:val="28"/>
          <w:rtl w:val="true"/>
          <w:lang w:bidi="ar-SA"/>
        </w:rPr>
        <w:t>لَهُ كُنْ فَيَكُونُ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 بِالَّذِي خَلَقَكَ مِنْ تُرَابٍ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يحاججه بوحدة الخلق وأنه نظير له في الخلق وهما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عليه السلام أيضاً في العهد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يَصْلُحُ بَعْضُهَا إلاَّ بِبَعْض، وَلاَ غِنَى بِبَعْضِهَا عَنْ بَعْض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جُنُودُ الله، مِنْهَا كُتَّابُ الْعَامَّةِ وَالْخَاصَّةِ، وَمِنْهَا قُضَاةُ الْعَدْلِ، وَمِنهَا عُمَّالُ الِاْنْصَافِ وَالرِّفْقِ، وَمِنْهَا أَهْلُ الْجِزْيَةِ وَالْخَراجِ مِنْ أَهْلِ الذِّمَّةِ وَمُسْلِمَةِ النَّاسِ، وَمِنْهَا التُّجَّارُ وَأَهْلُ </w:t>
      </w:r>
    </w:p>
    <w:p>
      <w:pPr>
        <w:pStyle w:val="BookText"/>
        <w:rPr/>
      </w:pPr>
      <w:r>
        <w:rPr>
          <w:rFonts w:ascii="Amiri" w:hAnsi="Amiri" w:eastAsia="Amiri" w:cs="Amiri"/>
          <w:color w:val="111111"/>
          <w:sz w:val="28"/>
          <w:sz w:val="28"/>
          <w:szCs w:val="28"/>
          <w:rtl w:val="true"/>
          <w:lang w:bidi="ar-SA"/>
        </w:rPr>
        <w:t xml:space="preserve">الصِّنَاعَاتِ، وَمِنهَا الطَّبَقَةُ السُّفْلَى مِنْ ذَوِي الْحَاجَةِ وَالْمَسْکَنَةِ، وَکُلٌّ قَدْ سَمَّی اللهُ سَهْمَهُ، وَوَضَعَ عَلَى حَدِّهِ وَفَرِيضَتِهِ فِي كِتَابِهِ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المقطع من عهده المبارك يخص التعايش السلمي بين الناس بمختلف طبقاتهم فبيّن طبقات النّاس والرّعيّة، وليس المقصود من ذلك إثبات نظام الطبقات وتأييده فإن نظام الطبقات مخالف للعدل والديمقراطية الحاكمة بتساوي الرّعيّة في الحقوق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فالبشر في تحوّله الاجتماعي شرع من النظام القبلي والأسرة المبني على أنّ الحكم المطلق ثابت الرئيس القبيلة، فلا حياة للفرد إلاّ في ضمن القبيلة </w:t>
      </w:r>
    </w:p>
    <w:p>
      <w:pPr>
        <w:pStyle w:val="BookText"/>
        <w:rPr/>
      </w:pPr>
      <w:r>
        <w:rPr>
          <w:rFonts w:ascii="IRNazanin" w:hAnsi="IRNazanin" w:eastAsia="IRNazanin"/>
          <w:color w:val="111111"/>
          <w:sz w:val="28"/>
          <w:sz w:val="28"/>
          <w:szCs w:val="28"/>
          <w:rtl w:val="true"/>
          <w:lang w:bidi="fa-IR"/>
        </w:rPr>
        <w:t>ويشترك معها في الخيرات والشرور على ما يراه صاحب الأسرة ورئيس القبيلة، وهذا أدني نظام اجتماعي وصل إليه البشر في تكامله الاجتماعي، فنظام الطبقات يحصل للأمم بعد التحوّل من النظام القبلي، ومرجعه إلى اعتبار الامتيازات بين الأفراد والأصناف ويبتنی على التبعيض في الحقوق العامّة، فنظام الطبقات يخالف التساوي والتآخي بين الأفراد والتساوي في الحقوق کما نادی به الإسلام في القرآن الشريف حيث يقول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وقد تعلّق العرب على النظام الطبقاتي واعتبار الامتياز من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عدم تزويج بناتهم مع غير </w:t>
      </w:r>
    </w:p>
    <w:p>
      <w:pPr>
        <w:pStyle w:val="BookText"/>
        <w:rPr/>
      </w:pPr>
      <w:r>
        <w:rPr>
          <w:rFonts w:ascii="Amiri" w:hAnsi="Amiri" w:eastAsia="Amiri" w:cs="Amiri"/>
          <w:color w:val="111111"/>
          <w:sz w:val="28"/>
          <w:sz w:val="28"/>
          <w:szCs w:val="28"/>
          <w:rtl w:val="true"/>
          <w:lang w:bidi="ar-SA"/>
        </w:rPr>
        <w:t>العرب وعدم تزويج القبائل بعضها مع بعض باعتبار علوّ شأنه، و قد اهتمّ النبيّ صلّى اللهّ عليه وآله بمحو النظام الطبقاتي و إلغاء هذه الامتيازات المتوهّمة بكلّ جهده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ومقصوده عليه 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اثبات الطبقات بهذا المعنى بل بیان اختلاف الرّعيّة فيما تتصدّیه من شؤون الحياة البشريّة حيث إنّ الانسان مدني بالطبع يحتاج إلى حوائج كثيرة في معاشه من المأكل والملبس والمسكن ولا يقدر فرد واحد بل أفراد على إدارة كلّ هذه الأمور، فلا بدّ أن تنقسم الرّعيّة بحسب مشاغلها إلى طبقات و تتصدّی کلّ طبقة شأناً من الشؤون وشغلاً من المشاغل، ثمّ تتبادل حاصل أعمالها بعضهم مع بعض حتّی يتم أمر معيشتهم ويكمل حوائج حياتهم، </w:t>
      </w:r>
    </w:p>
    <w:p>
      <w:pPr>
        <w:pStyle w:val="BookText"/>
        <w:rPr/>
      </w:pPr>
      <w:r>
        <w:rPr>
          <w:rFonts w:ascii="Amiri" w:hAnsi="Amiri" w:eastAsia="Amiri" w:cs="Amiri"/>
          <w:color w:val="111111"/>
          <w:sz w:val="28"/>
          <w:sz w:val="28"/>
          <w:szCs w:val="28"/>
          <w:rtl w:val="true"/>
          <w:lang w:bidi="ar-SA"/>
        </w:rPr>
        <w:t>وجعل الرّعية سبع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الجنود المحافظون للحدود والثغور والمدافعون عن هجوم الأعداء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العامّة المتصدّون لكتابة العقود والمعاهدات والحقوق وغيرها من المراسلات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قضاة العدل ورؤساء المحاكم المتصدّون للترافع بين النّاس والنظر في الدّعاوی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 الأمور الحسبيّة المحافظون على الانصاف والرّفق بين النّاس وهم الّذين يجرون الأحكام القضائية وينفذونها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الجزية والخراج من أهل الذمّة ومسلمة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التجار وأهل الصناعات والحرف الكثيرة </w:t>
      </w:r>
    </w:p>
    <w:p>
      <w:pPr>
        <w:pStyle w:val="BookText"/>
        <w:rPr/>
      </w:pPr>
      <w:r>
        <w:rPr>
          <w:rFonts w:ascii="Amiri" w:hAnsi="Amiri" w:eastAsia="Amiri" w:cs="Amiri"/>
          <w:color w:val="111111"/>
          <w:sz w:val="28"/>
          <w:sz w:val="28"/>
          <w:szCs w:val="28"/>
          <w:rtl w:val="true"/>
          <w:lang w:bidi="ar-SA"/>
        </w:rPr>
        <w:t>الّتي عليهامدار حياة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 من ذوي الحاجة والمسكنة، والتعبير عن هذه الطبقة السفلى باعتبار أنها لا تقدّم عملا نافعا في الاجتماع تتبادل به مع أعمال الطبقات الاخر فلا بدّ أن تعيش من عمل الطبقات الاخر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فالمسلم أخو النصراني شاء أم أبي، لأن الإنسان أخو الإنسان أحبّ أم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الدنو من الفضيلة والبعد عن نقيضتها الرذيلة هو الأصيل في دستور الإمام في الحرية، ولو لم تكن الحرية الفاضلة حقاً مقدساً لديه لَما امتدح مَن يسيرون على منهاج المسيح، کما امتدح مَن يسيرون على منهاج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8187_113098"/>
    </w:p>
    <w:p>
      <w:pPr>
        <w:pStyle w:val="Heading2"/>
        <w:numPr>
          <w:ilvl w:val="1"/>
          <w:numId w:val="1"/>
        </w:numPr>
        <w:rPr/>
      </w:pPr>
      <w:bookmarkStart w:id="52" w:name="__RefHeading___Toc8830392_1051229030"/>
      <w:bookmarkStart w:id="53" w:name="_Toc17"/>
      <w:bookmarkEnd w:id="51"/>
      <w:bookmarkEnd w:id="52"/>
      <w:r>
        <w:rPr>
          <w:rtl w:val="true"/>
        </w:rPr>
        <w:t>المطلب الثاني</w:t>
      </w:r>
      <w:r>
        <w:rPr>
          <w:rtl w:val="true"/>
        </w:rPr>
        <w:t xml:space="preserve">: </w:t>
      </w:r>
      <w:r>
        <w:rPr>
          <w:rtl w:val="true"/>
        </w:rPr>
        <w:t>حق الإنسان في الحرية</w:t>
      </w:r>
      <w:bookmarkEnd w:id="53"/>
    </w:p>
    <w:p>
      <w:pPr>
        <w:pStyle w:val="Heading3"/>
        <w:numPr>
          <w:ilvl w:val="2"/>
          <w:numId w:val="1"/>
        </w:numPr>
        <w:rPr/>
      </w:pPr>
      <w:bookmarkStart w:id="54" w:name="__RefHeading___Toc8830394_1051229030"/>
      <w:bookmarkStart w:id="55" w:name="_Toc18"/>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بدايةً عندما بدأ أمير المؤمنين عليه السلام کتابه، نسب نفسه إلى الله تعالى، وهنا الدقة والحبكة بالتعبير، فهي أعظم وأفضل نسبة لعبودية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نُسِب النبي محمد صلى الله عليه وآله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وكأنه أراد هذا تطبيقاً عملياً لما سيتضمنه الكتاب من وصایا ودروس أخلاقية كبيرة، في أن العبودية الحقة لله تعالى هي ذاتها الحرية الحقيقية التي لا مثيل لها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فالحرية من حقوق الإنسان المكفولة أصلاً في نهج الإمام عليه السلام ودستوره لكافة </w:t>
      </w:r>
    </w:p>
    <w:p>
      <w:pPr>
        <w:pStyle w:val="BookText"/>
        <w:rPr/>
      </w:pPr>
      <w:r>
        <w:rPr>
          <w:rFonts w:ascii="Amiri" w:hAnsi="Amiri" w:eastAsia="Amiri" w:cs="Amiri"/>
          <w:color w:val="111111"/>
          <w:sz w:val="28"/>
          <w:sz w:val="28"/>
          <w:szCs w:val="28"/>
          <w:rtl w:val="true"/>
          <w:lang w:bidi="ar-SA"/>
        </w:rPr>
        <w:t>الناس، يكفلها الوجدان الإنساني بوصفها قوة لا تعمل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يمكنك أن تقضي على نور الشمس إلا إذا منعته عن غايته في الإنارة وإشاعة الدفء بحاجز تقيمه بين أشعته وبين غايته، إذاً فقد أخرجته الى نطاق من الأمانة والإفناء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الكون حر بأصوله وشروط وجوده لا يقبل إلا بالحرية قانوناً وإلا تعطل وانتهى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حرية الفرد لدى الإمام عليه السلام ليست الحرية الإباحية الرعناء بل هي مقترنة أبداً بالشعور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يلجأشأنه في ذلك شأن الفلاسفة والمفكرين الأقدمين إلى التضييق على الناس في معنى الحرية، بل لجأ إلى توسيع معنی الحرية في مدارك الناس، وفي الوقت نفسه لجأ إلى توسيع معنى الشعور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آیاته </w:t>
      </w:r>
    </w:p>
    <w:p>
      <w:pPr>
        <w:pStyle w:val="BookText"/>
        <w:rPr/>
      </w:pPr>
      <w:r>
        <w:rPr>
          <w:rFonts w:ascii="Amiri" w:hAnsi="Amiri" w:eastAsia="Amiri" w:cs="Amiri"/>
          <w:color w:val="111111"/>
          <w:sz w:val="28"/>
          <w:sz w:val="28"/>
          <w:szCs w:val="28"/>
          <w:rtl w:val="true"/>
          <w:lang w:bidi="ar-SA"/>
        </w:rPr>
        <w:t>في ذلك، أمره مع أهل القرية الذين شاؤوا أن يحفروا مجرى النهر الذي عفا ودرس؛ فطلبوا إلى عامله على قريتهم أن يسخّرهم في العمل؛ فأمره عليّ بألا يسخّرهم، بل يطلب إليهم أن يعملوا في الحفر ويتقاضوا على ذلك أجراً، ثم يكون الأجر والنهر فيما بعد لمن عملوا بملء حريتهم، ولمن شعروا بأنهم مسؤولون عمّا عملوه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وكأن الإمام يُحيي منذ بضعة عشر قرناً هذه العاطفة التي صورها العبقري الفرنسي جان جاك روسو منذ قرنين مضت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ایماننا بالإنسان وولاءنا للإنسانية هما اللذان يثيران في طبيعتنا الخيرة أعمق الدوافع لان نجعل من البليد المسخر انساناً بشری نابها</w:t>
      </w:r>
      <w:r>
        <w:rPr>
          <w:rFonts w:eastAsia="IRNazanin" w:cs="IRNazanin"/>
          <w:color w:val="111111"/>
          <w:sz w:val="28"/>
          <w:szCs w:val="28"/>
          <w:rtl w:val="true"/>
          <w:lang w:bidi="fa-IR"/>
        </w:rPr>
        <w:t>.</w:t>
      </w:r>
      <w:r>
        <w:rPr>
          <w:rStyle w:val="FootnoteAnchor"/>
          <w:rtl w:val="true"/>
        </w:rPr>
        <w:footnoteReference w:id="42"/>
      </w:r>
      <w:bookmarkStart w:id="56" w:name="pg8187_113101"/>
    </w:p>
    <w:p>
      <w:pPr>
        <w:pStyle w:val="Heading3"/>
        <w:numPr>
          <w:ilvl w:val="2"/>
          <w:numId w:val="1"/>
        </w:numPr>
        <w:rPr/>
      </w:pPr>
      <w:bookmarkStart w:id="57" w:name="__RefHeading___Toc8830396_1051229030"/>
      <w:bookmarkStart w:id="58" w:name="_Toc19"/>
      <w:bookmarkEnd w:id="56"/>
      <w:bookmarkEnd w:id="57"/>
      <w:r>
        <w:rPr>
          <w:rtl w:val="true"/>
        </w:rPr>
        <w:t xml:space="preserve">أولاً </w:t>
      </w:r>
      <w:r>
        <w:rPr>
          <w:rtl w:val="true"/>
        </w:rPr>
        <w:t xml:space="preserve">- </w:t>
      </w:r>
      <w:r>
        <w:rPr>
          <w:rtl w:val="true"/>
        </w:rPr>
        <w:t>حرية العقيدة وعبادة الله تعالى</w:t>
      </w:r>
      <w:r>
        <w:rPr>
          <w:rtl w:val="true"/>
        </w:rPr>
        <w:t>:</w:t>
      </w:r>
      <w:bookmarkEnd w:id="58"/>
    </w:p>
    <w:p>
      <w:pPr>
        <w:pStyle w:val="BookText"/>
        <w:rPr/>
      </w:pPr>
      <w:r>
        <w:rPr>
          <w:rFonts w:ascii="IRNazanin" w:hAnsi="IRNazanin" w:eastAsia="IRNazanin"/>
          <w:color w:val="111111"/>
          <w:sz w:val="28"/>
          <w:sz w:val="28"/>
          <w:szCs w:val="28"/>
          <w:rtl w:val="true"/>
          <w:lang w:bidi="fa-IR"/>
        </w:rPr>
        <w:t xml:space="preserve">من أهم حقوق الإنسان، هي حرية العبادة؛ لأنها محطة معنوية مهمة في حياة الفرد، بل أهم المحطات والمحاور في ذات الإنسان، ومن حق الإنسان أن يعبد الله تعالى بايقف ويقوده الدليل إلى ذلك، لا أن يجبر على سلوك قناةٍ وطريق غير مندفع ومقتنع به، أو أن يُجبر على عبادة غير الله تعالى، كعبادة السلطان والشيطان، والنساء، وغيرها من العبادات الموجودة غير الصحيحة کما جاء في اليهود والنصارى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اتخذوهم أرباباً يعبدونهم؟ كانوا يسمعون ويطيعونهم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صلوات الله عليه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بِتَقْوَى اللهِ، وَإِيثَارِ طَاعَتِهِ، وَاتِّبَاعِ مَا أَمَرَ بِهِ فِي </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هذا ظاهره أمرُ بالتقوى وإيثار الطاعة، إلا أن حقه الحرية في الاختيار بلحاظين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الاتباع والطاعة لأوامر الله تعالى ببعده الإيجاب، لا ببعده السلبي،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أي إن هناك </w:t>
      </w:r>
    </w:p>
    <w:p>
      <w:pPr>
        <w:pStyle w:val="BookText"/>
        <w:rPr/>
      </w:pPr>
      <w:r>
        <w:rPr>
          <w:rFonts w:ascii="Amiri" w:hAnsi="Amiri" w:eastAsia="Amiri" w:cs="Amiri"/>
          <w:color w:val="111111"/>
          <w:sz w:val="28"/>
          <w:sz w:val="28"/>
          <w:szCs w:val="28"/>
          <w:rtl w:val="true"/>
          <w:lang w:bidi="ar-SA"/>
        </w:rPr>
        <w:t xml:space="preserve">مشتركاً بيننا تعالوا لنتمسك بحبله ونعضده، وهي كلمة التوحيد، هذا هو البعد الإيجابي بالدعوة، ولم يقل لهم أنتم لستم على شيء وأنكم مصيركم إلى النار مثلاً،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رفضوا الدعوة ولم يقبلوا، ماذا تقولون لهم، هل تقولون لهم أنتم كفرة وفساق وفجرة ولا تهتدوا بعد اليوم ومصيركم جهنم، بهذا الأسلوب والبعد السلبي؟ انظر الى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البعد الإيجابي من دون السلبي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النتائج المرجوة العظيمة المتوخاة من اتباع أوامر الله، التي ذكرها الإمام عليه السلام النص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السعادة عند اتباع الفرائض، والشقاء عند إضاعتها، وإن </w:t>
      </w:r>
    </w:p>
    <w:p>
      <w:pPr>
        <w:pStyle w:val="BookText"/>
        <w:rPr/>
      </w:pPr>
      <w:r>
        <w:rPr>
          <w:rFonts w:ascii="Amiri" w:hAnsi="Amiri" w:eastAsia="Amiri" w:cs="Amiri"/>
          <w:color w:val="111111"/>
          <w:sz w:val="28"/>
          <w:sz w:val="28"/>
          <w:szCs w:val="28"/>
          <w:rtl w:val="true"/>
          <w:lang w:bidi="ar-SA"/>
        </w:rPr>
        <w:t>الله تعالى سوف ينصره ويعزه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كان إجباراً على شيء لم تذكر ولم تعرض الفوائد والآثار الجيدة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كَلِمَةٍ سَوَاءٍ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التوحيد، ولازم التوحيد رفض الشركاء وعدم اتخاذ الأرباب من دون الله سبحانه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تختتم به الآية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المعنى الأول فإن محصل المعنی بالنظر إليه أنه يدعو إلى هذه الكلمة وهي أن 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مقتضى الإسلام الله الذي هو الدين عند الله، 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نعبد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عبادة غير الله لا إثبات عبادة الله تعالى على ما مرت الإشارة إليه في معنى كلمة الإخلاص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کون إلا الله، بدلا لا استثناء كون الكلام مسوقا لبيان نفي الشريك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إثبات الإله، فإن القرآن يأخذ إثبات وجود الإله وحقيته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بأنهم وهم النبي صلى الله عليه وآله ومن اتبعه على الدين المرضي عند الله تعالى وهو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فينقطع بذلك خصامهم وحجاجهم إذ لا حجة على الحق وأهله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فحرية العقيدة الدينية حقٌ من حقوق الناس كفلها دستور الامام علي عليه السلام، فبما أن الحرية لا تُجزأ، فإن الانسان لا يمكنه أن حراً من جانب ومقيّداً من جانب آخر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وهذا الحق عند الامام علي عليه السلام، للإنسان في حرية العبادة، ينسجم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أيضاً نلاحظ حرية الحق وذكر النتائج المترتبة على الإيمان بالله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القائل في مناسبة ثانية، أن تتحرر من كل القيود والقبليات النفسية وتنطلق صوب الحق المطلق وتكون حراً بشكره وعبادته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سبحانه رغبة فتلك عبادة التجار، وقوما عبدوه رهبة فتلك عبادة العبيد وقوما عبدوه شكراً فتلك عبادة الاحرار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إن بعض المنافقين كانوا يأتون إلى مسجد الكوفة ولم يصلوا الجماعة مع الإمام عليه السلام الجماعة، بل كانوا يصلّون فرادى في وقت صلاة الإمام عليه السلام تعريضاً بالإمام، فقيل للإمام أن يمنع هؤلاء عن هذا العمل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بيده الحق في نهيهم، مع ذلك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اتركوهم وشأنهم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ascii="Amiri" w:hAnsi="Amiri" w:eastAsia="Amiri" w:cs="Amiri"/>
          <w:color w:val="111111"/>
          <w:sz w:val="28"/>
          <w:sz w:val="28"/>
          <w:szCs w:val="28"/>
          <w:rtl w:val="true"/>
          <w:lang w:bidi="ar-SA"/>
        </w:rPr>
        <w:t>نعم الإمام عليه السلام طبق هذه الآية المباركة حتى على صلاة المنافق، لأنه كان يريد إعطاء الحرية للناس جميعاً</w:t>
      </w:r>
      <w:r>
        <w:rPr>
          <w:rFonts w:eastAsia="Amiri" w:cs="Amiri" w:ascii="Amiri" w:hAnsi="Amiri"/>
          <w:color w:val="111111"/>
          <w:sz w:val="28"/>
          <w:szCs w:val="28"/>
          <w:rtl w:val="true"/>
          <w:lang w:bidi="ar-SA"/>
        </w:rPr>
        <w:t xml:space="preserve">. </w:t>
      </w:r>
      <w:bookmarkStart w:id="59" w:name="pg8187_113108"/>
    </w:p>
    <w:p>
      <w:pPr>
        <w:pStyle w:val="Heading3"/>
        <w:numPr>
          <w:ilvl w:val="2"/>
          <w:numId w:val="1"/>
        </w:numPr>
        <w:rPr/>
      </w:pPr>
      <w:bookmarkStart w:id="60" w:name="__RefHeading___Toc8830398_1051229030"/>
      <w:bookmarkStart w:id="61" w:name="_Toc20"/>
      <w:bookmarkEnd w:id="59"/>
      <w:bookmarkEnd w:id="60"/>
      <w:r>
        <w:rPr>
          <w:rtl w:val="true"/>
        </w:rPr>
        <w:t xml:space="preserve">ثانياً </w:t>
      </w:r>
      <w:r>
        <w:rPr>
          <w:rtl w:val="true"/>
        </w:rPr>
        <w:t xml:space="preserve">- </w:t>
      </w:r>
      <w:r>
        <w:rPr>
          <w:rtl w:val="true"/>
        </w:rPr>
        <w:t>الحرية الشخصية</w:t>
      </w:r>
      <w:r>
        <w:rPr>
          <w:rtl w:val="true"/>
        </w:rPr>
        <w:t>:</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في العهد الميمون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أَبْعَدَ رَعِيَّتِكَ مِنْكَ، وَأشْنَأَهُمْ عِنْدَكَ، أَطْلَبُهُمْ لَمِعَائِبِ النَّاسِ، فإنَّ في النَّاسِ عُيُوباً، الْوَالِي أَحَقُّ مَنْ سَتَرَهَا، فَلاَ تَكْشِفَنَّ عَمَّا غَابَ عَنْكَ مِنْهَا، فَإنَّمَا عَلَيْكَ تَطْهِيرُ مَا ظَهَرَ لَكَ، وَاللهُ یَحْکُمُ عَلَى مَا غَابَ عَنْكَ، فَاسْتُرِ الْعَوْرَةَ مَا اسْتَطَعْتَ يَسْتُرِ اللهُ مِنْكَ مَا تُحِبُّ سَتْرَهُ مِنْ رَعِیَّتِكَ</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يمكن القول ان الامام عليه السلام أعطى حرية الخطأ مع عدم الإصرار، عليه مع الالتزام بعدم علانية ذلك الخطأ، فضلا عن أنه يرفض أنموذج الدولة الشمولية التي تجعل من نفسها جهاز تجسس ومراقبة ضد أبناء الأمة بل يريد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الدولة أن تكون أداة إصلاح ووسيلة لحل الأزمات، يجب أن تعامل المواطنين بوصفهم بشراً تلازمهم حتمية الخطأ، ويجب أن يمنح الإنسان فرصة الإصلاح الذاتي لذلك الخطأ ما دام لم يتجاوز القانون العام</w:t>
      </w:r>
      <w:r>
        <w:rPr>
          <w:rFonts w:eastAsia="Amiri" w:cs="Amiri" w:ascii="Amiri" w:hAnsi="Amiri"/>
          <w:color w:val="111111"/>
          <w:sz w:val="28"/>
          <w:szCs w:val="28"/>
          <w:rtl w:val="true"/>
          <w:lang w:bidi="ar-SA"/>
        </w:rPr>
        <w:t>.</w:t>
      </w:r>
      <w:r>
        <w:rPr>
          <w:rStyle w:val="FootnoteAnchor"/>
          <w:rtl w:val="true"/>
        </w:rPr>
        <w:footnoteReference w:id="54"/>
      </w:r>
      <w:bookmarkStart w:id="62" w:name="pg8187_113110"/>
    </w:p>
    <w:p>
      <w:pPr>
        <w:pStyle w:val="Heading2"/>
        <w:numPr>
          <w:ilvl w:val="1"/>
          <w:numId w:val="1"/>
        </w:numPr>
        <w:rPr/>
      </w:pPr>
      <w:bookmarkStart w:id="63" w:name="__RefHeading___Toc8830400_1051229030"/>
      <w:bookmarkStart w:id="64" w:name="_Toc21"/>
      <w:bookmarkEnd w:id="62"/>
      <w:bookmarkEnd w:id="63"/>
      <w:r>
        <w:rPr>
          <w:rtl w:val="true"/>
        </w:rPr>
        <w:t>المطلب الثالث</w:t>
      </w:r>
      <w:r>
        <w:rPr>
          <w:rtl w:val="true"/>
        </w:rPr>
        <w:t xml:space="preserve">: </w:t>
      </w:r>
      <w:r>
        <w:rPr>
          <w:rtl w:val="true"/>
        </w:rPr>
        <w:t>حق الإنسان في حرية التعبير</w:t>
      </w:r>
      <w:bookmarkEnd w:id="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جاء في عهده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فِي مِثْلِ مَا کُنْتَ تَنْظُرُ فِيهِ مِنْ أُمُورِ الْوُلاَةِ قَبْلَكَ، وَيَقُولُونَ فِيكَ مَا کُنْتَ تَقُولُ فِيهِمْ، إِنَّمَا یُسْتَدَلُّ عَلَى الصَّالِحينَ بِمَا يُجْرِي اللهُ لَهُمْ عَلَى أَلْسُنِ عِبَادِهِ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هذا الحق من حقوق الإنسان في حرية التعبير، كفله الإمام عليه السلام، فمثلا أنت تبحث عن متنفس في التعبير لهمومك التي قد تنفجر إذا بقيت داخل صدرك ولم تخرج بحسرة من الحسرات وبزفرة من الزفرات، وتريد أن </w:t>
      </w:r>
    </w:p>
    <w:p>
      <w:pPr>
        <w:pStyle w:val="BookText"/>
        <w:rPr/>
      </w:pPr>
      <w:r>
        <w:rPr>
          <w:rFonts w:ascii="Amiri" w:hAnsi="Amiri" w:eastAsia="Amiri" w:cs="Amiri"/>
          <w:color w:val="111111"/>
          <w:sz w:val="28"/>
          <w:sz w:val="28"/>
          <w:szCs w:val="28"/>
          <w:rtl w:val="true"/>
          <w:lang w:bidi="ar-SA"/>
        </w:rPr>
        <w:t>تعبّر عمّا في داخلك من رأيٍ صريح أنت مقتنع به؛ كذلك أيها الإنسان يجب أن تعطي للإنسان الآخر في المقابل هذه الفسحة و الفرصة لإطلاق فيض المشاعر والأحاسيس التي تعانق الأضلاع داخل صدر الإنسان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تؤاخذهم با تجود حسراتهم وزفراتهم لو أرادوا الكلام، وقد جاء عنه عليه السلام في مناسبة وهي تكفل حق الكلام 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جَالِساً فِي أَصْحَابِهِ فَمَرَّتْ بِهِمُ اِمْرَأَةٌ جَمِيلَةٌ فَرَمَقَهَا اَلْقَوْمُ بِأَبْصَارِهِمْ فَقَالَ عليه السلام إِنَّ أَبْصَارَ هَذِهِ اَلْفُحُولِ طَوَامِحُ وَ إِنَّ ذَلِكَ سَبَبُ هِبَابِهَا فَإِذَا نَظَرَ أَحَدُكُمْ إِلَى اِمْرَأَةٍ تُعْجِبُهُ فَلْيُلاَمِسُ أَهْلَهُ فَإِنَّمَا هِيَ اِمْرَأَةٌ كَامْرَأَتِهِ فَقَالَ رَجُلٌ مِنَ اَلْخَوَارِجِ؟ قَاتَلَهُ الله کَافِراً مَا أَفْقَهَهُ فَوَثَبَ اَلْقَوْمُ لِيَقْتُلُوهُ فَقَالَ عليه السلام </w:t>
      </w:r>
    </w:p>
    <w:p>
      <w:pPr>
        <w:pStyle w:val="BookText"/>
        <w:rPr/>
      </w:pPr>
      <w:r>
        <w:rPr>
          <w:rFonts w:ascii="Amiri" w:hAnsi="Amiri" w:eastAsia="Amiri" w:cs="Amiri"/>
          <w:color w:val="111111"/>
          <w:sz w:val="28"/>
          <w:sz w:val="28"/>
          <w:szCs w:val="28"/>
          <w:rtl w:val="true"/>
          <w:lang w:bidi="ar-SA"/>
        </w:rPr>
        <w:t>رُوَیْداً إنَّمَا هُوَ سَبٌّ أَوْ عَفْوٌ عَنْ ذَنْبٍ</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ما أعظمها من حرية في التعبير، أي إما أن أردَّ عليه هذا السب والشتم، أو من حقي أن أعفو عنه إن شئت، ولا يستحق ما فعله جريرة القتل؛ فلا يجوز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كان من الخوارج وكان يختلف معه في العقيدة، فحق حرية التعبير مکفول من دون تفريق بين أحد وآخر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وحرية التعبير عند أمير المؤمنين لا تقتصر على مجرد الكلام، بل على الوضع النفسي أن يكون المتكلم مطمئناً ومستقراً، ويُخصص له الوقت الكافي حتى يُوصل فكرته التي يريد، بل وتشجيع من عدة نواحي، حيث قال في عهده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 شَخْصَكَ، وَتَجْلِسُ لَهُمْ مَجْلِساً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عَامّاً، فَتَتَواضَعُ فِيهِ لله الَّذِي خَلَقَكَ، وَتُقعِدُ عَنْهُمْ جُنْدَكَ وَأَعْوَانَكَ مِنْ أَحْرَاسِكَ وَشُرَطِكَ، حَتَّى يُكَلِّمَكَ مُتَكَلِّمُهُمْ غَيْرَ مُتَعْتِع،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فإن كان الخوف يسيطر على الإنسان لا يستطيع التعبير حقيقةً، وسيكون تعبيره بالا يوجد في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مُتَكَلِّمُهُمْ غَيْرَ مُتَعْتِع</w:t>
      </w:r>
      <w:r>
        <w:rPr>
          <w:rFonts w:eastAsia="Amiri" w:cs="Amiri" w:ascii="Amiri" w:hAnsi="Amiri"/>
          <w:color w:val="111111"/>
          <w:sz w:val="28"/>
          <w:szCs w:val="28"/>
          <w:rtl w:val="true"/>
          <w:lang w:bidi="ar-SA"/>
        </w:rPr>
        <w:t xml:space="preserve">)). </w:t>
      </w:r>
      <w:bookmarkStart w:id="65" w:name="pg8187_113114"/>
    </w:p>
    <w:p>
      <w:pPr>
        <w:pStyle w:val="Heading2"/>
        <w:numPr>
          <w:ilvl w:val="1"/>
          <w:numId w:val="1"/>
        </w:numPr>
        <w:rPr/>
      </w:pPr>
      <w:bookmarkStart w:id="66" w:name="__RefHeading___Toc8830402_1051229030"/>
      <w:bookmarkStart w:id="67" w:name="_Toc22"/>
      <w:bookmarkEnd w:id="65"/>
      <w:bookmarkEnd w:id="66"/>
      <w:r>
        <w:rPr>
          <w:rtl w:val="true"/>
        </w:rPr>
        <w:t>المطلب الرابع</w:t>
      </w:r>
      <w:r>
        <w:rPr>
          <w:rtl w:val="true"/>
        </w:rPr>
        <w:t xml:space="preserve">: </w:t>
      </w:r>
      <w:r>
        <w:rPr>
          <w:rtl w:val="true"/>
        </w:rPr>
        <w:t>حق الإنسان في العدل والمساواة</w:t>
      </w:r>
      <w:bookmarkEnd w:id="67"/>
    </w:p>
    <w:p>
      <w:pPr>
        <w:pStyle w:val="BookText"/>
        <w:rPr/>
      </w:pPr>
      <w:r>
        <w:rPr>
          <w:rFonts w:ascii="Amiri" w:hAnsi="Amiri" w:eastAsia="Amiri" w:cs="Amiri"/>
          <w:color w:val="111111"/>
          <w:sz w:val="28"/>
          <w:sz w:val="28"/>
          <w:szCs w:val="28"/>
          <w:rtl w:val="true"/>
          <w:lang w:bidi="ar-SA"/>
        </w:rPr>
        <w:t>قال عليه السلام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المساواة والتآخي أصل إسلامي مالَ إليه كلّ الشعوب في هذه العصور الأخيرة المنيرة بالتفكير والاختراع، وأدرج في برنامج الحقوق العامّة البشريّة، ولكن المقصود منه ليس تساوي الأفراد في النيل من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منهم والطالح والجادّ منهم والكسلان على نهج سواء، بل المقصود منه نيل كلّ ذي حقّ حقّه من حظّ الحياة على حسب رتبته العلمية و جدّه في العمل،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الأصل يبتني على تعيين الحقوق،</w:t>
      </w:r>
      <w:r>
        <w:rPr>
          <w:rStyle w:val="FootnoteAnchor"/>
          <w:rtl w:val="true"/>
        </w:rPr>
        <w:footnoteReference w:id="58"/>
      </w:r>
      <w:r>
        <w:rPr>
          <w:rFonts w:ascii="IRNazanin" w:hAnsi="IRNazanin" w:eastAsia="IRNazanin"/>
          <w:color w:val="111111"/>
          <w:sz w:val="28"/>
          <w:sz w:val="28"/>
          <w:szCs w:val="28"/>
          <w:rtl w:val="true"/>
          <w:lang w:bidi="fa-IR"/>
        </w:rPr>
        <w:t>وقد شرّح عليه السلام في هذا الفصل من كلامه هذا الأصل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لكلّ امرىء منهم ما أبلی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فأعطهم من عفوك وصفحك مثل الذي تحب أن يعطيك الله من عفوه و صفحه</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المساواة في اللغة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في المقدار لا يزيد ولا ينقص</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أما العدالة، فإن فلان يعدل فلان يساويه،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وعادلت بين الشيئيين وعدلت فلان بفلان اذ سویت بینها</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في النفوس انه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وهو ضد الجور والعدل اسم من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هو الذي لا يميل به الهوى فيجور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الحكم بالحق</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الكلام هنا هل أن العدل مرادف للمساواة بمعنى أن كل مساواة هي عدل وأن كل عدل تعني المساواة؟ ببداهة لا يصح ذلك إذ ليس كل مساواة هي عدل وهذا ما استنكره القرآن الكريم بالاستفهام الانكاري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فلا تحقق للعدالة في المساواة بينهم </w:t>
      </w:r>
    </w:p>
    <w:p>
      <w:pPr>
        <w:pStyle w:val="BookText"/>
        <w:rPr/>
      </w:pPr>
      <w:r>
        <w:rPr>
          <w:rFonts w:ascii="IRNazanin" w:hAnsi="IRNazanin" w:eastAsia="IRNazanin"/>
          <w:color w:val="111111"/>
          <w:sz w:val="28"/>
          <w:sz w:val="28"/>
          <w:szCs w:val="28"/>
          <w:rtl w:val="true"/>
          <w:lang w:bidi="fa-IR"/>
        </w:rPr>
        <w:t>بالثواب والعقاب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هناك مساواة بين هؤلاء على اختلاف مشاربهم واستعداداتهم وقابلياتهم، في جوانب معينة، مثلا في إرسال الأنبياء والرسل للبشر كافة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هنا الخطاب للناس جميعاً بالتساوي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مساواة تحقق بضمنها العدالة، کما في قوله تعلى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فلا تفضيل ولا فرق بين الناس إلا بتقوى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مساواة عليّ عليه السلام </w:t>
      </w:r>
    </w:p>
    <w:p>
      <w:pPr>
        <w:pStyle w:val="BookText"/>
        <w:rPr/>
      </w:pPr>
      <w:r>
        <w:rPr>
          <w:rFonts w:ascii="Amiri" w:hAnsi="Amiri" w:eastAsia="Amiri" w:cs="Amiri"/>
          <w:color w:val="111111"/>
          <w:sz w:val="28"/>
          <w:sz w:val="28"/>
          <w:szCs w:val="28"/>
          <w:rtl w:val="true"/>
          <w:lang w:bidi="ar-SA"/>
        </w:rPr>
        <w:t>مساواة عادلة لا تبخس أحداً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 عليّ عليه السلام لا يرضى بمساواة بين المحسن والمسيء لأن في ذلك ظلماً وبخساً لأهل الإحسان وتشجيعاً لأهل الإساءة حيث قال في عهده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 فَإِنَّ فِي ذلِكَ تَزْهِيداً لِاَهْلِ الْاحْسَانِ فِي الْاِحْسَانِ، تَدْرِيباً لِاَهْلِ الِاْسَاءَةِ عَلَى الاْسَاءَةِ، وَأَلْزِمْ کُلاًّ مِنْهُمْ مَا أَلْزَمَ نَفْسَهُ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عليه السلام کلم به طلحة والزبير بعد بیعته بالخلافة وقد عتبا عليه وكرها مبدأ المساواة بالعطاء مع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ذَکَرْتُمَا مِنْ أَمْرِ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المساواة بين النّاس </w:t>
      </w:r>
    </w:p>
    <w:p>
      <w:pPr>
        <w:pStyle w:val="BookText"/>
        <w:rPr/>
      </w:pPr>
      <w:r>
        <w:rPr>
          <w:rFonts w:ascii="Amiri" w:hAnsi="Amiri" w:eastAsia="Amiri" w:cs="Amiri"/>
          <w:color w:val="111111"/>
          <w:sz w:val="28"/>
          <w:sz w:val="28"/>
          <w:szCs w:val="28"/>
          <w:rtl w:val="true"/>
          <w:lang w:bidi="ar-SA"/>
        </w:rPr>
        <w:t xml:space="preserve">في قسمة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أَمْرٌ لَمْ أَحْکُمْ أَنَا فِيهِ بِرَأْيِي وَلاَ وَلِيتُهُه هَوىً مِنِّي، 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إِلَیْکُمَا فِيَما قَدْ فَرَغَ اللهُ مِنْ قَسْمِهِ، وَأَمْضَى فِيهِ حُکْمَهُ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فهذه هي المساواة العادلة عند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جرت العادة أنهم يفرقون في العطاء من بیت المال، فحصة الأعيان والوجهاء كانت أكثر من حصة الطبقة الكادحة والفقيرة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القرآن الكريم على مفردة العدل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w:t>
      </w:r>
    </w:p>
    <w:p>
      <w:pPr>
        <w:pStyle w:val="BookText"/>
        <w:rPr/>
      </w:pP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لأن بعض من المساواة هي الظلم بعينه بتعبير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أَنْ يُعْطِيَكَ اللهُ مِنْ عَفْوِهِ وَصَفْحِهِ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فلم يفرق في حق المساواة بالعطاء المعنوي، بين أسود و أبيض ولا بين عربي وأعجمي ولا بين سيد وعبد، ولا بين غني أو فقير، بأن يكون مختص فقط لأقرانه و جلسائه وخاصته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أكد هذا المعنى في رسالة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فَلْيَکُنْ أَمْرُ النَّاسِ عِنْدَكَ فِي الْحَقِّ سَوَاءً فَإِنَّهُ لَيْسَ فِي الْجَوْرِ عِوَضٌ مِنَ الْعَدْلِ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بل هناك مساواة مطلوبة عند الامام عليه السلام، وهي المساواة العادلة ففي عهده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بِمَا النَّاسُ فِيهِ أُسْوَةٌ</w:t>
      </w:r>
      <w:r>
        <w:rPr>
          <w:rFonts w:eastAsia="Amiri" w:cs="Amiri" w:ascii="Amiri" w:hAnsi="Amiri"/>
          <w:color w:val="111111"/>
          <w:sz w:val="28"/>
          <w:szCs w:val="28"/>
          <w:rtl w:val="true"/>
          <w:lang w:bidi="ar-SA"/>
        </w:rPr>
        <w:t xml:space="preserve">)) </w:t>
      </w:r>
      <w:bookmarkStart w:id="68" w:name="pg8187_113122"/>
    </w:p>
    <w:p>
      <w:pPr>
        <w:pStyle w:val="Heading2"/>
        <w:numPr>
          <w:ilvl w:val="1"/>
          <w:numId w:val="1"/>
        </w:numPr>
        <w:rPr/>
      </w:pPr>
      <w:bookmarkStart w:id="69" w:name="__RefHeading___Toc8830404_1051229030"/>
      <w:bookmarkStart w:id="70" w:name="_Toc23"/>
      <w:bookmarkEnd w:id="68"/>
      <w:bookmarkEnd w:id="69"/>
      <w:r>
        <w:rPr>
          <w:rtl w:val="true"/>
        </w:rPr>
        <w:t>المطلب الخامس</w:t>
      </w:r>
      <w:r>
        <w:rPr>
          <w:rtl w:val="true"/>
        </w:rPr>
        <w:t xml:space="preserve">: </w:t>
      </w:r>
      <w:r>
        <w:rPr>
          <w:rtl w:val="true"/>
        </w:rPr>
        <w:t>حق الإنسان في الحياة</w:t>
      </w:r>
      <w:bookmarkEnd w:id="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العهد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وَسَفْکَهَا بِغَيْرِ حِلِّهَا، فَإِنَّهُ لَيْسَ شَيْءٌ أَدْعَى لِنِقْمَة، وَلاَ أَعْظَمَ لِتَبِعَة، وَلاَ أَحْرَى بِزَوَالِ نِعْمَة، وَانْقِطَاعِ مُدَّة، مِنْ سَفْكِ الدِّمَاءِ بِغَیْرِ حَقِّهَا، وَاللهُ سُبْحَانَهُ مُبْتَدِیءٌ بِالْحُكْمِ بَيْنَ الْعِبَادِ، فِيَما تَسَافَكُوا مِنَ الدِّمَاءِ يَوْمَ الْقِيَامةِ، فَلاَ تُقَوِّيَنَّ سُلْطَانَكَ بِسَفْكِ دَم حَرَام، فَإِنَّ ذلِكَ مِمَّا يُضْعِفُهُ وَیُوهِنُهُ، بَلْ يُزيِلُهُ وَيَنْقُلُهُ، وَلاَ عُذْرَ لَكَ عِنْدَ اللهِ وَلاَ عِنْدِي فِي قَتْلِ الْعَمدِ، لِاَنَّ فِيهِ قَوَدَ الْبَدَنِ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فإن حق الإنسان أن يحيا ولا يجرؤ أحد على قتله، فصفة الإنسانية فقط كفيلة بأن تضمن عدم سفك دمه عند الإمام علي عليه السلام، وهذا ما </w:t>
      </w:r>
    </w:p>
    <w:p>
      <w:pPr>
        <w:pStyle w:val="BookText"/>
        <w:rPr/>
      </w:pPr>
      <w:r>
        <w:rPr>
          <w:rFonts w:ascii="Amiri" w:hAnsi="Amiri" w:eastAsia="Amiri" w:cs="Amiri"/>
          <w:color w:val="111111"/>
          <w:sz w:val="28"/>
          <w:sz w:val="28"/>
          <w:szCs w:val="28"/>
          <w:rtl w:val="true"/>
          <w:lang w:bidi="ar-SA"/>
        </w:rPr>
        <w:t xml:space="preserve">أكده القرآن الكريم من حرمة قتل الناس بغير حق، ولم يقيد القرآن هذا القتل يحرم فقط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هناك موارد القتل يكون فيه حياة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مجرد نهي وبيان لحكم القتل عن عمد، لأن تحریمه ثابت و معروف بمنطق الحياة والفطرة، ويستوي في معرفته العالم والجاهل، والمؤمن والكافر، ولا يحتاج بعد هذا إلى توضيح وبيان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النصوص على تحريمه من السماء وأهل الأرض فهي انعکاس وتعبير عما هو كائن بالفعل، لا توجيها إلى ما ينبغي ان يكون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القتل لحماية أرواح الناس ومصالحهم أي أن منطق الحياة الذي حرّم القتل هو بالذات يسوّغ قتل من اعتدى على الحياة، صونا لها وحرصا عليها، وبكلام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أحد من الناس إلا بحق وعدل، وذلك بأن يباشر الجاني بملء ارادته السبب الموجب لقتله بحيث يصدق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كَانُوا أَنْفُسَهُمْ يَظْلِمُونَ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ascii="Amiri" w:hAnsi="Amiri" w:eastAsia="Amiri" w:cs="Amiri"/>
          <w:color w:val="111111"/>
          <w:sz w:val="28"/>
          <w:sz w:val="28"/>
          <w:szCs w:val="28"/>
          <w:rtl w:val="true"/>
          <w:lang w:bidi="ar-SA"/>
        </w:rPr>
        <w:t xml:space="preserve">والحقيقة هناك جملة من الأمور يمكن </w:t>
      </w:r>
    </w:p>
    <w:p>
      <w:pPr>
        <w:pStyle w:val="BookText"/>
        <w:rPr/>
      </w:pPr>
      <w:r>
        <w:rPr>
          <w:rFonts w:ascii="Amiri" w:hAnsi="Amiri" w:eastAsia="Amiri" w:cs="Amiri"/>
          <w:color w:val="111111"/>
          <w:sz w:val="28"/>
          <w:sz w:val="28"/>
          <w:szCs w:val="28"/>
          <w:rtl w:val="true"/>
          <w:lang w:bidi="ar-SA"/>
        </w:rPr>
        <w:t>تلمسها في هذا النص،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حرمة الدماء وإن حق الحياة مكفول للجميع، إذ كان الحديث عن الدماء بصورة عامة وليس دماء المسلمين من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المساواة بين الناس حاکماً، محكوماً سيداً كان أو عبداً، من حيث لا ضانات للمنصب او شاغله في موضوع التعدي على الدماء والحياة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سفك الدماء يثير الغضب والنقمة بين الناس مما يؤدي إلى الاضطراب وهو من الأسباب المهمة للعداوات والتباغض والتحاقد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دم ثائرٌ، ولكل حق طالبٌ</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على وفق وصف الإمام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احترام الإمام عليه السلام لحق الحياة نلاحظ انه حكم على جريمة التحريض او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بالقتل أو بعقوبة أخرى تتناسب مع الجرم والشكل القانوني للجريمة وكان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فقد برئ من الإسلام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وأشار الإمام عليه السلام كذلك إلى عملية القتل المعنوي وذلك بهدم كرامة الإنسان وسمعته وعُدَّ ذلك بمثابة اغتيال له اذ يقول</w:t>
      </w:r>
      <w:r>
        <w:rPr>
          <w:rStyle w:val="FootnoteAnchor"/>
          <w:rtl w:val="true"/>
        </w:rPr>
        <w:footnoteReference w:id="82"/>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النَّاسِ عُیُوباً، الْوَالِي أَحَقُّ مَنْ سَتَرَهَا، فَلاَ تَكْشِفَنَّ عَمَّا غَابَ عَنْكَ مِنْهَا، فَإنَّمَا عَلَيْكَ تَطْهِيرُ مَا ظَهَرَ لَكَ، وَاللهُ یَحْکُمُ عَلَى مَا غَابَ عَنْكَ، فَاسْتُرِ الْعَوْرَةَ مَا اسْتَطَعْتَ يَسْتُرِ اللَّهُ ما تُحِبُّ سَتْرَهُ مِنْ رَعِيَّتِكَ</w:t>
      </w:r>
      <w:r>
        <w:rPr>
          <w:rFonts w:eastAsia="Amiri" w:cs="Amiri" w:ascii="Amiri" w:hAnsi="Amiri"/>
          <w:color w:val="111111"/>
          <w:sz w:val="28"/>
          <w:szCs w:val="28"/>
          <w:rtl w:val="true"/>
          <w:lang w:bidi="ar-SA"/>
        </w:rPr>
        <w:t>))</w:t>
      </w:r>
      <w:r>
        <w:rPr>
          <w:rStyle w:val="FootnoteAnchor"/>
          <w:rtl w:val="true"/>
        </w:rPr>
        <w:footnoteReference w:id="83"/>
      </w:r>
      <w:bookmarkStart w:id="71" w:name="pg8187_113127"/>
    </w:p>
    <w:p>
      <w:pPr>
        <w:pStyle w:val="Heading2"/>
        <w:numPr>
          <w:ilvl w:val="1"/>
          <w:numId w:val="1"/>
        </w:numPr>
        <w:rPr/>
      </w:pPr>
      <w:bookmarkStart w:id="72" w:name="__RefHeading___Toc8830406_1051229030"/>
      <w:bookmarkStart w:id="73" w:name="_Toc24"/>
      <w:bookmarkEnd w:id="71"/>
      <w:bookmarkEnd w:id="72"/>
      <w:r>
        <w:rPr>
          <w:rtl w:val="true"/>
        </w:rPr>
        <w:t>الخاتمة</w:t>
      </w:r>
      <w:bookmarkEnd w:id="73"/>
    </w:p>
    <w:p>
      <w:pPr>
        <w:pStyle w:val="BookText"/>
        <w:rPr/>
      </w:pPr>
      <w:r>
        <w:rPr>
          <w:rFonts w:ascii="Amiri" w:hAnsi="Amiri" w:eastAsia="Amiri" w:cs="Amiri"/>
          <w:color w:val="111111"/>
          <w:sz w:val="28"/>
          <w:sz w:val="28"/>
          <w:szCs w:val="28"/>
          <w:rtl w:val="true"/>
          <w:lang w:bidi="ar-SA"/>
        </w:rPr>
        <w:t>وما توصل إليه الباحث من نتائج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يوجد تعریف ثابت لمفهوم حقوق الإنسان فيتغير باختلاف وتغير متطلبان الإنسان على مدى العصور والأزمان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كانت هذه هي حقوق الإنسان کما أرادها الإمام عليه السلام؛ فحقوق الإنسان لم ولن تُطبق ولم تجد لها مصداقاً غَيرَ اهل البيت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توصل الباحث إلى أن هناك فرق بين حقوق الإنسان بصورة عامة، وحقوق المواطن بصورة أخص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العهد وهذا الكتاب وما جاء فيه من وصايا تاريخية ودستور واضح، خطاب عالمي موجه لجميع الحكام مسلمين وغير مسلمين إلى يوم القيامة،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أكثر من ذلك، هو متوجه لكل إنسان بكل ألوانه؛ لأن المورد لا يخصص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یعبرون في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العبرة بعموم اللفظ لا بخصوص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عليه السلام هو القرآن الناطق فكلامه يجري في الماضين والباقين، فعن الامام الباقر عليه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حيٌ لا يموت، والآية حيةٌ لا تموت، فلو كانت الآية إذا نزلت في الاقوام وماتوا ماتت الآية، لمات القرآن ولكن هي جارية في الباقين کا جرت في الماضين</w:t>
      </w:r>
      <w:r>
        <w:rPr>
          <w:rFonts w:eastAsia="IRNazanin" w:cs="IRNazanin"/>
          <w:color w:val="111111"/>
          <w:sz w:val="28"/>
          <w:szCs w:val="28"/>
          <w:rtl w:val="true"/>
          <w:lang w:bidi="fa-IR"/>
        </w:rPr>
        <w:t>))</w:t>
      </w:r>
      <w:r>
        <w:rPr>
          <w:rStyle w:val="FootnoteAnchor"/>
        </w:rPr>
        <w:footnoteReference w:id="8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حرية الفكر والعقيدة، وحق التعايش السلمي المتمثل بقول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أثبتا أن میثاق حقوق الإنسان للأمم المتحدة، لم يتوصل إلى </w:t>
      </w:r>
    </w:p>
    <w:p>
      <w:pPr>
        <w:pStyle w:val="BookText"/>
        <w:rPr/>
      </w:pPr>
      <w:r>
        <w:rPr>
          <w:rFonts w:ascii="Amiri" w:hAnsi="Amiri" w:eastAsia="Amiri" w:cs="Amiri"/>
          <w:color w:val="111111"/>
          <w:sz w:val="28"/>
          <w:sz w:val="28"/>
          <w:szCs w:val="28"/>
          <w:rtl w:val="true"/>
          <w:lang w:bidi="ar-SA"/>
        </w:rPr>
        <w:t>هذا المستوى وهذا المعنى، شعاراً وتطبيقاً، وقصة الإمام عليه السلام مع النصراني المكفوف مما يؤيد هذا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الإمام عليه السلام في شوارع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بشخص يتكفف وهو شيخ كبير السن، فوقف عليه السلام متعجباً 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ولم يقل من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يعقل، أي إنه عليه السلام رأى شيئاً عجيباً يستحق أن يتعجب منه، فقال أي شيء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نصراني قد كبر وعجز ويتكفّف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کبر وعجز تركتموه، اجروا له من بيت المال راتباً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74" w:name="pg8187_113130"/>
    </w:p>
    <w:p>
      <w:pPr>
        <w:pStyle w:val="Heading2"/>
        <w:numPr>
          <w:ilvl w:val="1"/>
          <w:numId w:val="1"/>
        </w:numPr>
        <w:rPr/>
      </w:pPr>
      <w:bookmarkStart w:id="75" w:name="__RefHeading___Toc8830408_1051229030"/>
      <w:bookmarkStart w:id="76" w:name="_Toc25"/>
      <w:bookmarkEnd w:id="74"/>
      <w:bookmarkEnd w:id="75"/>
      <w:r>
        <w:rPr>
          <w:rtl w:val="true"/>
        </w:rPr>
        <w:t>ثبت المصادر والمراجع</w:t>
      </w:r>
      <w:bookmarkEnd w:id="76"/>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دار إحياء الكتب العربية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حجر،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الأفريقي المصري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أبو عبد الله الجعفي،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المختصر المعروف بصحيح البخاري،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دار ابن كثير،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أحمد بن الحسين بن علي بن موسی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الكبری، بیروت، دار الفكر،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التستري، الشيخ محمد تقي بن كاظم بن محمد علي بن الشيخ جعفر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في شرح نهج البلاغة، مؤسسة نهج البلاغة،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السيد الشريف علي بن محمد،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التعريفات، تحقيق محمد صديق المنشاوي، دار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جورج، و علي صوت العدالة الإنسانية، الأندلس،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نجاح عبيد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سيرته والحضارة الاسلامية في عصره، أطروحة دكتوراه، جامعة سانت كلمنت، مكتب كركوك،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خوئي، هو العلامة المؤيد المسدّد المتبحر الأديب الحاج میر حبیب الله بن السيد محمّد الملقب بأمين الرعايا ابن السيد هاشم بن السيّد عبد الحسين، 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مصدر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 مصطفى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الفقهي العام،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 غسان، معاصر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عند الإمام علي بن أبي طالب </w:t>
      </w:r>
    </w:p>
    <w:p>
      <w:pPr>
        <w:pStyle w:val="BookText"/>
        <w:rPr/>
      </w:pPr>
      <w:r>
        <w:rPr>
          <w:rFonts w:ascii="Amiri" w:hAnsi="Amiri" w:eastAsia="Amiri" w:cs="Amiri"/>
          <w:color w:val="111111"/>
          <w:sz w:val="28"/>
          <w:sz w:val="28"/>
          <w:szCs w:val="28"/>
          <w:rtl w:val="true"/>
          <w:lang w:bidi="ar-SA"/>
        </w:rPr>
        <w:t xml:space="preserve">عليه السلام رؤية علمية، الطبعة الثانية،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الحسين بن موسی بن محمد بن موسی بن إبراهيم بن الإمام موسى الكاظم عليه السلام 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 ما اختاره الشريف الرضي من كلام سيدنا أمير المؤمنين علي بن أبي طالب عليه السلام شرح الأستاذ الشيخ محمد عبده مفتي الديار المصرية،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أبي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صححه وعلق عليه على اكبر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عيسوي، أحمد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للفقه الإسلامي، مطبعة دار التأليف۔ 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مجذوب، دكتور محمد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والحريات الأساسية، لبنان، جروس برس،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مواقع شبكة الانترنت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ويكيبيديا </w:t>
      </w:r>
      <w:r>
        <w:rPr>
          <w:rFonts w:eastAsia="Times New Roman" w:cs="Times New Roman" w:ascii="Times New Roman" w:hAnsi="Times New Roman"/>
          <w:color w:val="111111"/>
          <w:sz w:val="28"/>
          <w:szCs w:val="28"/>
          <w:lang w:val="en-US" w:bidi="en-US"/>
        </w:rPr>
        <w:t>https://ar.wikipedia org/wiki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موقع ويكي شيعة،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http://ar.wikishia net/view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موقع الشيرازي، </w:t>
      </w:r>
      <w:r>
        <w:rPr>
          <w:rFonts w:eastAsia="Times New Roman" w:cs="Times New Roman" w:ascii="Times New Roman" w:hAnsi="Times New Roman"/>
          <w:color w:val="111111"/>
          <w:sz w:val="28"/>
          <w:szCs w:val="28"/>
          <w:lang w:val="en-US" w:bidi="en-US"/>
        </w:rPr>
        <w:t>com.alshirazi//:http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الأقراص والكتب الإلكترونية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المكتبة الشاملة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 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اختيار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بالكلمات المفتاحية الرئيسة لعنوان البحث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Keywords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وبيانها لغةً واصطلاحاً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وتعاطيه مع حقوق الإنسان خارج هذا العهد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تأريخية مختصرة عن حياة مالك الأشتر وعهده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العهد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العهد وسبب اختيار مالك لولاية مصر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التعايش السلمي للإنسان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الإنسان في الحرية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حرية العقيدة وعبادة الله تعالى</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حرية التعبير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العدل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وهو مجموع ما اختاره الشريف الرضي من كلام أمير المؤمنين علي بن أبي طالب عليه السلام شرح الشيخ محمد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معجم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عيسوي، أحمد، المدخل للفقه الإسلامي،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وحقوق الإنسان،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محمد، ص </w:t>
      </w:r>
      <w:r>
        <w:rPr>
          <w:rFonts w:eastAsia="IRNazanin" w:cs="IRNazanin"/>
          <w:b w:val="false"/>
          <w:bCs w:val="false"/>
          <w:i w:val="false"/>
          <w:iCs w:val="false"/>
          <w:color w:val="333333"/>
          <w:sz w:val="20"/>
          <w:szCs w:val="20"/>
        </w:rPr>
        <w:t>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ويكيبيديا </w:t>
      </w:r>
      <w:r>
        <w:rPr>
          <w:rFonts w:eastAsia="IRNazanin" w:cs="IRNazanin"/>
          <w:b w:val="false"/>
          <w:bCs w:val="false"/>
          <w:i w:val="false"/>
          <w:iCs w:val="false"/>
          <w:color w:val="333333"/>
          <w:sz w:val="20"/>
          <w:szCs w:val="20"/>
        </w:rPr>
        <w:t>https: //ar.wikipedia.org-/wiki</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 مصطفى أحمد، 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مجذوب، محمد سعید، حقوق الإنسان والحريات الأساسية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عليه السلام، نهج البلاغة، وهو مجموع ما اختاره الشريف الرضي من كلام أمير المؤمنين علي بن أبي طالب عليه السلام شرح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لامام علي عليه السلام، نهج البلاغة، وهو مجموع ما اختاره الشريف الرضي من كلام أمير المؤمنين علي بن أبي طالب عليه السلام شرح الشيخ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وهو مجموع ما اختاره الشريف الرضي من كلام أمير المؤمنين علي بن أبي طالب عليه السلام 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حسون، نجاح عبيد، مالك الأشتر، سيرته والحضارة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 نجاح عبید، 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والحضارة الاسلامية، ص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نهج البلاغة، وهو مجموع ما اختاره الشريف الرضي من كلام أمير المؤمنين علي بن أبي طالب عليه السلام شرح الشيخ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http://ar.wikishia.net/view</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يُذكَر إن الأمين العام السابق للأمم المتحدة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لوضع هذا الشعار الدال على التعايش السلمي في منظمة الأمم،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مالك إن الناس صنفان إما أخ لك في الدين أو نظير لك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يجب أن تعلَّق على كلّ المنظمات، وهي عبارة يجب أن تنشدها البشرية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أشهر اقترح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هناك مداولة قانونية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علي إلى مالك الأشتر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علي صوت العدالة الإنسانية،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علي صوت العدالة الإنسانية، ص </w:t>
      </w:r>
      <w:r>
        <w:rPr>
          <w:rFonts w:eastAsia="IRNazanin" w:cs="IRNazanin"/>
          <w:b w:val="false"/>
          <w:bCs w:val="false"/>
          <w:i w:val="false"/>
          <w:iCs w:val="false"/>
          <w:color w:val="333333"/>
          <w:sz w:val="20"/>
          <w:szCs w:val="20"/>
        </w:rPr>
        <w:t>194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الشيرازي، </w:t>
      </w:r>
      <w:r>
        <w:rPr>
          <w:rFonts w:eastAsia="IRNazanin" w:cs="IRNazanin"/>
          <w:b w:val="false"/>
          <w:bCs w:val="false"/>
          <w:i w:val="false"/>
          <w:iCs w:val="false"/>
          <w:color w:val="333333"/>
          <w:sz w:val="20"/>
          <w:szCs w:val="20"/>
        </w:rPr>
        <w:t>http://alshirazi.com</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غسان، حقوق الانسان عند الإمام علي بن أبي طالب عليه السلام رؤية علمية، ص </w:t>
      </w:r>
      <w:r>
        <w:rPr>
          <w:rFonts w:eastAsia="IRNazanin" w:cs="IRNazanin"/>
          <w:b w:val="false"/>
          <w:bCs w:val="false"/>
          <w:i w:val="false"/>
          <w:iCs w:val="false"/>
          <w:color w:val="333333"/>
          <w:sz w:val="20"/>
          <w:szCs w:val="20"/>
        </w:rPr>
        <w:t>115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خوئي، حبيب الله، میر، منهاج البراعة في شرح نهج البلاغة، ج، ص </w:t>
      </w:r>
      <w:r>
        <w:rPr>
          <w:rFonts w:eastAsia="IRNazanin" w:cs="IRNazanin"/>
          <w:b w:val="false"/>
          <w:bCs w:val="false"/>
          <w:i w:val="false"/>
          <w:iCs w:val="false"/>
          <w:color w:val="333333"/>
          <w:sz w:val="20"/>
          <w:szCs w:val="20"/>
        </w:rPr>
        <w:t>226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مصدر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مصدر سابق،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الشّيخ محمّد تقي بهج الصباغة في شرح نهج البلاغة، ج، ص </w:t>
      </w:r>
      <w:r>
        <w:rPr>
          <w:rFonts w:eastAsia="IRNazanin" w:cs="IRNazanin"/>
          <w:b w:val="false"/>
          <w:bCs w:val="false"/>
          <w:i w:val="false"/>
          <w:iCs w:val="false"/>
          <w:color w:val="333333"/>
          <w:sz w:val="20"/>
          <w:szCs w:val="20"/>
        </w:rPr>
        <w:t>548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الشيخ محمد عبده، ص </w:t>
      </w:r>
      <w:r>
        <w:rPr>
          <w:rFonts w:eastAsia="IRNazanin" w:cs="IRNazanin"/>
          <w:b w:val="false"/>
          <w:bCs w:val="false"/>
          <w:i w:val="false"/>
          <w:iCs w:val="false"/>
          <w:color w:val="333333"/>
          <w:sz w:val="20"/>
          <w:szCs w:val="20"/>
        </w:rPr>
        <w:t>116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ابو بکر احمد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غسان، حقوق الانسان عند الإمام علي بن أبي طالب عليه السلام رؤية علمية،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عليه السلام، نهج البلاغة، 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المحدث الجليل ابي النضر محمد بن مسعود بن عياش،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9593</Words>
  <Characters>43210</Characters>
  <CharactersWithSpaces>52449</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2026-08-27T15:09:40Z</dcterms:created>
  <dc:creator>ghaemiyeh.com</dc:creator>
  <dc:description/>
  <dc:language>en-US</dc:language>
  <cp:lastModifiedBy/>
  <dcterms:modified xsi:type="dcterms:W3CDTF">2026-08-27T18:40:49Z</dcterms:modified>
  <cp:revision>1</cp:revision>
  <dc:subject/>
  <dc:title>مبادئ حقوق الإنسان فی ضوء عهد الإمام علی علیه السلام لمالک الأشتر رحمه الله</dc:title>
</cp:coreProperties>
</file>

<file path=docProps/custom.xml><?xml version="1.0" encoding="utf-8"?>
<Properties xmlns="http://schemas.openxmlformats.org/officeDocument/2006/custom-properties" xmlns:vt="http://schemas.openxmlformats.org/officeDocument/2006/docPropsVTypes"/>
</file>