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20</w:t>
      </w:r>
      <w:r>
        <w:rPr>
          <w:rtl w:val="true"/>
        </w:rPr>
        <w:t xml:space="preserve"> </w:t>
      </w:r>
      <w:r>
        <w:rPr>
          <w:rtl w:val="true"/>
        </w:rPr>
        <w:t>الرسالات الفقیة و الاصولیة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40194_105122903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940196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940198_1051229030">
            <w:r>
              <w:rPr>
                <w:webHidden/>
                <w:rStyle w:val="IndexLink"/>
                <w:rtl w:val="true"/>
              </w:rPr>
              <w:t>مقدّمة التحقيق</w:t>
            </w:r>
            <w:r>
              <w:rPr>
                <w:rStyle w:val="IndexLink"/>
                <w:rtl w:val="true"/>
              </w:rPr>
              <w:tab/>
            </w:r>
            <w:r>
              <w:rPr>
                <w:rStyle w:val="IndexLink"/>
              </w:rPr>
              <w:t>11</w:t>
            </w:r>
          </w:hyperlink>
        </w:p>
        <w:p>
          <w:pPr>
            <w:pStyle w:val="Contents3"/>
            <w:tabs>
              <w:tab w:val="clear" w:pos="8459"/>
              <w:tab w:val="right" w:pos="9026" w:leader="dot"/>
            </w:tabs>
            <w:rPr/>
          </w:pPr>
          <w:hyperlink w:anchor="__RefHeading___Toc7940200_105122903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7940202_1051229030">
            <w:r>
              <w:rPr>
                <w:webHidden/>
                <w:rStyle w:val="IndexLink"/>
                <w:rtl w:val="true"/>
              </w:rPr>
              <w:t>فروع العلم الإجمالي</w:t>
            </w:r>
            <w:r>
              <w:rPr>
                <w:rStyle w:val="IndexLink"/>
                <w:rtl w:val="true"/>
              </w:rPr>
              <w:tab/>
            </w:r>
            <w:r>
              <w:rPr>
                <w:rStyle w:val="IndexLink"/>
              </w:rPr>
              <w:t>12</w:t>
            </w:r>
          </w:hyperlink>
        </w:p>
        <w:p>
          <w:pPr>
            <w:pStyle w:val="Contents3"/>
            <w:tabs>
              <w:tab w:val="clear" w:pos="8459"/>
              <w:tab w:val="right" w:pos="9026" w:leader="dot"/>
            </w:tabs>
            <w:rPr/>
          </w:pPr>
          <w:hyperlink w:anchor="__RefHeading___Toc7940204_1051229030">
            <w:r>
              <w:rPr>
                <w:webHidden/>
                <w:rStyle w:val="IndexLink"/>
                <w:rtl w:val="true"/>
              </w:rPr>
              <w:t>تنبيه</w:t>
            </w:r>
            <w:r>
              <w:rPr>
                <w:rStyle w:val="IndexLink"/>
                <w:rtl w:val="true"/>
              </w:rPr>
              <w:tab/>
            </w:r>
            <w:r>
              <w:rPr>
                <w:rStyle w:val="IndexLink"/>
              </w:rPr>
              <w:t>12</w:t>
            </w:r>
          </w:hyperlink>
        </w:p>
        <w:p>
          <w:pPr>
            <w:pStyle w:val="Contents3"/>
            <w:tabs>
              <w:tab w:val="clear" w:pos="8459"/>
              <w:tab w:val="right" w:pos="9026" w:leader="dot"/>
            </w:tabs>
            <w:rPr/>
          </w:pPr>
          <w:hyperlink w:anchor="__RefHeading___Toc7940206_1051229030">
            <w:r>
              <w:rPr>
                <w:webHidden/>
                <w:rStyle w:val="IndexLink"/>
                <w:rtl w:val="true"/>
              </w:rPr>
              <w:t>الفوائد الخمس</w:t>
            </w:r>
            <w:r>
              <w:rPr>
                <w:rStyle w:val="IndexLink"/>
                <w:rtl w:val="true"/>
              </w:rPr>
              <w:tab/>
            </w:r>
            <w:r>
              <w:rPr>
                <w:rStyle w:val="IndexLink"/>
              </w:rPr>
              <w:t>13</w:t>
            </w:r>
          </w:hyperlink>
        </w:p>
        <w:p>
          <w:pPr>
            <w:pStyle w:val="Contents3"/>
            <w:tabs>
              <w:tab w:val="clear" w:pos="8459"/>
              <w:tab w:val="right" w:pos="9026" w:leader="dot"/>
            </w:tabs>
            <w:rPr/>
          </w:pPr>
          <w:hyperlink w:anchor="__RefHeading___Toc7940208_1051229030">
            <w:r>
              <w:rPr>
                <w:webHidden/>
                <w:rStyle w:val="IndexLink"/>
                <w:rtl w:val="true"/>
              </w:rPr>
              <w:t>وجيزتان</w:t>
            </w:r>
            <w:r>
              <w:rPr>
                <w:rStyle w:val="IndexLink"/>
                <w:rtl w:val="true"/>
              </w:rPr>
              <w:tab/>
            </w:r>
            <w:r>
              <w:rPr>
                <w:rStyle w:val="IndexLink"/>
              </w:rPr>
              <w:t>14</w:t>
            </w:r>
          </w:hyperlink>
        </w:p>
        <w:p>
          <w:pPr>
            <w:pStyle w:val="Contents4"/>
            <w:tabs>
              <w:tab w:val="clear" w:pos="8176"/>
              <w:tab w:val="right" w:pos="9026" w:leader="dot"/>
            </w:tabs>
            <w:rPr/>
          </w:pPr>
          <w:hyperlink w:anchor="__RefHeading___Toc7940210_105122903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7940212_1051229030">
            <w:r>
              <w:rPr>
                <w:webHidden/>
                <w:rStyle w:val="IndexLink"/>
              </w:rPr>
              <w:t>1</w:t>
            </w:r>
            <w:r>
              <w:rPr>
                <w:rStyle w:val="IndexLink"/>
                <w:rtl w:val="true"/>
              </w:rPr>
              <w:t xml:space="preserve"> - </w:t>
            </w:r>
            <w:r>
              <w:rPr>
                <w:rStyle w:val="IndexLink"/>
                <w:rtl w:val="true"/>
              </w:rPr>
              <w:t>تعليقة على رسالة التقابل</w:t>
            </w:r>
            <w:r>
              <w:rPr>
                <w:rStyle w:val="IndexLink"/>
                <w:rtl w:val="true"/>
              </w:rPr>
              <w:tab/>
            </w:r>
            <w:r>
              <w:rPr>
                <w:rStyle w:val="IndexLink"/>
              </w:rPr>
              <w:t>14</w:t>
            </w:r>
          </w:hyperlink>
        </w:p>
        <w:p>
          <w:pPr>
            <w:pStyle w:val="Contents4"/>
            <w:tabs>
              <w:tab w:val="clear" w:pos="8176"/>
              <w:tab w:val="right" w:pos="9026" w:leader="dot"/>
            </w:tabs>
            <w:rPr/>
          </w:pPr>
          <w:hyperlink w:anchor="__RefHeading___Toc7940214_1051229030">
            <w:r>
              <w:rPr>
                <w:webHidden/>
                <w:rStyle w:val="IndexLink"/>
              </w:rPr>
              <w:t>2</w:t>
            </w:r>
            <w:r>
              <w:rPr>
                <w:rStyle w:val="IndexLink"/>
                <w:rtl w:val="true"/>
              </w:rPr>
              <w:t xml:space="preserve"> - </w:t>
            </w:r>
            <w:r>
              <w:rPr>
                <w:rStyle w:val="IndexLink"/>
                <w:rtl w:val="true"/>
              </w:rPr>
              <w:t>الذباحة الشرعية</w:t>
            </w:r>
            <w:r>
              <w:rPr>
                <w:rStyle w:val="IndexLink"/>
                <w:rtl w:val="true"/>
              </w:rPr>
              <w:tab/>
            </w:r>
            <w:r>
              <w:rPr>
                <w:rStyle w:val="IndexLink"/>
              </w:rPr>
              <w:t>14</w:t>
            </w:r>
          </w:hyperlink>
        </w:p>
        <w:p>
          <w:pPr>
            <w:pStyle w:val="Contents3"/>
            <w:tabs>
              <w:tab w:val="clear" w:pos="8459"/>
              <w:tab w:val="right" w:pos="9026" w:leader="dot"/>
            </w:tabs>
            <w:rPr/>
          </w:pPr>
          <w:hyperlink w:anchor="__RefHeading___Toc7940216_1051229030">
            <w:r>
              <w:rPr>
                <w:webHidden/>
                <w:rStyle w:val="IndexLink"/>
                <w:rtl w:val="true"/>
              </w:rPr>
              <w:t>الضميمة</w:t>
            </w:r>
            <w:r>
              <w:rPr>
                <w:rStyle w:val="IndexLink"/>
                <w:rtl w:val="true"/>
              </w:rPr>
              <w:t xml:space="preserve">: </w:t>
            </w:r>
            <w:r>
              <w:rPr>
                <w:rStyle w:val="IndexLink"/>
                <w:rtl w:val="true"/>
              </w:rPr>
              <w:t>ثلاث فوائد</w:t>
            </w:r>
            <w:r>
              <w:rPr>
                <w:rStyle w:val="IndexLink"/>
                <w:rtl w:val="true"/>
              </w:rPr>
              <w:tab/>
            </w:r>
            <w:r>
              <w:rPr>
                <w:rStyle w:val="IndexLink"/>
              </w:rPr>
              <w:t>15</w:t>
            </w:r>
          </w:hyperlink>
        </w:p>
        <w:p>
          <w:pPr>
            <w:pStyle w:val="Contents3"/>
            <w:tabs>
              <w:tab w:val="clear" w:pos="8459"/>
              <w:tab w:val="right" w:pos="9026" w:leader="dot"/>
            </w:tabs>
            <w:rPr/>
          </w:pPr>
          <w:hyperlink w:anchor="__RefHeading___Toc7940218_1051229030">
            <w:r>
              <w:rPr>
                <w:webHidden/>
                <w:rStyle w:val="IndexLink"/>
                <w:rtl w:val="true"/>
              </w:rPr>
              <w:t>منهجنا في التحقيق</w:t>
            </w:r>
            <w:r>
              <w:rPr>
                <w:rStyle w:val="IndexLink"/>
                <w:rtl w:val="true"/>
              </w:rPr>
              <w:tab/>
            </w:r>
            <w:r>
              <w:rPr>
                <w:rStyle w:val="IndexLink"/>
              </w:rPr>
              <w:t>15</w:t>
            </w:r>
          </w:hyperlink>
        </w:p>
        <w:p>
          <w:pPr>
            <w:pStyle w:val="Contents2"/>
            <w:tabs>
              <w:tab w:val="clear" w:pos="8743"/>
              <w:tab w:val="right" w:pos="9026" w:leader="dot"/>
            </w:tabs>
            <w:rPr/>
          </w:pPr>
          <w:hyperlink w:anchor="__RefHeading___Toc7940220_1051229030">
            <w:r>
              <w:rPr>
                <w:webHidden/>
                <w:rStyle w:val="IndexLink"/>
                <w:rtl w:val="true"/>
              </w:rPr>
              <w:t>التقيّة</w:t>
            </w:r>
            <w:r>
              <w:rPr>
                <w:rStyle w:val="IndexLink"/>
                <w:rtl w:val="true"/>
              </w:rPr>
              <w:tab/>
            </w:r>
            <w:r>
              <w:rPr>
                <w:rStyle w:val="IndexLink"/>
              </w:rPr>
              <w:t>19</w:t>
            </w:r>
          </w:hyperlink>
        </w:p>
        <w:p>
          <w:pPr>
            <w:pStyle w:val="Contents3"/>
            <w:tabs>
              <w:tab w:val="clear" w:pos="8459"/>
              <w:tab w:val="right" w:pos="9026" w:leader="dot"/>
            </w:tabs>
            <w:rPr/>
          </w:pPr>
          <w:hyperlink w:anchor="__RefHeading___Toc7940222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7940224_1051229030">
            <w:r>
              <w:rPr>
                <w:webHidden/>
                <w:rStyle w:val="IndexLink"/>
                <w:rtl w:val="true"/>
              </w:rPr>
              <w:t>المبحث الأوّل</w:t>
            </w:r>
            <w:r>
              <w:rPr>
                <w:rStyle w:val="IndexLink"/>
                <w:rtl w:val="true"/>
              </w:rPr>
              <w:t xml:space="preserve">: </w:t>
            </w:r>
            <w:r>
              <w:rPr>
                <w:rStyle w:val="IndexLink"/>
                <w:rtl w:val="true"/>
              </w:rPr>
              <w:t>في أقسام التقيّة وأحكامها</w:t>
            </w:r>
            <w:r>
              <w:rPr>
                <w:rStyle w:val="IndexLink"/>
                <w:rtl w:val="true"/>
              </w:rPr>
              <w:tab/>
            </w:r>
            <w:r>
              <w:rPr>
                <w:rStyle w:val="IndexLink"/>
              </w:rPr>
              <w:t>23</w:t>
            </w:r>
          </w:hyperlink>
        </w:p>
        <w:p>
          <w:pPr>
            <w:pStyle w:val="Contents4"/>
            <w:tabs>
              <w:tab w:val="clear" w:pos="8176"/>
              <w:tab w:val="right" w:pos="9026" w:leader="dot"/>
            </w:tabs>
            <w:rPr/>
          </w:pPr>
          <w:hyperlink w:anchor="__RefHeading___Toc7940226_105122903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7940228_1051229030">
            <w:r>
              <w:rPr>
                <w:webHidden/>
                <w:rStyle w:val="IndexLink"/>
                <w:rtl w:val="true"/>
              </w:rPr>
              <w:t xml:space="preserve">منها </w:t>
            </w:r>
            <w:r>
              <w:rPr>
                <w:rStyle w:val="IndexLink"/>
                <w:rtl w:val="true"/>
              </w:rPr>
              <w:t xml:space="preserve">: </w:t>
            </w:r>
            <w:r>
              <w:rPr>
                <w:rStyle w:val="IndexLink"/>
                <w:rtl w:val="true"/>
              </w:rPr>
              <w:t>التقسيم بحسب ذاتها</w:t>
            </w:r>
            <w:r>
              <w:rPr>
                <w:rStyle w:val="IndexLink"/>
                <w:rtl w:val="true"/>
              </w:rPr>
              <w:tab/>
            </w:r>
            <w:r>
              <w:rPr>
                <w:rStyle w:val="IndexLink"/>
              </w:rPr>
              <w:t>23</w:t>
            </w:r>
          </w:hyperlink>
        </w:p>
        <w:p>
          <w:pPr>
            <w:pStyle w:val="Contents4"/>
            <w:tabs>
              <w:tab w:val="clear" w:pos="8176"/>
              <w:tab w:val="right" w:pos="9026" w:leader="dot"/>
            </w:tabs>
            <w:rPr/>
          </w:pPr>
          <w:hyperlink w:anchor="__RefHeading___Toc7940230_1051229030">
            <w:r>
              <w:rPr>
                <w:webHidden/>
                <w:rStyle w:val="IndexLink"/>
                <w:rtl w:val="true"/>
              </w:rPr>
              <w:t xml:space="preserve">ومنها </w:t>
            </w:r>
            <w:r>
              <w:rPr>
                <w:rStyle w:val="IndexLink"/>
                <w:rtl w:val="true"/>
              </w:rPr>
              <w:t xml:space="preserve">: </w:t>
            </w:r>
            <w:r>
              <w:rPr>
                <w:rStyle w:val="IndexLink"/>
                <w:rtl w:val="true"/>
              </w:rPr>
              <w:t>التقسيم بحسب المتّقي</w:t>
            </w:r>
            <w:r>
              <w:rPr>
                <w:rStyle w:val="IndexLink"/>
                <w:rtl w:val="true"/>
              </w:rPr>
              <w:tab/>
            </w:r>
            <w:r>
              <w:rPr>
                <w:rStyle w:val="IndexLink"/>
              </w:rPr>
              <w:t>24</w:t>
            </w:r>
          </w:hyperlink>
        </w:p>
        <w:p>
          <w:pPr>
            <w:pStyle w:val="Contents4"/>
            <w:tabs>
              <w:tab w:val="clear" w:pos="8176"/>
              <w:tab w:val="right" w:pos="9026" w:leader="dot"/>
            </w:tabs>
            <w:rPr/>
          </w:pPr>
          <w:hyperlink w:anchor="__RefHeading___Toc7940232_1051229030">
            <w:r>
              <w:rPr>
                <w:webHidden/>
                <w:rStyle w:val="IndexLink"/>
                <w:rtl w:val="true"/>
              </w:rPr>
              <w:t xml:space="preserve">ومنها </w:t>
            </w:r>
            <w:r>
              <w:rPr>
                <w:rStyle w:val="IndexLink"/>
                <w:rtl w:val="true"/>
              </w:rPr>
              <w:t xml:space="preserve">: </w:t>
            </w:r>
            <w:r>
              <w:rPr>
                <w:rStyle w:val="IndexLink"/>
                <w:rtl w:val="true"/>
              </w:rPr>
              <w:t>التقسيم بحسب المتّقى منه</w:t>
            </w:r>
            <w:r>
              <w:rPr>
                <w:rStyle w:val="IndexLink"/>
                <w:rtl w:val="true"/>
              </w:rPr>
              <w:tab/>
            </w:r>
            <w:r>
              <w:rPr>
                <w:rStyle w:val="IndexLink"/>
              </w:rPr>
              <w:t>25</w:t>
            </w:r>
          </w:hyperlink>
        </w:p>
        <w:p>
          <w:pPr>
            <w:pStyle w:val="Contents4"/>
            <w:tabs>
              <w:tab w:val="clear" w:pos="8176"/>
              <w:tab w:val="right" w:pos="9026" w:leader="dot"/>
            </w:tabs>
            <w:rPr/>
          </w:pPr>
          <w:hyperlink w:anchor="__RefHeading___Toc7940234_1051229030">
            <w:r>
              <w:rPr>
                <w:webHidden/>
                <w:rStyle w:val="IndexLink"/>
                <w:rtl w:val="true"/>
              </w:rPr>
              <w:t xml:space="preserve">ومنها </w:t>
            </w:r>
            <w:r>
              <w:rPr>
                <w:rStyle w:val="IndexLink"/>
                <w:rtl w:val="true"/>
              </w:rPr>
              <w:t xml:space="preserve">: </w:t>
            </w:r>
            <w:r>
              <w:rPr>
                <w:rStyle w:val="IndexLink"/>
                <w:rtl w:val="true"/>
              </w:rPr>
              <w:t>التقسيم بحسب المتّقى فيه</w:t>
            </w:r>
            <w:r>
              <w:rPr>
                <w:rStyle w:val="IndexLink"/>
                <w:rtl w:val="true"/>
              </w:rPr>
              <w:tab/>
            </w:r>
            <w:r>
              <w:rPr>
                <w:rStyle w:val="IndexLink"/>
              </w:rPr>
              <w:t>25</w:t>
            </w:r>
          </w:hyperlink>
        </w:p>
        <w:p>
          <w:pPr>
            <w:pStyle w:val="Contents4"/>
            <w:tabs>
              <w:tab w:val="clear" w:pos="8176"/>
              <w:tab w:val="right" w:pos="9026" w:leader="dot"/>
            </w:tabs>
            <w:rPr/>
          </w:pPr>
          <w:hyperlink w:anchor="__RefHeading___Toc7940236_1051229030">
            <w:r>
              <w:rPr>
                <w:webHidden/>
                <w:rStyle w:val="IndexLink"/>
                <w:rtl w:val="true"/>
              </w:rPr>
              <w:t>عموم أخبار التقيّة وإطلاقها</w:t>
            </w:r>
            <w:r>
              <w:rPr>
                <w:rStyle w:val="IndexLink"/>
                <w:rtl w:val="true"/>
              </w:rPr>
              <w:tab/>
            </w:r>
            <w:r>
              <w:rPr>
                <w:rStyle w:val="IndexLink"/>
              </w:rPr>
              <w:t>26</w:t>
            </w:r>
          </w:hyperlink>
        </w:p>
        <w:p>
          <w:pPr>
            <w:pStyle w:val="Contents4"/>
            <w:tabs>
              <w:tab w:val="clear" w:pos="8176"/>
              <w:tab w:val="right" w:pos="9026" w:leader="dot"/>
            </w:tabs>
            <w:rPr/>
          </w:pPr>
          <w:hyperlink w:anchor="__RefHeading___Toc7940238_1051229030">
            <w:r>
              <w:rPr>
                <w:webHidden/>
                <w:rStyle w:val="IndexLink"/>
                <w:rtl w:val="true"/>
              </w:rPr>
              <w:t>حول الموارد التي لا يجوز التقيّة فيها</w:t>
            </w:r>
            <w:r>
              <w:rPr>
                <w:rStyle w:val="IndexLink"/>
                <w:rtl w:val="true"/>
              </w:rPr>
              <w:t>:</w:t>
              <w:tab/>
            </w:r>
            <w:r>
              <w:rPr>
                <w:rStyle w:val="IndexLink"/>
              </w:rPr>
              <w:t>28</w:t>
            </w:r>
          </w:hyperlink>
        </w:p>
        <w:p>
          <w:pPr>
            <w:pStyle w:val="Contents5"/>
            <w:tabs>
              <w:tab w:val="clear" w:pos="7892"/>
              <w:tab w:val="right" w:pos="9026" w:leader="dot"/>
            </w:tabs>
            <w:rPr/>
          </w:pPr>
          <w:hyperlink w:anchor="__RefHeading___Toc7940240_1051229030">
            <w:r>
              <w:rPr>
                <w:webHidden/>
                <w:rStyle w:val="IndexLink"/>
                <w:rtl w:val="true"/>
              </w:rPr>
              <w:t xml:space="preserve">منها </w:t>
            </w:r>
            <w:r>
              <w:rPr>
                <w:rStyle w:val="IndexLink"/>
                <w:rtl w:val="true"/>
              </w:rPr>
              <w:t xml:space="preserve">: </w:t>
            </w:r>
            <w:r>
              <w:rPr>
                <w:rStyle w:val="IndexLink"/>
                <w:rtl w:val="true"/>
              </w:rPr>
              <w:t>بعض المحرّمات والواجبات</w:t>
            </w:r>
            <w:r>
              <w:rPr>
                <w:rStyle w:val="IndexLink"/>
                <w:rtl w:val="true"/>
              </w:rPr>
              <w:tab/>
            </w:r>
            <w:r>
              <w:rPr>
                <w:rStyle w:val="IndexLink"/>
              </w:rPr>
              <w:t>28</w:t>
            </w:r>
          </w:hyperlink>
        </w:p>
        <w:p>
          <w:pPr>
            <w:pStyle w:val="Contents5"/>
            <w:tabs>
              <w:tab w:val="clear" w:pos="7892"/>
              <w:tab w:val="right" w:pos="9026" w:leader="dot"/>
            </w:tabs>
            <w:rPr/>
          </w:pPr>
          <w:hyperlink w:anchor="__RefHeading___Toc7940242_1051229030">
            <w:r>
              <w:rPr>
                <w:webHidden/>
                <w:rStyle w:val="IndexLink"/>
                <w:rtl w:val="true"/>
              </w:rPr>
              <w:t xml:space="preserve">ومنها </w:t>
            </w:r>
            <w:r>
              <w:rPr>
                <w:rStyle w:val="IndexLink"/>
                <w:rtl w:val="true"/>
              </w:rPr>
              <w:t xml:space="preserve">: </w:t>
            </w:r>
            <w:r>
              <w:rPr>
                <w:rStyle w:val="IndexLink"/>
                <w:rtl w:val="true"/>
              </w:rPr>
              <w:t>المسح على الخفّين ومتعة الحجّ وشرب المسكر والنبيذ</w:t>
            </w:r>
            <w:r>
              <w:rPr>
                <w:rStyle w:val="IndexLink"/>
                <w:rtl w:val="true"/>
              </w:rPr>
              <w:tab/>
            </w:r>
            <w:r>
              <w:rPr>
                <w:rStyle w:val="IndexLink"/>
              </w:rPr>
              <w:t>29</w:t>
            </w:r>
          </w:hyperlink>
        </w:p>
        <w:p>
          <w:pPr>
            <w:pStyle w:val="Contents5"/>
            <w:tabs>
              <w:tab w:val="clear" w:pos="7892"/>
              <w:tab w:val="right" w:pos="9026" w:leader="dot"/>
            </w:tabs>
            <w:rPr/>
          </w:pPr>
          <w:hyperlink w:anchor="__RefHeading___Toc7940244_1051229030">
            <w:r>
              <w:rPr>
                <w:webHidden/>
                <w:rStyle w:val="IndexLink"/>
                <w:rtl w:val="true"/>
              </w:rPr>
              <w:t xml:space="preserve">ومنها </w:t>
            </w:r>
            <w:r>
              <w:rPr>
                <w:rStyle w:val="IndexLink"/>
                <w:rtl w:val="true"/>
              </w:rPr>
              <w:t xml:space="preserve">: </w:t>
            </w:r>
            <w:r>
              <w:rPr>
                <w:rStyle w:val="IndexLink"/>
                <w:rtl w:val="true"/>
              </w:rPr>
              <w:t>الدماء</w:t>
            </w:r>
            <w:r>
              <w:rPr>
                <w:rStyle w:val="IndexLink"/>
                <w:rtl w:val="true"/>
              </w:rPr>
              <w:tab/>
            </w:r>
            <w:r>
              <w:rPr>
                <w:rStyle w:val="IndexLink"/>
              </w:rPr>
              <w:t>34</w:t>
            </w:r>
          </w:hyperlink>
        </w:p>
        <w:p>
          <w:pPr>
            <w:pStyle w:val="Contents5"/>
            <w:tabs>
              <w:tab w:val="clear" w:pos="7892"/>
              <w:tab w:val="right" w:pos="9026" w:leader="dot"/>
            </w:tabs>
            <w:rPr/>
          </w:pPr>
          <w:hyperlink w:anchor="__RefHeading___Toc7940246_1051229030">
            <w:r>
              <w:rPr>
                <w:webHidden/>
                <w:rStyle w:val="IndexLink"/>
                <w:rtl w:val="true"/>
              </w:rPr>
              <w:t xml:space="preserve">ومنها </w:t>
            </w:r>
            <w:r>
              <w:rPr>
                <w:rStyle w:val="IndexLink"/>
                <w:rtl w:val="true"/>
              </w:rPr>
              <w:t xml:space="preserve">: </w:t>
            </w:r>
            <w:r>
              <w:rPr>
                <w:rStyle w:val="IndexLink"/>
                <w:rtl w:val="true"/>
              </w:rPr>
              <w:t xml:space="preserve">البراءة من أمير المؤمنين وسائر الأئمّة علیهم السلام </w:t>
            </w:r>
            <w:r>
              <w:rPr>
                <w:rStyle w:val="IndexLink"/>
                <w:rtl w:val="true"/>
              </w:rPr>
              <w:t>.</w:t>
              <w:tab/>
            </w:r>
            <w:r>
              <w:rPr>
                <w:rStyle w:val="IndexLink"/>
              </w:rPr>
              <w:t>35</w:t>
            </w:r>
          </w:hyperlink>
        </w:p>
        <w:p>
          <w:pPr>
            <w:pStyle w:val="Contents3"/>
            <w:tabs>
              <w:tab w:val="clear" w:pos="8459"/>
              <w:tab w:val="right" w:pos="9026" w:leader="dot"/>
            </w:tabs>
            <w:rPr/>
          </w:pPr>
          <w:hyperlink w:anchor="__RefHeading___Toc7940248_1051229030">
            <w:r>
              <w:rPr>
                <w:webHidden/>
                <w:rStyle w:val="IndexLink"/>
                <w:rtl w:val="true"/>
              </w:rPr>
              <w:t>المبحث الثاني</w:t>
            </w:r>
            <w:r>
              <w:rPr>
                <w:rStyle w:val="IndexLink"/>
                <w:rtl w:val="true"/>
              </w:rPr>
              <w:t xml:space="preserve">: </w:t>
            </w:r>
            <w:r>
              <w:rPr>
                <w:rStyle w:val="IndexLink"/>
                <w:rtl w:val="true"/>
              </w:rPr>
              <w:t>في أنّ ترك التقيّة هل يفسد العمل أم لا ؟</w:t>
            </w:r>
            <w:r>
              <w:rPr>
                <w:rStyle w:val="IndexLink"/>
                <w:rtl w:val="true"/>
              </w:rPr>
              <w:tab/>
            </w:r>
            <w:r>
              <w:rPr>
                <w:rStyle w:val="IndexLink"/>
              </w:rPr>
              <w:t>41</w:t>
            </w:r>
          </w:hyperlink>
        </w:p>
        <w:p>
          <w:pPr>
            <w:pStyle w:val="Contents4"/>
            <w:tabs>
              <w:tab w:val="clear" w:pos="8176"/>
              <w:tab w:val="right" w:pos="9026" w:leader="dot"/>
            </w:tabs>
            <w:rPr/>
          </w:pPr>
          <w:hyperlink w:anchor="__RefHeading___Toc7940250_1051229030">
            <w:r>
              <w:rPr>
                <w:webHidden/>
                <w:rStyle w:val="IndexLink"/>
                <w:rtl w:val="true"/>
              </w:rPr>
              <w:t>في أقسام التقيّة المستفادة من الأخبار</w:t>
            </w:r>
            <w:r>
              <w:rPr>
                <w:rStyle w:val="IndexLink"/>
                <w:rtl w:val="true"/>
              </w:rPr>
              <w:tab/>
            </w:r>
            <w:r>
              <w:rPr>
                <w:rStyle w:val="IndexLink"/>
              </w:rPr>
              <w:t>41</w:t>
            </w:r>
          </w:hyperlink>
        </w:p>
        <w:p>
          <w:pPr>
            <w:pStyle w:val="Contents4"/>
            <w:tabs>
              <w:tab w:val="clear" w:pos="8176"/>
              <w:tab w:val="right" w:pos="9026" w:leader="dot"/>
            </w:tabs>
            <w:rPr/>
          </w:pPr>
          <w:hyperlink w:anchor="__RefHeading___Toc7940252_1051229030">
            <w:r>
              <w:rPr>
                <w:webHidden/>
                <w:rStyle w:val="IndexLink"/>
                <w:rtl w:val="true"/>
              </w:rPr>
              <w:t>تفصيل الشيخ الأعظم في المقام وبيان وجه الخدشة فيه</w:t>
            </w:r>
            <w:r>
              <w:rPr>
                <w:rStyle w:val="IndexLink"/>
                <w:rtl w:val="true"/>
              </w:rPr>
              <w:tab/>
            </w:r>
            <w:r>
              <w:rPr>
                <w:rStyle w:val="IndexLink"/>
              </w:rPr>
              <w:t>45</w:t>
            </w:r>
          </w:hyperlink>
        </w:p>
        <w:p>
          <w:pPr>
            <w:pStyle w:val="Contents3"/>
            <w:tabs>
              <w:tab w:val="clear" w:pos="8459"/>
              <w:tab w:val="right" w:pos="9026" w:leader="dot"/>
            </w:tabs>
            <w:rPr/>
          </w:pPr>
          <w:hyperlink w:anchor="__RefHeading___Toc7940254_1051229030">
            <w:r>
              <w:rPr>
                <w:webHidden/>
                <w:rStyle w:val="IndexLink"/>
                <w:rtl w:val="true"/>
              </w:rPr>
              <w:t xml:space="preserve">المبحث الثالث </w:t>
            </w:r>
            <w:r>
              <w:rPr>
                <w:rStyle w:val="IndexLink"/>
                <w:rtl w:val="true"/>
              </w:rPr>
              <w:t xml:space="preserve">: </w:t>
            </w:r>
            <w:r>
              <w:rPr>
                <w:rStyle w:val="IndexLink"/>
                <w:rtl w:val="true"/>
              </w:rPr>
              <w:t>في ذكر ما دلّ على الإجزاء في التقيّة</w:t>
            </w:r>
            <w:r>
              <w:rPr>
                <w:rStyle w:val="IndexLink"/>
                <w:rtl w:val="true"/>
              </w:rPr>
              <w:tab/>
            </w:r>
            <w:r>
              <w:rPr>
                <w:rStyle w:val="IndexLink"/>
              </w:rPr>
              <w:t>48</w:t>
            </w:r>
          </w:hyperlink>
        </w:p>
        <w:p>
          <w:pPr>
            <w:pStyle w:val="Contents4"/>
            <w:tabs>
              <w:tab w:val="clear" w:pos="8176"/>
              <w:tab w:val="right" w:pos="9026" w:leader="dot"/>
            </w:tabs>
            <w:rPr/>
          </w:pPr>
          <w:hyperlink w:anchor="__RefHeading___Toc7940256_105122903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7940258_1051229030">
            <w:r>
              <w:rPr>
                <w:webHidden/>
                <w:rStyle w:val="IndexLink"/>
                <w:rtl w:val="true"/>
              </w:rPr>
              <w:t>حول الأدلّة الدالّة على الإجزاء في التقيّة الاضطرارية</w:t>
            </w:r>
            <w:r>
              <w:rPr>
                <w:rStyle w:val="IndexLink"/>
                <w:rtl w:val="true"/>
              </w:rPr>
              <w:tab/>
            </w:r>
            <w:r>
              <w:rPr>
                <w:rStyle w:val="IndexLink"/>
              </w:rPr>
              <w:t>49</w:t>
            </w:r>
          </w:hyperlink>
        </w:p>
        <w:p>
          <w:pPr>
            <w:pStyle w:val="Contents4"/>
            <w:tabs>
              <w:tab w:val="clear" w:pos="8176"/>
              <w:tab w:val="right" w:pos="9026" w:leader="dot"/>
            </w:tabs>
            <w:rPr/>
          </w:pPr>
          <w:hyperlink w:anchor="__RefHeading___Toc7940260_1051229030">
            <w:r>
              <w:rPr>
                <w:webHidden/>
                <w:rStyle w:val="IndexLink"/>
                <w:rtl w:val="true"/>
              </w:rPr>
              <w:t>حول ما دلّت على الإجزاء فيما تقتضي التقيّة إتيان المأمور به على خلاف الحقّ</w:t>
            </w:r>
            <w:r>
              <w:rPr>
                <w:rStyle w:val="IndexLink"/>
                <w:rtl w:val="true"/>
              </w:rPr>
              <w:tab/>
            </w:r>
            <w:r>
              <w:rPr>
                <w:rStyle w:val="IndexLink"/>
              </w:rPr>
              <w:t>54</w:t>
            </w:r>
          </w:hyperlink>
        </w:p>
        <w:p>
          <w:pPr>
            <w:pStyle w:val="Contents4"/>
            <w:tabs>
              <w:tab w:val="clear" w:pos="8176"/>
              <w:tab w:val="right" w:pos="9026" w:leader="dot"/>
            </w:tabs>
            <w:rPr/>
          </w:pPr>
          <w:hyperlink w:anchor="__RefHeading___Toc7940262_1051229030">
            <w:r>
              <w:rPr>
                <w:webHidden/>
                <w:rStyle w:val="IndexLink"/>
                <w:rtl w:val="true"/>
              </w:rPr>
              <w:t>حول الأدلّة الدالّة على الإجزاء في التقيّة المداراتية</w:t>
            </w:r>
            <w:r>
              <w:rPr>
                <w:rStyle w:val="IndexLink"/>
                <w:rtl w:val="true"/>
              </w:rPr>
              <w:tab/>
            </w:r>
            <w:r>
              <w:rPr>
                <w:rStyle w:val="IndexLink"/>
              </w:rPr>
              <w:t>60</w:t>
            </w:r>
          </w:hyperlink>
        </w:p>
        <w:p>
          <w:pPr>
            <w:pStyle w:val="Contents4"/>
            <w:tabs>
              <w:tab w:val="clear" w:pos="8176"/>
              <w:tab w:val="right" w:pos="9026" w:leader="dot"/>
            </w:tabs>
            <w:rPr/>
          </w:pPr>
          <w:hyperlink w:anchor="__RefHeading___Toc7940264_1051229030">
            <w:r>
              <w:rPr>
                <w:webHidden/>
                <w:rStyle w:val="IndexLink"/>
                <w:rtl w:val="true"/>
              </w:rPr>
              <w:t>دلالة الأخبار على صحّة العمل ولو للاختلاف في الموضوعات</w:t>
            </w:r>
            <w:r>
              <w:rPr>
                <w:rStyle w:val="IndexLink"/>
                <w:rtl w:val="true"/>
              </w:rPr>
              <w:tab/>
            </w:r>
            <w:r>
              <w:rPr>
                <w:rStyle w:val="IndexLink"/>
              </w:rPr>
              <w:t>62</w:t>
            </w:r>
          </w:hyperlink>
        </w:p>
        <w:p>
          <w:pPr>
            <w:pStyle w:val="Contents4"/>
            <w:tabs>
              <w:tab w:val="clear" w:pos="8176"/>
              <w:tab w:val="right" w:pos="9026" w:leader="dot"/>
            </w:tabs>
            <w:rPr/>
          </w:pPr>
          <w:hyperlink w:anchor="__RefHeading___Toc7940266_1051229030">
            <w:r>
              <w:rPr>
                <w:webHidden/>
                <w:rStyle w:val="IndexLink"/>
                <w:rtl w:val="true"/>
              </w:rPr>
              <w:t>عدم ثبوت الموضوعات بحكم حاكم المخالفين</w:t>
            </w:r>
            <w:r>
              <w:rPr>
                <w:rStyle w:val="IndexLink"/>
                <w:rtl w:val="true"/>
              </w:rPr>
              <w:tab/>
            </w:r>
            <w:r>
              <w:rPr>
                <w:rStyle w:val="IndexLink"/>
              </w:rPr>
              <w:t>63</w:t>
            </w:r>
          </w:hyperlink>
        </w:p>
        <w:p>
          <w:pPr>
            <w:pStyle w:val="Contents4"/>
            <w:tabs>
              <w:tab w:val="clear" w:pos="8176"/>
              <w:tab w:val="right" w:pos="9026" w:leader="dot"/>
            </w:tabs>
            <w:rPr/>
          </w:pPr>
          <w:hyperlink w:anchor="__RefHeading___Toc7940268_1051229030">
            <w:r>
              <w:rPr>
                <w:webHidden/>
                <w:rStyle w:val="IndexLink"/>
                <w:rtl w:val="true"/>
              </w:rPr>
              <w:t>الروايات الدالّة على صحّة الصلاة مع العامّة</w:t>
            </w:r>
            <w:r>
              <w:rPr>
                <w:rStyle w:val="IndexLink"/>
                <w:rtl w:val="true"/>
              </w:rPr>
              <w:tab/>
            </w:r>
            <w:r>
              <w:rPr>
                <w:rStyle w:val="IndexLink"/>
              </w:rPr>
              <w:t>65</w:t>
            </w:r>
          </w:hyperlink>
        </w:p>
        <w:p>
          <w:pPr>
            <w:pStyle w:val="Contents4"/>
            <w:tabs>
              <w:tab w:val="clear" w:pos="8176"/>
              <w:tab w:val="right" w:pos="9026" w:leader="dot"/>
            </w:tabs>
            <w:rPr/>
          </w:pPr>
          <w:hyperlink w:anchor="__RefHeading___Toc7940270_1051229030">
            <w:r>
              <w:rPr>
                <w:webHidden/>
                <w:rStyle w:val="IndexLink"/>
                <w:rtl w:val="true"/>
              </w:rPr>
              <w:t>اختصاص المداراتية بالتقيّة من العامّة ولو مع عدم الخوف</w:t>
            </w:r>
            <w:r>
              <w:rPr>
                <w:rStyle w:val="IndexLink"/>
                <w:rtl w:val="true"/>
              </w:rPr>
              <w:tab/>
            </w:r>
            <w:r>
              <w:rPr>
                <w:rStyle w:val="IndexLink"/>
              </w:rPr>
              <w:t>69</w:t>
            </w:r>
          </w:hyperlink>
        </w:p>
        <w:p>
          <w:pPr>
            <w:pStyle w:val="Contents3"/>
            <w:tabs>
              <w:tab w:val="clear" w:pos="8459"/>
              <w:tab w:val="right" w:pos="9026" w:leader="dot"/>
            </w:tabs>
            <w:rPr/>
          </w:pPr>
          <w:hyperlink w:anchor="__RefHeading___Toc7940272_1051229030">
            <w:r>
              <w:rPr>
                <w:webHidden/>
                <w:rStyle w:val="IndexLink"/>
                <w:rtl w:val="true"/>
              </w:rPr>
              <w:t>المبحث الرابع</w:t>
            </w:r>
            <w:r>
              <w:rPr>
                <w:rStyle w:val="IndexLink"/>
                <w:rtl w:val="true"/>
              </w:rPr>
              <w:t xml:space="preserve">: </w:t>
            </w:r>
            <w:r>
              <w:rPr>
                <w:rStyle w:val="IndexLink"/>
                <w:rtl w:val="true"/>
              </w:rPr>
              <w:t>في اعتبار عدم المندوحة في التقيّة</w:t>
            </w:r>
            <w:r>
              <w:rPr>
                <w:rStyle w:val="IndexLink"/>
                <w:rtl w:val="true"/>
              </w:rPr>
              <w:tab/>
            </w:r>
            <w:r>
              <w:rPr>
                <w:rStyle w:val="IndexLink"/>
              </w:rPr>
              <w:t>71</w:t>
            </w:r>
          </w:hyperlink>
        </w:p>
        <w:p>
          <w:pPr>
            <w:pStyle w:val="Contents4"/>
            <w:tabs>
              <w:tab w:val="clear" w:pos="8176"/>
              <w:tab w:val="right" w:pos="9026" w:leader="dot"/>
            </w:tabs>
            <w:rPr/>
          </w:pPr>
          <w:hyperlink w:anchor="__RefHeading___Toc7940274_105122903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7940276_1051229030">
            <w:r>
              <w:rPr>
                <w:webHidden/>
                <w:rStyle w:val="IndexLink"/>
                <w:rtl w:val="true"/>
              </w:rPr>
              <w:t>اعتبار عدم المندوحة في التقيّة من غير المخالفين</w:t>
            </w:r>
            <w:r>
              <w:rPr>
                <w:rStyle w:val="IndexLink"/>
                <w:rtl w:val="true"/>
              </w:rPr>
              <w:tab/>
            </w:r>
            <w:r>
              <w:rPr>
                <w:rStyle w:val="IndexLink"/>
              </w:rPr>
              <w:t>72</w:t>
            </w:r>
          </w:hyperlink>
        </w:p>
        <w:p>
          <w:pPr>
            <w:pStyle w:val="Contents4"/>
            <w:tabs>
              <w:tab w:val="clear" w:pos="8176"/>
              <w:tab w:val="right" w:pos="9026" w:leader="dot"/>
            </w:tabs>
            <w:rPr/>
          </w:pPr>
          <w:hyperlink w:anchor="__RefHeading___Toc7940278_1051229030">
            <w:r>
              <w:rPr>
                <w:webHidden/>
                <w:rStyle w:val="IndexLink"/>
                <w:rtl w:val="true"/>
              </w:rPr>
              <w:t>صحّة عبادة من اضطرّ نفسه إلى الفرد الاضطراري وإن عصى</w:t>
            </w:r>
            <w:r>
              <w:rPr>
                <w:rStyle w:val="IndexLink"/>
                <w:rtl w:val="true"/>
              </w:rPr>
              <w:tab/>
            </w:r>
            <w:r>
              <w:rPr>
                <w:rStyle w:val="IndexLink"/>
              </w:rPr>
              <w:t>74</w:t>
            </w:r>
          </w:hyperlink>
        </w:p>
        <w:p>
          <w:pPr>
            <w:pStyle w:val="Contents4"/>
            <w:tabs>
              <w:tab w:val="clear" w:pos="8176"/>
              <w:tab w:val="right" w:pos="9026" w:leader="dot"/>
            </w:tabs>
            <w:rPr/>
          </w:pPr>
          <w:hyperlink w:anchor="__RefHeading___Toc7940280_1051229030">
            <w:r>
              <w:rPr>
                <w:webHidden/>
                <w:rStyle w:val="IndexLink"/>
                <w:rtl w:val="true"/>
              </w:rPr>
              <w:t>حول اعتبار عدم المندوحة في التقيّة من المخالفين</w:t>
            </w:r>
            <w:r>
              <w:rPr>
                <w:rStyle w:val="IndexLink"/>
                <w:rtl w:val="true"/>
              </w:rPr>
              <w:tab/>
            </w:r>
            <w:r>
              <w:rPr>
                <w:rStyle w:val="IndexLink"/>
              </w:rPr>
              <w:t>75</w:t>
            </w:r>
          </w:hyperlink>
        </w:p>
        <w:p>
          <w:pPr>
            <w:pStyle w:val="Contents4"/>
            <w:tabs>
              <w:tab w:val="clear" w:pos="8176"/>
              <w:tab w:val="right" w:pos="9026" w:leader="dot"/>
            </w:tabs>
            <w:rPr/>
          </w:pPr>
          <w:hyperlink w:anchor="__RefHeading___Toc7940282_1051229030">
            <w:r>
              <w:rPr>
                <w:webHidden/>
                <w:rStyle w:val="IndexLink"/>
                <w:rtl w:val="true"/>
              </w:rPr>
              <w:t>حمل الأخبار الظاهرة في لزوم إعمال الحيلة على الاستحباب</w:t>
            </w:r>
            <w:r>
              <w:rPr>
                <w:rStyle w:val="IndexLink"/>
                <w:rtl w:val="true"/>
              </w:rPr>
              <w:tab/>
            </w:r>
            <w:r>
              <w:rPr>
                <w:rStyle w:val="IndexLink"/>
              </w:rPr>
              <w:t>82</w:t>
            </w:r>
          </w:hyperlink>
        </w:p>
        <w:p>
          <w:pPr>
            <w:pStyle w:val="Contents3"/>
            <w:tabs>
              <w:tab w:val="clear" w:pos="8459"/>
              <w:tab w:val="right" w:pos="9026" w:leader="dot"/>
            </w:tabs>
            <w:rPr/>
          </w:pPr>
          <w:hyperlink w:anchor="__RefHeading___Toc7940284_1051229030">
            <w:r>
              <w:rPr>
                <w:webHidden/>
                <w:rStyle w:val="IndexLink"/>
                <w:rtl w:val="true"/>
              </w:rPr>
              <w:t>المبحث الخامس</w:t>
            </w:r>
            <w:r>
              <w:rPr>
                <w:rStyle w:val="IndexLink"/>
                <w:rtl w:val="true"/>
              </w:rPr>
              <w:t xml:space="preserve">: </w:t>
            </w:r>
            <w:r>
              <w:rPr>
                <w:rStyle w:val="IndexLink"/>
                <w:rtl w:val="true"/>
              </w:rPr>
              <w:t>حول ترتّب جميع آثار الصحّة على العمل الصادر تقيّةً</w:t>
            </w:r>
            <w:r>
              <w:rPr>
                <w:rStyle w:val="IndexLink"/>
                <w:rtl w:val="true"/>
              </w:rPr>
              <w:tab/>
            </w:r>
            <w:r>
              <w:rPr>
                <w:rStyle w:val="IndexLink"/>
              </w:rPr>
              <w:t>85</w:t>
            </w:r>
          </w:hyperlink>
        </w:p>
        <w:p>
          <w:pPr>
            <w:pStyle w:val="Contents4"/>
            <w:tabs>
              <w:tab w:val="clear" w:pos="8176"/>
              <w:tab w:val="right" w:pos="9026" w:leader="dot"/>
            </w:tabs>
            <w:rPr/>
          </w:pPr>
          <w:hyperlink w:anchor="__RefHeading___Toc7940286_105122903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7940288_1051229030">
            <w:r>
              <w:rPr>
                <w:webHidden/>
                <w:rStyle w:val="IndexLink"/>
                <w:rtl w:val="true"/>
              </w:rPr>
              <w:t xml:space="preserve">المقام الأوّل </w:t>
            </w:r>
            <w:r>
              <w:rPr>
                <w:rStyle w:val="IndexLink"/>
                <w:rtl w:val="true"/>
              </w:rPr>
              <w:t xml:space="preserve">: </w:t>
            </w:r>
            <w:r>
              <w:rPr>
                <w:rStyle w:val="IndexLink"/>
                <w:rtl w:val="true"/>
              </w:rPr>
              <w:t>مقتضى الأدلّة العامّة</w:t>
            </w:r>
            <w:r>
              <w:rPr>
                <w:rStyle w:val="IndexLink"/>
                <w:rtl w:val="true"/>
              </w:rPr>
              <w:tab/>
            </w:r>
            <w:r>
              <w:rPr>
                <w:rStyle w:val="IndexLink"/>
              </w:rPr>
              <w:t>85</w:t>
            </w:r>
          </w:hyperlink>
        </w:p>
        <w:p>
          <w:pPr>
            <w:pStyle w:val="Contents5"/>
            <w:tabs>
              <w:tab w:val="clear" w:pos="7892"/>
              <w:tab w:val="right" w:pos="9026" w:leader="dot"/>
            </w:tabs>
            <w:rPr/>
          </w:pPr>
          <w:hyperlink w:anchor="__RefHeading___Toc7940290_1051229030">
            <w:r>
              <w:rPr>
                <w:webHidden/>
                <w:rStyle w:val="IndexLink"/>
              </w:rPr>
              <w:t>1</w:t>
            </w:r>
            <w:r>
              <w:rPr>
                <w:rStyle w:val="IndexLink"/>
                <w:rtl w:val="true"/>
              </w:rPr>
              <w:t xml:space="preserve"> - </w:t>
            </w:r>
            <w:r>
              <w:rPr>
                <w:rStyle w:val="IndexLink"/>
                <w:rtl w:val="true"/>
              </w:rPr>
              <w:t>حال العقود والإيقاعات</w:t>
            </w:r>
            <w:r>
              <w:rPr>
                <w:rStyle w:val="IndexLink"/>
                <w:rtl w:val="true"/>
              </w:rPr>
              <w:tab/>
            </w:r>
            <w:r>
              <w:rPr>
                <w:rStyle w:val="IndexLink"/>
              </w:rPr>
              <w:t>85</w:t>
            </w:r>
          </w:hyperlink>
        </w:p>
        <w:p>
          <w:pPr>
            <w:pStyle w:val="Contents5"/>
            <w:tabs>
              <w:tab w:val="clear" w:pos="7892"/>
              <w:tab w:val="right" w:pos="9026" w:leader="dot"/>
            </w:tabs>
            <w:rPr/>
          </w:pPr>
          <w:hyperlink w:anchor="__RefHeading___Toc7940292_1051229030">
            <w:r>
              <w:rPr>
                <w:webHidden/>
                <w:rStyle w:val="IndexLink"/>
              </w:rPr>
              <w:t>2</w:t>
            </w:r>
            <w:r>
              <w:rPr>
                <w:rStyle w:val="IndexLink"/>
                <w:rtl w:val="true"/>
              </w:rPr>
              <w:t xml:space="preserve"> - </w:t>
            </w:r>
            <w:r>
              <w:rPr>
                <w:rStyle w:val="IndexLink"/>
                <w:rtl w:val="true"/>
              </w:rPr>
              <w:t>حال التكاليف النفسية والغيرية</w:t>
            </w:r>
            <w:r>
              <w:rPr>
                <w:rStyle w:val="IndexLink"/>
                <w:rtl w:val="true"/>
              </w:rPr>
              <w:tab/>
            </w:r>
            <w:r>
              <w:rPr>
                <w:rStyle w:val="IndexLink"/>
              </w:rPr>
              <w:t>87</w:t>
            </w:r>
          </w:hyperlink>
        </w:p>
        <w:p>
          <w:pPr>
            <w:pStyle w:val="Contents4"/>
            <w:tabs>
              <w:tab w:val="clear" w:pos="8176"/>
              <w:tab w:val="right" w:pos="9026" w:leader="dot"/>
            </w:tabs>
            <w:rPr/>
          </w:pPr>
          <w:hyperlink w:anchor="__RefHeading___Toc7940294_1051229030">
            <w:r>
              <w:rPr>
                <w:webHidden/>
                <w:rStyle w:val="IndexLink"/>
                <w:rtl w:val="true"/>
              </w:rPr>
              <w:t xml:space="preserve">المقام الثاني </w:t>
            </w:r>
            <w:r>
              <w:rPr>
                <w:rStyle w:val="IndexLink"/>
                <w:rtl w:val="true"/>
              </w:rPr>
              <w:t xml:space="preserve">: </w:t>
            </w:r>
            <w:r>
              <w:rPr>
                <w:rStyle w:val="IndexLink"/>
                <w:rtl w:val="true"/>
              </w:rPr>
              <w:t>مقتضى الأدلّة الخاصّة</w:t>
            </w:r>
            <w:r>
              <w:rPr>
                <w:rStyle w:val="IndexLink"/>
                <w:rtl w:val="true"/>
              </w:rPr>
              <w:tab/>
            </w:r>
            <w:r>
              <w:rPr>
                <w:rStyle w:val="IndexLink"/>
              </w:rPr>
              <w:t>89</w:t>
            </w:r>
          </w:hyperlink>
        </w:p>
        <w:p>
          <w:pPr>
            <w:pStyle w:val="Contents2"/>
            <w:tabs>
              <w:tab w:val="clear" w:pos="8743"/>
              <w:tab w:val="right" w:pos="9026" w:leader="dot"/>
            </w:tabs>
            <w:rPr/>
          </w:pPr>
          <w:hyperlink w:anchor="__RefHeading___Toc7940296_1051229030">
            <w:r>
              <w:rPr>
                <w:webHidden/>
                <w:rStyle w:val="IndexLink"/>
                <w:rtl w:val="true"/>
              </w:rPr>
              <w:t>فروع العلم الإجمالي</w:t>
            </w:r>
            <w:r>
              <w:rPr>
                <w:rStyle w:val="IndexLink"/>
                <w:rtl w:val="true"/>
              </w:rPr>
              <w:tab/>
            </w:r>
            <w:r>
              <w:rPr>
                <w:rStyle w:val="IndexLink"/>
              </w:rPr>
              <w:t>91</w:t>
            </w:r>
          </w:hyperlink>
        </w:p>
        <w:p>
          <w:pPr>
            <w:pStyle w:val="Contents3"/>
            <w:tabs>
              <w:tab w:val="clear" w:pos="8459"/>
              <w:tab w:val="right" w:pos="9026" w:leader="dot"/>
            </w:tabs>
            <w:rPr/>
          </w:pPr>
          <w:hyperlink w:anchor="__RefHeading___Toc7940298_105122903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7940300_1051229030">
            <w:r>
              <w:rPr>
                <w:webHidden/>
                <w:rStyle w:val="IndexLink"/>
                <w:rtl w:val="true"/>
              </w:rPr>
              <w:t>المسألة الاُولى</w:t>
            </w:r>
            <w:r>
              <w:rPr>
                <w:rStyle w:val="IndexLink"/>
                <w:rtl w:val="true"/>
              </w:rPr>
              <w:t xml:space="preserve">: </w:t>
            </w:r>
            <w:r>
              <w:rPr>
                <w:rStyle w:val="IndexLink"/>
                <w:rtl w:val="true"/>
              </w:rPr>
              <w:t>فيما إذا شكّ في أنّ ما بيده ظهر أو عصر</w:t>
            </w:r>
            <w:r>
              <w:rPr>
                <w:rStyle w:val="IndexLink"/>
                <w:rtl w:val="true"/>
              </w:rPr>
              <w:tab/>
            </w:r>
            <w:r>
              <w:rPr>
                <w:rStyle w:val="IndexLink"/>
              </w:rPr>
              <w:t>95</w:t>
            </w:r>
          </w:hyperlink>
        </w:p>
        <w:p>
          <w:pPr>
            <w:pStyle w:val="Contents4"/>
            <w:tabs>
              <w:tab w:val="clear" w:pos="8176"/>
              <w:tab w:val="right" w:pos="9026" w:leader="dot"/>
            </w:tabs>
            <w:rPr/>
          </w:pPr>
          <w:hyperlink w:anchor="__RefHeading___Toc7940302_105122903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7940304_1051229030">
            <w:r>
              <w:rPr>
                <w:webHidden/>
                <w:rStyle w:val="IndexLink"/>
                <w:rtl w:val="true"/>
              </w:rPr>
              <w:t xml:space="preserve">الاُولى </w:t>
            </w:r>
            <w:r>
              <w:rPr>
                <w:rStyle w:val="IndexLink"/>
                <w:rtl w:val="true"/>
              </w:rPr>
              <w:t xml:space="preserve">: </w:t>
            </w:r>
            <w:r>
              <w:rPr>
                <w:rStyle w:val="IndexLink"/>
                <w:rtl w:val="true"/>
              </w:rPr>
              <w:t>العلم بعدم إتيان العصر مع إتيان الظهر</w:t>
            </w:r>
            <w:r>
              <w:rPr>
                <w:rStyle w:val="IndexLink"/>
                <w:rtl w:val="true"/>
              </w:rPr>
              <w:tab/>
            </w:r>
            <w:r>
              <w:rPr>
                <w:rStyle w:val="IndexLink"/>
              </w:rPr>
              <w:t>95</w:t>
            </w:r>
          </w:hyperlink>
        </w:p>
        <w:p>
          <w:pPr>
            <w:pStyle w:val="Contents4"/>
            <w:tabs>
              <w:tab w:val="clear" w:pos="8176"/>
              <w:tab w:val="right" w:pos="9026" w:leader="dot"/>
            </w:tabs>
            <w:rPr/>
          </w:pPr>
          <w:hyperlink w:anchor="__RefHeading___Toc7940306_1051229030">
            <w:r>
              <w:rPr>
                <w:webHidden/>
                <w:rStyle w:val="IndexLink"/>
                <w:rtl w:val="true"/>
              </w:rPr>
              <w:t xml:space="preserve">الثانية </w:t>
            </w:r>
            <w:r>
              <w:rPr>
                <w:rStyle w:val="IndexLink"/>
                <w:rtl w:val="true"/>
              </w:rPr>
              <w:t xml:space="preserve">: </w:t>
            </w:r>
            <w:r>
              <w:rPr>
                <w:rStyle w:val="IndexLink"/>
                <w:rtl w:val="true"/>
              </w:rPr>
              <w:t>العلم بعدم إتيان الظهر والعصر</w:t>
            </w:r>
            <w:r>
              <w:rPr>
                <w:rStyle w:val="IndexLink"/>
                <w:rtl w:val="true"/>
              </w:rPr>
              <w:tab/>
            </w:r>
            <w:r>
              <w:rPr>
                <w:rStyle w:val="IndexLink"/>
              </w:rPr>
              <w:t>102</w:t>
            </w:r>
          </w:hyperlink>
        </w:p>
        <w:p>
          <w:pPr>
            <w:pStyle w:val="Contents4"/>
            <w:tabs>
              <w:tab w:val="clear" w:pos="8176"/>
              <w:tab w:val="right" w:pos="9026" w:leader="dot"/>
            </w:tabs>
            <w:rPr/>
          </w:pPr>
          <w:hyperlink w:anchor="__RefHeading___Toc7940308_1051229030">
            <w:r>
              <w:rPr>
                <w:webHidden/>
                <w:rStyle w:val="IndexLink"/>
                <w:rtl w:val="true"/>
              </w:rPr>
              <w:t xml:space="preserve">الثالثة </w:t>
            </w:r>
            <w:r>
              <w:rPr>
                <w:rStyle w:val="IndexLink"/>
                <w:rtl w:val="true"/>
              </w:rPr>
              <w:t xml:space="preserve">: </w:t>
            </w:r>
            <w:r>
              <w:rPr>
                <w:rStyle w:val="IndexLink"/>
                <w:rtl w:val="true"/>
              </w:rPr>
              <w:t>العلم بإتيان العصر والشكّ في أنّ ما بيده ظهر أو عصر باطل</w:t>
            </w:r>
            <w:r>
              <w:rPr>
                <w:rStyle w:val="IndexLink"/>
                <w:rtl w:val="true"/>
              </w:rPr>
              <w:tab/>
            </w:r>
            <w:r>
              <w:rPr>
                <w:rStyle w:val="IndexLink"/>
              </w:rPr>
              <w:t>104</w:t>
            </w:r>
          </w:hyperlink>
        </w:p>
        <w:p>
          <w:pPr>
            <w:pStyle w:val="Contents3"/>
            <w:tabs>
              <w:tab w:val="clear" w:pos="8459"/>
              <w:tab w:val="right" w:pos="9026" w:leader="dot"/>
            </w:tabs>
            <w:rPr/>
          </w:pPr>
          <w:hyperlink w:anchor="__RefHeading___Toc7940310_1051229030">
            <w:r>
              <w:rPr>
                <w:webHidden/>
                <w:rStyle w:val="IndexLink"/>
                <w:rtl w:val="true"/>
              </w:rPr>
              <w:t>المسألة الثانية</w:t>
            </w:r>
            <w:r>
              <w:rPr>
                <w:rStyle w:val="IndexLink"/>
                <w:rtl w:val="true"/>
              </w:rPr>
              <w:t xml:space="preserve">: </w:t>
            </w:r>
            <w:r>
              <w:rPr>
                <w:rStyle w:val="IndexLink"/>
                <w:rtl w:val="true"/>
              </w:rPr>
              <w:t>في الشكّ في أنّ ما بيده مغرب أو عشاء</w:t>
            </w:r>
            <w:r>
              <w:rPr>
                <w:rStyle w:val="IndexLink"/>
                <w:rtl w:val="true"/>
              </w:rPr>
              <w:tab/>
            </w:r>
            <w:r>
              <w:rPr>
                <w:rStyle w:val="IndexLink"/>
              </w:rPr>
              <w:t>104</w:t>
            </w:r>
          </w:hyperlink>
        </w:p>
        <w:p>
          <w:pPr>
            <w:pStyle w:val="Contents3"/>
            <w:tabs>
              <w:tab w:val="clear" w:pos="8459"/>
              <w:tab w:val="right" w:pos="9026" w:leader="dot"/>
            </w:tabs>
            <w:rPr/>
          </w:pPr>
          <w:hyperlink w:anchor="__RefHeading___Toc7940312_1051229030">
            <w:r>
              <w:rPr>
                <w:webHidden/>
                <w:rStyle w:val="IndexLink"/>
                <w:rtl w:val="true"/>
              </w:rPr>
              <w:t>المسألة الثالثة</w:t>
            </w:r>
            <w:r>
              <w:rPr>
                <w:rStyle w:val="IndexLink"/>
                <w:rtl w:val="true"/>
              </w:rPr>
              <w:t xml:space="preserve">: </w:t>
            </w:r>
            <w:r>
              <w:rPr>
                <w:rStyle w:val="IndexLink"/>
                <w:rtl w:val="true"/>
              </w:rPr>
              <w:t>في حكم العلم بترك سجدتين من ركعتين</w:t>
            </w:r>
            <w:r>
              <w:rPr>
                <w:rStyle w:val="IndexLink"/>
                <w:rtl w:val="true"/>
              </w:rPr>
              <w:tab/>
            </w:r>
            <w:r>
              <w:rPr>
                <w:rStyle w:val="IndexLink"/>
              </w:rPr>
              <w:t>105</w:t>
            </w:r>
          </w:hyperlink>
        </w:p>
        <w:p>
          <w:pPr>
            <w:pStyle w:val="Contents4"/>
            <w:tabs>
              <w:tab w:val="clear" w:pos="8176"/>
              <w:tab w:val="right" w:pos="9026" w:leader="dot"/>
            </w:tabs>
            <w:rPr/>
          </w:pPr>
          <w:hyperlink w:anchor="__RefHeading___Toc7940314_105122903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7940316_1051229030">
            <w:r>
              <w:rPr>
                <w:webHidden/>
                <w:rStyle w:val="IndexLink"/>
                <w:rtl w:val="true"/>
              </w:rPr>
              <w:t>حكم حدوث العلم بترك سجدتين بعد الصلاة</w:t>
            </w:r>
            <w:r>
              <w:rPr>
                <w:rStyle w:val="IndexLink"/>
                <w:rtl w:val="true"/>
              </w:rPr>
              <w:tab/>
            </w:r>
            <w:r>
              <w:rPr>
                <w:rStyle w:val="IndexLink"/>
              </w:rPr>
              <w:t>106</w:t>
            </w:r>
          </w:hyperlink>
        </w:p>
        <w:p>
          <w:pPr>
            <w:pStyle w:val="Contents5"/>
            <w:tabs>
              <w:tab w:val="clear" w:pos="7892"/>
              <w:tab w:val="right" w:pos="9026" w:leader="dot"/>
            </w:tabs>
            <w:rPr/>
          </w:pPr>
          <w:hyperlink w:anchor="__RefHeading___Toc7940318_1051229030">
            <w:r>
              <w:rPr>
                <w:webHidden/>
                <w:rStyle w:val="IndexLink"/>
                <w:rtl w:val="true"/>
              </w:rPr>
              <w:t>حكم العلم بترك سجدتين من الركعتين في غير الركعة الأخيرة</w:t>
            </w:r>
            <w:r>
              <w:rPr>
                <w:rStyle w:val="IndexLink"/>
                <w:rtl w:val="true"/>
              </w:rPr>
              <w:tab/>
            </w:r>
            <w:r>
              <w:rPr>
                <w:rStyle w:val="IndexLink"/>
              </w:rPr>
              <w:t>106</w:t>
            </w:r>
          </w:hyperlink>
        </w:p>
        <w:p>
          <w:pPr>
            <w:pStyle w:val="Contents5"/>
            <w:tabs>
              <w:tab w:val="clear" w:pos="7892"/>
              <w:tab w:val="right" w:pos="9026" w:leader="dot"/>
            </w:tabs>
            <w:rPr/>
          </w:pPr>
          <w:hyperlink w:anchor="__RefHeading___Toc7940320_1051229030">
            <w:r>
              <w:rPr>
                <w:webHidden/>
                <w:rStyle w:val="IndexLink"/>
                <w:rtl w:val="true"/>
              </w:rPr>
              <w:t>حكم العلم بترك إحدى السجدتين من الركعة الأخيرة</w:t>
            </w:r>
            <w:r>
              <w:rPr>
                <w:rStyle w:val="IndexLink"/>
                <w:rtl w:val="true"/>
              </w:rPr>
              <w:tab/>
            </w:r>
            <w:r>
              <w:rPr>
                <w:rStyle w:val="IndexLink"/>
              </w:rPr>
              <w:t>107</w:t>
            </w:r>
          </w:hyperlink>
        </w:p>
        <w:p>
          <w:pPr>
            <w:pStyle w:val="Contents4"/>
            <w:tabs>
              <w:tab w:val="clear" w:pos="8176"/>
              <w:tab w:val="right" w:pos="9026" w:leader="dot"/>
            </w:tabs>
            <w:rPr/>
          </w:pPr>
          <w:hyperlink w:anchor="__RefHeading___Toc7940322_1051229030">
            <w:r>
              <w:rPr>
                <w:webHidden/>
                <w:rStyle w:val="IndexLink"/>
                <w:rtl w:val="true"/>
              </w:rPr>
              <w:t>بحث حول كون السلام انصرافاً</w:t>
            </w:r>
            <w:r>
              <w:rPr>
                <w:rStyle w:val="IndexLink"/>
                <w:rtl w:val="true"/>
              </w:rPr>
              <w:tab/>
            </w:r>
            <w:r>
              <w:rPr>
                <w:rStyle w:val="IndexLink"/>
              </w:rPr>
              <w:t>107</w:t>
            </w:r>
          </w:hyperlink>
        </w:p>
        <w:p>
          <w:pPr>
            <w:pStyle w:val="Contents4"/>
            <w:tabs>
              <w:tab w:val="clear" w:pos="8176"/>
              <w:tab w:val="right" w:pos="9026" w:leader="dot"/>
            </w:tabs>
            <w:rPr/>
          </w:pPr>
          <w:hyperlink w:anchor="__RefHeading___Toc7940324_1051229030">
            <w:r>
              <w:rPr>
                <w:webHidden/>
                <w:rStyle w:val="IndexLink"/>
                <w:rtl w:val="true"/>
              </w:rPr>
              <w:t xml:space="preserve">تنبيه </w:t>
            </w:r>
            <w:r>
              <w:rPr>
                <w:rStyle w:val="IndexLink"/>
                <w:rtl w:val="true"/>
              </w:rPr>
              <w:t xml:space="preserve">: </w:t>
            </w:r>
            <w:r>
              <w:rPr>
                <w:rStyle w:val="IndexLink"/>
                <w:rtl w:val="true"/>
              </w:rPr>
              <w:t>حول تفصيل المحقّق العراقي في المسألة</w:t>
            </w:r>
            <w:r>
              <w:rPr>
                <w:rStyle w:val="IndexLink"/>
                <w:rtl w:val="true"/>
              </w:rPr>
              <w:tab/>
            </w:r>
            <w:r>
              <w:rPr>
                <w:rStyle w:val="IndexLink"/>
              </w:rPr>
              <w:t>114</w:t>
            </w:r>
          </w:hyperlink>
        </w:p>
        <w:p>
          <w:pPr>
            <w:pStyle w:val="Contents4"/>
            <w:tabs>
              <w:tab w:val="clear" w:pos="8176"/>
              <w:tab w:val="right" w:pos="9026" w:leader="dot"/>
            </w:tabs>
            <w:rPr/>
          </w:pPr>
          <w:hyperlink w:anchor="__RefHeading___Toc7940326_1051229030">
            <w:r>
              <w:rPr>
                <w:webHidden/>
                <w:rStyle w:val="IndexLink"/>
                <w:rtl w:val="true"/>
              </w:rPr>
              <w:t>حكم حدوث العلم بترك سجدتين في أثناء الصلاة</w:t>
            </w:r>
            <w:r>
              <w:rPr>
                <w:rStyle w:val="IndexLink"/>
                <w:rtl w:val="true"/>
              </w:rPr>
              <w:tab/>
            </w:r>
            <w:r>
              <w:rPr>
                <w:rStyle w:val="IndexLink"/>
              </w:rPr>
              <w:t>115</w:t>
            </w:r>
          </w:hyperlink>
        </w:p>
        <w:p>
          <w:pPr>
            <w:pStyle w:val="Contents4"/>
            <w:tabs>
              <w:tab w:val="clear" w:pos="8176"/>
              <w:tab w:val="right" w:pos="9026" w:leader="dot"/>
            </w:tabs>
            <w:rPr/>
          </w:pPr>
          <w:hyperlink w:anchor="__RefHeading___Toc7940328_1051229030">
            <w:r>
              <w:rPr>
                <w:webHidden/>
                <w:rStyle w:val="IndexLink"/>
                <w:rtl w:val="true"/>
              </w:rPr>
              <w:t>عدم إمكان إحراز الموضوع بالأصل وإشارة إلى اعتبارات القضايا</w:t>
            </w:r>
            <w:r>
              <w:rPr>
                <w:rStyle w:val="IndexLink"/>
                <w:rtl w:val="true"/>
              </w:rPr>
              <w:tab/>
            </w:r>
            <w:r>
              <w:rPr>
                <w:rStyle w:val="IndexLink"/>
              </w:rPr>
              <w:t>117</w:t>
            </w:r>
          </w:hyperlink>
        </w:p>
        <w:p>
          <w:pPr>
            <w:pStyle w:val="Contents3"/>
            <w:tabs>
              <w:tab w:val="clear" w:pos="8459"/>
              <w:tab w:val="right" w:pos="9026" w:leader="dot"/>
            </w:tabs>
            <w:rPr/>
          </w:pPr>
          <w:hyperlink w:anchor="__RefHeading___Toc7940330_1051229030">
            <w:r>
              <w:rPr>
                <w:webHidden/>
                <w:rStyle w:val="IndexLink"/>
                <w:rtl w:val="true"/>
              </w:rPr>
              <w:t>المسألة الرابعة</w:t>
            </w:r>
            <w:r>
              <w:rPr>
                <w:rStyle w:val="IndexLink"/>
                <w:rtl w:val="true"/>
              </w:rPr>
              <w:t xml:space="preserve">: </w:t>
            </w:r>
            <w:r>
              <w:rPr>
                <w:rStyle w:val="IndexLink"/>
                <w:rtl w:val="true"/>
              </w:rPr>
              <w:t>في حكم الشكّ حال الركعة البنائية</w:t>
            </w:r>
            <w:r>
              <w:rPr>
                <w:rStyle w:val="IndexLink"/>
                <w:rtl w:val="true"/>
              </w:rPr>
              <w:tab/>
            </w:r>
            <w:r>
              <w:rPr>
                <w:rStyle w:val="IndexLink"/>
              </w:rPr>
              <w:t>119</w:t>
            </w:r>
          </w:hyperlink>
        </w:p>
        <w:p>
          <w:pPr>
            <w:pStyle w:val="Contents4"/>
            <w:tabs>
              <w:tab w:val="clear" w:pos="8176"/>
              <w:tab w:val="right" w:pos="9026" w:leader="dot"/>
            </w:tabs>
            <w:rPr/>
          </w:pPr>
          <w:hyperlink w:anchor="__RefHeading___Toc7940332_105122903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7940334_1051229030">
            <w:r>
              <w:rPr>
                <w:webHidden/>
                <w:rStyle w:val="IndexLink"/>
                <w:rtl w:val="true"/>
              </w:rPr>
              <w:t>حول موضوع البناء على الأكثر</w:t>
            </w:r>
            <w:r>
              <w:rPr>
                <w:rStyle w:val="IndexLink"/>
                <w:rtl w:val="true"/>
              </w:rPr>
              <w:tab/>
            </w:r>
            <w:r>
              <w:rPr>
                <w:rStyle w:val="IndexLink"/>
              </w:rPr>
              <w:t>120</w:t>
            </w:r>
          </w:hyperlink>
        </w:p>
        <w:p>
          <w:pPr>
            <w:pStyle w:val="Contents4"/>
            <w:tabs>
              <w:tab w:val="clear" w:pos="8176"/>
              <w:tab w:val="right" w:pos="9026" w:leader="dot"/>
            </w:tabs>
            <w:rPr/>
          </w:pPr>
          <w:hyperlink w:anchor="__RefHeading___Toc7940336_1051229030">
            <w:r>
              <w:rPr>
                <w:webHidden/>
                <w:rStyle w:val="IndexLink"/>
                <w:rtl w:val="true"/>
              </w:rPr>
              <w:t>مختار شيخنا العلاّمة الحائري ونقده</w:t>
            </w:r>
            <w:r>
              <w:rPr>
                <w:rStyle w:val="IndexLink"/>
                <w:rtl w:val="true"/>
              </w:rPr>
              <w:tab/>
            </w:r>
            <w:r>
              <w:rPr>
                <w:rStyle w:val="IndexLink"/>
              </w:rPr>
              <w:t>123</w:t>
            </w:r>
          </w:hyperlink>
        </w:p>
        <w:p>
          <w:pPr>
            <w:pStyle w:val="Contents4"/>
            <w:tabs>
              <w:tab w:val="clear" w:pos="8176"/>
              <w:tab w:val="right" w:pos="9026" w:leader="dot"/>
            </w:tabs>
            <w:rPr/>
          </w:pPr>
          <w:hyperlink w:anchor="__RefHeading___Toc7940338_1051229030">
            <w:r>
              <w:rPr>
                <w:webHidden/>
                <w:rStyle w:val="IndexLink"/>
                <w:rtl w:val="true"/>
              </w:rPr>
              <w:t>إشكال ودفع</w:t>
            </w:r>
            <w:r>
              <w:rPr>
                <w:rStyle w:val="IndexLink"/>
                <w:rtl w:val="true"/>
              </w:rPr>
              <w:tab/>
            </w:r>
            <w:r>
              <w:rPr>
                <w:rStyle w:val="IndexLink"/>
              </w:rPr>
              <w:t>124</w:t>
            </w:r>
          </w:hyperlink>
        </w:p>
        <w:p>
          <w:pPr>
            <w:pStyle w:val="Contents3"/>
            <w:tabs>
              <w:tab w:val="clear" w:pos="8459"/>
              <w:tab w:val="right" w:pos="9026" w:leader="dot"/>
            </w:tabs>
            <w:rPr/>
          </w:pPr>
          <w:hyperlink w:anchor="__RefHeading___Toc7940340_1051229030">
            <w:r>
              <w:rPr>
                <w:webHidden/>
                <w:rStyle w:val="IndexLink"/>
                <w:rtl w:val="true"/>
              </w:rPr>
              <w:t>المسألة الخامسة</w:t>
            </w:r>
            <w:r>
              <w:rPr>
                <w:rStyle w:val="IndexLink"/>
                <w:rtl w:val="true"/>
              </w:rPr>
              <w:t xml:space="preserve">: </w:t>
            </w:r>
            <w:r>
              <w:rPr>
                <w:rStyle w:val="IndexLink"/>
                <w:rtl w:val="true"/>
              </w:rPr>
              <w:t>في حكم دوران الركعة بين آخر الظهر وأوّل العصر</w:t>
            </w:r>
            <w:r>
              <w:rPr>
                <w:rStyle w:val="IndexLink"/>
                <w:rtl w:val="true"/>
              </w:rPr>
              <w:tab/>
            </w:r>
            <w:r>
              <w:rPr>
                <w:rStyle w:val="IndexLink"/>
              </w:rPr>
              <w:t>125</w:t>
            </w:r>
          </w:hyperlink>
        </w:p>
        <w:p>
          <w:pPr>
            <w:pStyle w:val="Contents4"/>
            <w:tabs>
              <w:tab w:val="clear" w:pos="8176"/>
              <w:tab w:val="right" w:pos="9026" w:leader="dot"/>
            </w:tabs>
            <w:rPr/>
          </w:pPr>
          <w:hyperlink w:anchor="__RefHeading___Toc7940342_1051229030">
            <w:r>
              <w:rPr>
                <w:webHidden/>
                <w:rStyle w:val="IndexLink"/>
              </w:rPr>
              <w:t>1</w:t>
            </w:r>
            <w:r>
              <w:rPr>
                <w:rStyle w:val="IndexLink"/>
                <w:rtl w:val="true"/>
              </w:rPr>
              <w:t xml:space="preserve"> - </w:t>
            </w:r>
            <w:r>
              <w:rPr>
                <w:rStyle w:val="IndexLink"/>
                <w:rtl w:val="true"/>
              </w:rPr>
              <w:t>حكم ما إذا كان في الوقت المشترك</w:t>
            </w:r>
            <w:r>
              <w:rPr>
                <w:rStyle w:val="IndexLink"/>
                <w:rtl w:val="true"/>
              </w:rPr>
              <w:tab/>
            </w:r>
            <w:r>
              <w:rPr>
                <w:rStyle w:val="IndexLink"/>
              </w:rPr>
              <w:t>125</w:t>
            </w:r>
          </w:hyperlink>
        </w:p>
        <w:p>
          <w:pPr>
            <w:pStyle w:val="Contents4"/>
            <w:tabs>
              <w:tab w:val="clear" w:pos="8176"/>
              <w:tab w:val="right" w:pos="9026" w:leader="dot"/>
            </w:tabs>
            <w:rPr/>
          </w:pPr>
          <w:hyperlink w:anchor="__RefHeading___Toc7940344_1051229030">
            <w:r>
              <w:rPr>
                <w:webHidden/>
                <w:rStyle w:val="IndexLink"/>
              </w:rPr>
              <w:t>2</w:t>
            </w:r>
            <w:r>
              <w:rPr>
                <w:rStyle w:val="IndexLink"/>
                <w:rtl w:val="true"/>
              </w:rPr>
              <w:t xml:space="preserve"> - </w:t>
            </w:r>
            <w:r>
              <w:rPr>
                <w:rStyle w:val="IndexLink"/>
                <w:rtl w:val="true"/>
              </w:rPr>
              <w:t>حكم ما إذا كان في الوقت المختصّ بالعصر</w:t>
            </w:r>
            <w:r>
              <w:rPr>
                <w:rStyle w:val="IndexLink"/>
                <w:rtl w:val="true"/>
              </w:rPr>
              <w:tab/>
            </w:r>
            <w:r>
              <w:rPr>
                <w:rStyle w:val="IndexLink"/>
              </w:rPr>
              <w:t>127</w:t>
            </w:r>
          </w:hyperlink>
        </w:p>
        <w:p>
          <w:pPr>
            <w:pStyle w:val="Contents3"/>
            <w:tabs>
              <w:tab w:val="clear" w:pos="8459"/>
              <w:tab w:val="right" w:pos="9026" w:leader="dot"/>
            </w:tabs>
            <w:rPr/>
          </w:pPr>
          <w:hyperlink w:anchor="__RefHeading___Toc7940346_1051229030">
            <w:r>
              <w:rPr>
                <w:webHidden/>
                <w:rStyle w:val="IndexLink"/>
                <w:rtl w:val="true"/>
              </w:rPr>
              <w:t>المسألة السادسة</w:t>
            </w:r>
            <w:r>
              <w:rPr>
                <w:rStyle w:val="IndexLink"/>
                <w:rtl w:val="true"/>
              </w:rPr>
              <w:t xml:space="preserve">: </w:t>
            </w:r>
            <w:r>
              <w:rPr>
                <w:rStyle w:val="IndexLink"/>
                <w:rtl w:val="true"/>
              </w:rPr>
              <w:t>في الشكّ بين الثلاث والأربع في العشاء وتذكّر نسيان المغرب</w:t>
            </w:r>
            <w:r>
              <w:rPr>
                <w:rStyle w:val="IndexLink"/>
                <w:rtl w:val="true"/>
              </w:rPr>
              <w:tab/>
            </w:r>
            <w:r>
              <w:rPr>
                <w:rStyle w:val="IndexLink"/>
              </w:rPr>
              <w:t>129</w:t>
            </w:r>
          </w:hyperlink>
        </w:p>
        <w:p>
          <w:pPr>
            <w:pStyle w:val="Contents3"/>
            <w:tabs>
              <w:tab w:val="clear" w:pos="8459"/>
              <w:tab w:val="right" w:pos="9026" w:leader="dot"/>
            </w:tabs>
            <w:rPr/>
          </w:pPr>
          <w:hyperlink w:anchor="__RefHeading___Toc7940348_1051229030">
            <w:r>
              <w:rPr>
                <w:webHidden/>
                <w:rStyle w:val="IndexLink"/>
                <w:rtl w:val="true"/>
              </w:rPr>
              <w:t>المسألة السابعة</w:t>
            </w:r>
            <w:r>
              <w:rPr>
                <w:rStyle w:val="IndexLink"/>
                <w:rtl w:val="true"/>
              </w:rPr>
              <w:t xml:space="preserve">: </w:t>
            </w:r>
            <w:r>
              <w:rPr>
                <w:rStyle w:val="IndexLink"/>
                <w:rtl w:val="true"/>
              </w:rPr>
              <w:t>فيما إذا تذكّر في أثناء العصر أ نّه ترك ركعة من الظهر</w:t>
            </w:r>
            <w:r>
              <w:rPr>
                <w:rStyle w:val="IndexLink"/>
                <w:rtl w:val="true"/>
              </w:rPr>
              <w:tab/>
            </w:r>
            <w:r>
              <w:rPr>
                <w:rStyle w:val="IndexLink"/>
              </w:rPr>
              <w:t>134</w:t>
            </w:r>
          </w:hyperlink>
        </w:p>
        <w:p>
          <w:pPr>
            <w:pStyle w:val="Contents4"/>
            <w:tabs>
              <w:tab w:val="clear" w:pos="8176"/>
              <w:tab w:val="right" w:pos="9026" w:leader="dot"/>
            </w:tabs>
            <w:rPr/>
          </w:pPr>
          <w:hyperlink w:anchor="__RefHeading___Toc7940350_105122903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7940352_1051229030">
            <w:r>
              <w:rPr>
                <w:webHidden/>
                <w:rStyle w:val="IndexLink"/>
                <w:rtl w:val="true"/>
              </w:rPr>
              <w:t>مختار صاحب العروة في المقام وردّه</w:t>
            </w:r>
            <w:r>
              <w:rPr>
                <w:rStyle w:val="IndexLink"/>
                <w:rtl w:val="true"/>
              </w:rPr>
              <w:tab/>
            </w:r>
            <w:r>
              <w:rPr>
                <w:rStyle w:val="IndexLink"/>
              </w:rPr>
              <w:t>139</w:t>
            </w:r>
          </w:hyperlink>
        </w:p>
        <w:p>
          <w:pPr>
            <w:pStyle w:val="Contents4"/>
            <w:tabs>
              <w:tab w:val="clear" w:pos="8176"/>
              <w:tab w:val="right" w:pos="9026" w:leader="dot"/>
            </w:tabs>
            <w:rPr/>
          </w:pPr>
          <w:hyperlink w:anchor="__RefHeading___Toc7940354_1051229030">
            <w:r>
              <w:rPr>
                <w:webHidden/>
                <w:rStyle w:val="IndexLink"/>
                <w:rtl w:val="true"/>
              </w:rPr>
              <w:t>مختار الشهيدين في المقام وردّه</w:t>
            </w:r>
            <w:r>
              <w:rPr>
                <w:rStyle w:val="IndexLink"/>
                <w:rtl w:val="true"/>
              </w:rPr>
              <w:tab/>
            </w:r>
            <w:r>
              <w:rPr>
                <w:rStyle w:val="IndexLink"/>
              </w:rPr>
              <w:t>141</w:t>
            </w:r>
          </w:hyperlink>
        </w:p>
        <w:p>
          <w:pPr>
            <w:pStyle w:val="Contents2"/>
            <w:tabs>
              <w:tab w:val="clear" w:pos="8743"/>
              <w:tab w:val="right" w:pos="9026" w:leader="dot"/>
            </w:tabs>
            <w:rPr/>
          </w:pPr>
          <w:hyperlink w:anchor="__RefHeading___Toc7940356_1051229030">
            <w:r>
              <w:rPr>
                <w:webHidden/>
                <w:rStyle w:val="IndexLink"/>
                <w:rtl w:val="true"/>
              </w:rPr>
              <w:t>الفوائد الخمسة</w:t>
            </w:r>
            <w:r>
              <w:rPr>
                <w:rStyle w:val="IndexLink"/>
                <w:rtl w:val="true"/>
              </w:rPr>
              <w:tab/>
            </w:r>
            <w:r>
              <w:rPr>
                <w:rStyle w:val="IndexLink"/>
              </w:rPr>
              <w:t>145</w:t>
            </w:r>
          </w:hyperlink>
        </w:p>
        <w:p>
          <w:pPr>
            <w:pStyle w:val="Contents3"/>
            <w:tabs>
              <w:tab w:val="clear" w:pos="8459"/>
              <w:tab w:val="right" w:pos="9026" w:leader="dot"/>
            </w:tabs>
            <w:rPr/>
          </w:pPr>
          <w:hyperlink w:anchor="__RefHeading___Toc7940358_1051229030">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7940360_1051229030">
            <w:r>
              <w:rPr>
                <w:webHidden/>
                <w:rStyle w:val="IndexLink"/>
                <w:rtl w:val="true"/>
              </w:rPr>
              <w:t xml:space="preserve">الفائدة الاُولى </w:t>
            </w:r>
            <w:r>
              <w:rPr>
                <w:rStyle w:val="IndexLink"/>
                <w:rtl w:val="true"/>
              </w:rPr>
              <w:t xml:space="preserve">: </w:t>
            </w:r>
            <w:r>
              <w:rPr>
                <w:rStyle w:val="IndexLink"/>
                <w:rtl w:val="true"/>
              </w:rPr>
              <w:t xml:space="preserve">في قاعدة </w:t>
            </w:r>
            <w:r>
              <w:rPr>
                <w:rStyle w:val="IndexLink"/>
                <w:rtl w:val="true"/>
              </w:rPr>
              <w:t>«</w:t>
            </w:r>
            <w:r>
              <w:rPr>
                <w:rStyle w:val="IndexLink"/>
                <w:rtl w:val="true"/>
              </w:rPr>
              <w:t>من ملك شيئاً ملك الإقرار به</w:t>
            </w:r>
            <w:r>
              <w:rPr>
                <w:rStyle w:val="IndexLink"/>
                <w:rtl w:val="true"/>
              </w:rPr>
              <w:t>»</w:t>
              <w:tab/>
            </w:r>
            <w:r>
              <w:rPr>
                <w:rStyle w:val="IndexLink"/>
              </w:rPr>
              <w:t>149</w:t>
            </w:r>
          </w:hyperlink>
        </w:p>
        <w:p>
          <w:pPr>
            <w:pStyle w:val="Contents4"/>
            <w:tabs>
              <w:tab w:val="clear" w:pos="8176"/>
              <w:tab w:val="right" w:pos="9026" w:leader="dot"/>
            </w:tabs>
            <w:rPr/>
          </w:pPr>
          <w:hyperlink w:anchor="__RefHeading___Toc7940362_105122903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7940364_1051229030">
            <w:r>
              <w:rPr>
                <w:webHidden/>
                <w:rStyle w:val="IndexLink"/>
                <w:rtl w:val="true"/>
              </w:rPr>
              <w:t>المراد بملك الشيء</w:t>
            </w:r>
            <w:r>
              <w:rPr>
                <w:rStyle w:val="IndexLink"/>
                <w:rtl w:val="true"/>
              </w:rPr>
              <w:tab/>
            </w:r>
            <w:r>
              <w:rPr>
                <w:rStyle w:val="IndexLink"/>
              </w:rPr>
              <w:t>149</w:t>
            </w:r>
          </w:hyperlink>
        </w:p>
        <w:p>
          <w:pPr>
            <w:pStyle w:val="Contents4"/>
            <w:tabs>
              <w:tab w:val="clear" w:pos="8176"/>
              <w:tab w:val="right" w:pos="9026" w:leader="dot"/>
            </w:tabs>
            <w:rPr/>
          </w:pPr>
          <w:hyperlink w:anchor="__RefHeading___Toc7940366_1051229030">
            <w:r>
              <w:rPr>
                <w:webHidden/>
                <w:rStyle w:val="IndexLink"/>
                <w:rtl w:val="true"/>
              </w:rPr>
              <w:t xml:space="preserve">المراد من </w:t>
            </w:r>
            <w:r>
              <w:rPr>
                <w:rStyle w:val="IndexLink"/>
                <w:rtl w:val="true"/>
              </w:rPr>
              <w:t>«</w:t>
            </w:r>
            <w:r>
              <w:rPr>
                <w:rStyle w:val="IndexLink"/>
                <w:rtl w:val="true"/>
              </w:rPr>
              <w:t>الشيء</w:t>
            </w:r>
            <w:r>
              <w:rPr>
                <w:rStyle w:val="IndexLink"/>
                <w:rtl w:val="true"/>
              </w:rPr>
              <w:t xml:space="preserve">» </w:t>
            </w:r>
            <w:r>
              <w:rPr>
                <w:rStyle w:val="IndexLink"/>
                <w:rtl w:val="true"/>
              </w:rPr>
              <w:t>في القاعدة</w:t>
            </w:r>
            <w:r>
              <w:rPr>
                <w:rStyle w:val="IndexLink"/>
                <w:rtl w:val="true"/>
              </w:rPr>
              <w:tab/>
            </w:r>
            <w:r>
              <w:rPr>
                <w:rStyle w:val="IndexLink"/>
              </w:rPr>
              <w:t>150</w:t>
            </w:r>
          </w:hyperlink>
        </w:p>
        <w:p>
          <w:pPr>
            <w:pStyle w:val="Contents4"/>
            <w:tabs>
              <w:tab w:val="clear" w:pos="8176"/>
              <w:tab w:val="right" w:pos="9026" w:leader="dot"/>
            </w:tabs>
            <w:rPr/>
          </w:pPr>
          <w:hyperlink w:anchor="__RefHeading___Toc7940368_1051229030">
            <w:r>
              <w:rPr>
                <w:webHidden/>
                <w:rStyle w:val="IndexLink"/>
                <w:rtl w:val="true"/>
              </w:rPr>
              <w:t>اختصاص القاعدة بإقرار الأصيل</w:t>
            </w:r>
            <w:r>
              <w:rPr>
                <w:rStyle w:val="IndexLink"/>
                <w:rtl w:val="true"/>
              </w:rPr>
              <w:tab/>
            </w:r>
            <w:r>
              <w:rPr>
                <w:rStyle w:val="IndexLink"/>
              </w:rPr>
              <w:t>152</w:t>
            </w:r>
          </w:hyperlink>
        </w:p>
        <w:p>
          <w:pPr>
            <w:pStyle w:val="Contents4"/>
            <w:tabs>
              <w:tab w:val="clear" w:pos="8176"/>
              <w:tab w:val="right" w:pos="9026" w:leader="dot"/>
            </w:tabs>
            <w:rPr/>
          </w:pPr>
          <w:hyperlink w:anchor="__RefHeading___Toc7940370_1051229030">
            <w:r>
              <w:rPr>
                <w:webHidden/>
                <w:rStyle w:val="IndexLink"/>
                <w:rtl w:val="true"/>
              </w:rPr>
              <w:t>في رجوع هذه القاعدة إلى قواعد اُخرى</w:t>
            </w:r>
            <w:r>
              <w:rPr>
                <w:rStyle w:val="IndexLink"/>
                <w:rtl w:val="true"/>
              </w:rPr>
              <w:tab/>
            </w:r>
            <w:r>
              <w:rPr>
                <w:rStyle w:val="IndexLink"/>
              </w:rPr>
              <w:t>152</w:t>
            </w:r>
          </w:hyperlink>
        </w:p>
        <w:p>
          <w:pPr>
            <w:pStyle w:val="Contents4"/>
            <w:tabs>
              <w:tab w:val="clear" w:pos="8176"/>
              <w:tab w:val="right" w:pos="9026" w:leader="dot"/>
            </w:tabs>
            <w:rPr/>
          </w:pPr>
          <w:hyperlink w:anchor="__RefHeading___Toc7940372_1051229030">
            <w:r>
              <w:rPr>
                <w:webHidden/>
                <w:rStyle w:val="IndexLink"/>
                <w:rtl w:val="true"/>
              </w:rPr>
              <w:t>اشتراط وقوع الإقرار بالشيء في زمان مالكيته</w:t>
            </w:r>
            <w:r>
              <w:rPr>
                <w:rStyle w:val="IndexLink"/>
                <w:rtl w:val="true"/>
              </w:rPr>
              <w:tab/>
            </w:r>
            <w:r>
              <w:rPr>
                <w:rStyle w:val="IndexLink"/>
              </w:rPr>
              <w:t>153</w:t>
            </w:r>
          </w:hyperlink>
        </w:p>
        <w:p>
          <w:pPr>
            <w:pStyle w:val="Contents4"/>
            <w:tabs>
              <w:tab w:val="clear" w:pos="8176"/>
              <w:tab w:val="right" w:pos="9026" w:leader="dot"/>
            </w:tabs>
            <w:rPr/>
          </w:pPr>
          <w:hyperlink w:anchor="__RefHeading___Toc7940374_1051229030">
            <w:r>
              <w:rPr>
                <w:webHidden/>
                <w:rStyle w:val="IndexLink"/>
                <w:rtl w:val="true"/>
              </w:rPr>
              <w:t>المراد بملك الإقرار</w:t>
            </w:r>
            <w:r>
              <w:rPr>
                <w:rStyle w:val="IndexLink"/>
                <w:rtl w:val="true"/>
              </w:rPr>
              <w:tab/>
            </w:r>
            <w:r>
              <w:rPr>
                <w:rStyle w:val="IndexLink"/>
              </w:rPr>
              <w:t>155</w:t>
            </w:r>
          </w:hyperlink>
        </w:p>
        <w:p>
          <w:pPr>
            <w:pStyle w:val="Contents4"/>
            <w:tabs>
              <w:tab w:val="clear" w:pos="8176"/>
              <w:tab w:val="right" w:pos="9026" w:leader="dot"/>
            </w:tabs>
            <w:rPr/>
          </w:pPr>
          <w:hyperlink w:anchor="__RefHeading___Toc7940376_1051229030">
            <w:r>
              <w:rPr>
                <w:webHidden/>
                <w:rStyle w:val="IndexLink"/>
                <w:rtl w:val="true"/>
              </w:rPr>
              <w:t>في منع الشيخ الأعظم من الاستدلال على القاعدة بقاعدة الإقرار</w:t>
            </w:r>
            <w:r>
              <w:rPr>
                <w:rStyle w:val="IndexLink"/>
                <w:rtl w:val="true"/>
              </w:rPr>
              <w:tab/>
            </w:r>
            <w:r>
              <w:rPr>
                <w:rStyle w:val="IndexLink"/>
              </w:rPr>
              <w:t>155</w:t>
            </w:r>
          </w:hyperlink>
        </w:p>
        <w:p>
          <w:pPr>
            <w:pStyle w:val="Contents4"/>
            <w:tabs>
              <w:tab w:val="clear" w:pos="8176"/>
              <w:tab w:val="right" w:pos="9026" w:leader="dot"/>
            </w:tabs>
            <w:rPr/>
          </w:pPr>
          <w:hyperlink w:anchor="__RefHeading___Toc7940378_1051229030">
            <w:r>
              <w:rPr>
                <w:webHidden/>
                <w:rStyle w:val="IndexLink"/>
                <w:rtl w:val="true"/>
              </w:rPr>
              <w:t>عدم قيام الإجماع على هذه القاعدة برأسها</w:t>
            </w:r>
            <w:r>
              <w:rPr>
                <w:rStyle w:val="IndexLink"/>
                <w:rtl w:val="true"/>
              </w:rPr>
              <w:tab/>
            </w:r>
            <w:r>
              <w:rPr>
                <w:rStyle w:val="IndexLink"/>
              </w:rPr>
              <w:t>156</w:t>
            </w:r>
          </w:hyperlink>
        </w:p>
        <w:p>
          <w:pPr>
            <w:pStyle w:val="Contents4"/>
            <w:tabs>
              <w:tab w:val="clear" w:pos="8176"/>
              <w:tab w:val="right" w:pos="9026" w:leader="dot"/>
            </w:tabs>
            <w:rPr/>
          </w:pPr>
          <w:hyperlink w:anchor="__RefHeading___Toc7940380_1051229030">
            <w:r>
              <w:rPr>
                <w:webHidden/>
                <w:rStyle w:val="IndexLink"/>
                <w:rtl w:val="true"/>
              </w:rPr>
              <w:t>النسبة بين هذه القاعدة وقاعدة الائتمان</w:t>
            </w:r>
            <w:r>
              <w:rPr>
                <w:rStyle w:val="IndexLink"/>
                <w:rtl w:val="true"/>
              </w:rPr>
              <w:tab/>
            </w:r>
            <w:r>
              <w:rPr>
                <w:rStyle w:val="IndexLink"/>
              </w:rPr>
              <w:t>157</w:t>
            </w:r>
          </w:hyperlink>
        </w:p>
        <w:p>
          <w:pPr>
            <w:pStyle w:val="Contents4"/>
            <w:tabs>
              <w:tab w:val="clear" w:pos="8176"/>
              <w:tab w:val="right" w:pos="9026" w:leader="dot"/>
            </w:tabs>
            <w:rPr/>
          </w:pPr>
          <w:hyperlink w:anchor="__RefHeading___Toc7940382_1051229030">
            <w:r>
              <w:rPr>
                <w:webHidden/>
                <w:rStyle w:val="IndexLink"/>
                <w:rtl w:val="true"/>
              </w:rPr>
              <w:t>النسبة بين القاعدة الفخرية وقاعدتي من ملك والائتمان</w:t>
            </w:r>
            <w:r>
              <w:rPr>
                <w:rStyle w:val="IndexLink"/>
                <w:rtl w:val="true"/>
              </w:rPr>
              <w:tab/>
            </w:r>
            <w:r>
              <w:rPr>
                <w:rStyle w:val="IndexLink"/>
              </w:rPr>
              <w:t>158</w:t>
            </w:r>
          </w:hyperlink>
        </w:p>
        <w:p>
          <w:pPr>
            <w:pStyle w:val="Contents3"/>
            <w:tabs>
              <w:tab w:val="clear" w:pos="8459"/>
              <w:tab w:val="right" w:pos="9026" w:leader="dot"/>
            </w:tabs>
            <w:rPr/>
          </w:pPr>
          <w:hyperlink w:anchor="__RefHeading___Toc7940384_1051229030">
            <w:r>
              <w:rPr>
                <w:webHidden/>
                <w:rStyle w:val="IndexLink"/>
                <w:rtl w:val="true"/>
              </w:rPr>
              <w:t xml:space="preserve">الفائدة الثانية </w:t>
            </w:r>
            <w:r>
              <w:rPr>
                <w:rStyle w:val="IndexLink"/>
                <w:rtl w:val="true"/>
              </w:rPr>
              <w:t xml:space="preserve">: </w:t>
            </w:r>
            <w:r>
              <w:rPr>
                <w:rStyle w:val="IndexLink"/>
                <w:rtl w:val="true"/>
              </w:rPr>
              <w:t>في تداخل الأسباب</w:t>
            </w:r>
            <w:r>
              <w:rPr>
                <w:rStyle w:val="IndexLink"/>
                <w:rtl w:val="true"/>
              </w:rPr>
              <w:tab/>
            </w:r>
            <w:r>
              <w:rPr>
                <w:rStyle w:val="IndexLink"/>
              </w:rPr>
              <w:t>163</w:t>
            </w:r>
          </w:hyperlink>
        </w:p>
        <w:p>
          <w:pPr>
            <w:pStyle w:val="Contents4"/>
            <w:tabs>
              <w:tab w:val="clear" w:pos="8176"/>
              <w:tab w:val="right" w:pos="9026" w:leader="dot"/>
            </w:tabs>
            <w:rPr/>
          </w:pPr>
          <w:hyperlink w:anchor="__RefHeading___Toc7940386_105122903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7940388_1051229030">
            <w:r>
              <w:rPr>
                <w:webHidden/>
                <w:rStyle w:val="IndexLink"/>
                <w:rtl w:val="true"/>
              </w:rPr>
              <w:t>بيان متعلّق الإرادة والكراهة وكيفية تعلّقهما به</w:t>
            </w:r>
            <w:r>
              <w:rPr>
                <w:rStyle w:val="IndexLink"/>
                <w:rtl w:val="true"/>
              </w:rPr>
              <w:tab/>
            </w:r>
            <w:r>
              <w:rPr>
                <w:rStyle w:val="IndexLink"/>
              </w:rPr>
              <w:t>165</w:t>
            </w:r>
          </w:hyperlink>
        </w:p>
        <w:p>
          <w:pPr>
            <w:pStyle w:val="Contents3"/>
            <w:tabs>
              <w:tab w:val="clear" w:pos="8459"/>
              <w:tab w:val="right" w:pos="9026" w:leader="dot"/>
            </w:tabs>
            <w:rPr/>
          </w:pPr>
          <w:hyperlink w:anchor="__RefHeading___Toc7940390_1051229030">
            <w:r>
              <w:rPr>
                <w:webHidden/>
                <w:rStyle w:val="IndexLink"/>
                <w:rtl w:val="true"/>
              </w:rPr>
              <w:t xml:space="preserve">الفائدة الثالثة </w:t>
            </w:r>
            <w:r>
              <w:rPr>
                <w:rStyle w:val="IndexLink"/>
                <w:rtl w:val="true"/>
              </w:rPr>
              <w:t xml:space="preserve">: </w:t>
            </w:r>
            <w:r>
              <w:rPr>
                <w:rStyle w:val="IndexLink"/>
                <w:rtl w:val="true"/>
              </w:rPr>
              <w:t>في قياس الأوامر التشريعية بالعلل التكوينية وما يترتّب عليه</w:t>
            </w:r>
            <w:r>
              <w:rPr>
                <w:rStyle w:val="IndexLink"/>
                <w:rtl w:val="true"/>
              </w:rPr>
              <w:tab/>
            </w:r>
            <w:r>
              <w:rPr>
                <w:rStyle w:val="IndexLink"/>
              </w:rPr>
              <w:t>171</w:t>
            </w:r>
          </w:hyperlink>
        </w:p>
        <w:p>
          <w:pPr>
            <w:pStyle w:val="Contents4"/>
            <w:tabs>
              <w:tab w:val="clear" w:pos="8176"/>
              <w:tab w:val="right" w:pos="9026" w:leader="dot"/>
            </w:tabs>
            <w:rPr/>
          </w:pPr>
          <w:hyperlink w:anchor="__RefHeading___Toc7940392_105122903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7940394_1051229030">
            <w:r>
              <w:rPr>
                <w:webHidden/>
                <w:rStyle w:val="IndexLink"/>
                <w:rtl w:val="true"/>
              </w:rPr>
              <w:t>إبطال أصالة الفورية</w:t>
            </w:r>
            <w:r>
              <w:rPr>
                <w:rStyle w:val="IndexLink"/>
                <w:rtl w:val="true"/>
              </w:rPr>
              <w:tab/>
            </w:r>
            <w:r>
              <w:rPr>
                <w:rStyle w:val="IndexLink"/>
              </w:rPr>
              <w:t>171</w:t>
            </w:r>
          </w:hyperlink>
        </w:p>
        <w:p>
          <w:pPr>
            <w:pStyle w:val="Contents4"/>
            <w:tabs>
              <w:tab w:val="clear" w:pos="8176"/>
              <w:tab w:val="right" w:pos="9026" w:leader="dot"/>
            </w:tabs>
            <w:rPr/>
          </w:pPr>
          <w:hyperlink w:anchor="__RefHeading___Toc7940396_1051229030">
            <w:r>
              <w:rPr>
                <w:webHidden/>
                <w:rStyle w:val="IndexLink"/>
                <w:rtl w:val="true"/>
              </w:rPr>
              <w:t>إبطال أصالة التعبّدية</w:t>
            </w:r>
            <w:r>
              <w:rPr>
                <w:rStyle w:val="IndexLink"/>
                <w:rtl w:val="true"/>
              </w:rPr>
              <w:tab/>
            </w:r>
            <w:r>
              <w:rPr>
                <w:rStyle w:val="IndexLink"/>
              </w:rPr>
              <w:t>173</w:t>
            </w:r>
          </w:hyperlink>
        </w:p>
        <w:p>
          <w:pPr>
            <w:pStyle w:val="Contents4"/>
            <w:tabs>
              <w:tab w:val="clear" w:pos="8176"/>
              <w:tab w:val="right" w:pos="9026" w:leader="dot"/>
            </w:tabs>
            <w:rPr/>
          </w:pPr>
          <w:hyperlink w:anchor="__RefHeading___Toc7940398_1051229030">
            <w:r>
              <w:rPr>
                <w:webHidden/>
                <w:rStyle w:val="IndexLink"/>
                <w:rtl w:val="true"/>
              </w:rPr>
              <w:t>إبطال حمل صيغة الأمر على الوجوب عند الإطلاق</w:t>
            </w:r>
            <w:r>
              <w:rPr>
                <w:rStyle w:val="IndexLink"/>
                <w:rtl w:val="true"/>
              </w:rPr>
              <w:tab/>
            </w:r>
            <w:r>
              <w:rPr>
                <w:rStyle w:val="IndexLink"/>
              </w:rPr>
              <w:t>174</w:t>
            </w:r>
          </w:hyperlink>
        </w:p>
        <w:p>
          <w:pPr>
            <w:pStyle w:val="Contents3"/>
            <w:tabs>
              <w:tab w:val="clear" w:pos="8459"/>
              <w:tab w:val="right" w:pos="9026" w:leader="dot"/>
            </w:tabs>
            <w:rPr/>
          </w:pPr>
          <w:hyperlink w:anchor="__RefHeading___Toc7940400_1051229030">
            <w:r>
              <w:rPr>
                <w:webHidden/>
                <w:rStyle w:val="IndexLink"/>
                <w:rtl w:val="true"/>
              </w:rPr>
              <w:t xml:space="preserve">الفائدة الرابعة </w:t>
            </w:r>
            <w:r>
              <w:rPr>
                <w:rStyle w:val="IndexLink"/>
                <w:rtl w:val="true"/>
              </w:rPr>
              <w:t xml:space="preserve">: </w:t>
            </w:r>
            <w:r>
              <w:rPr>
                <w:rStyle w:val="IndexLink"/>
                <w:rtl w:val="true"/>
              </w:rPr>
              <w:t>في موضوع علم الاُصول</w:t>
            </w:r>
            <w:r>
              <w:rPr>
                <w:rStyle w:val="IndexLink"/>
                <w:rtl w:val="true"/>
              </w:rPr>
              <w:tab/>
            </w:r>
            <w:r>
              <w:rPr>
                <w:rStyle w:val="IndexLink"/>
              </w:rPr>
              <w:t>179</w:t>
            </w:r>
          </w:hyperlink>
        </w:p>
        <w:p>
          <w:pPr>
            <w:pStyle w:val="Contents4"/>
            <w:tabs>
              <w:tab w:val="clear" w:pos="8176"/>
              <w:tab w:val="right" w:pos="9026" w:leader="dot"/>
            </w:tabs>
            <w:rPr/>
          </w:pPr>
          <w:hyperlink w:anchor="__RefHeading___Toc7940402_105122903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7940404_1051229030">
            <w:r>
              <w:rPr>
                <w:webHidden/>
                <w:rStyle w:val="IndexLink"/>
                <w:rtl w:val="true"/>
              </w:rPr>
              <w:t>حول تمايز العلوم</w:t>
            </w:r>
            <w:r>
              <w:rPr>
                <w:rStyle w:val="IndexLink"/>
                <w:rtl w:val="true"/>
              </w:rPr>
              <w:tab/>
            </w:r>
            <w:r>
              <w:rPr>
                <w:rStyle w:val="IndexLink"/>
              </w:rPr>
              <w:t>183</w:t>
            </w:r>
          </w:hyperlink>
        </w:p>
        <w:p>
          <w:pPr>
            <w:pStyle w:val="Contents3"/>
            <w:tabs>
              <w:tab w:val="clear" w:pos="8459"/>
              <w:tab w:val="right" w:pos="9026" w:leader="dot"/>
            </w:tabs>
            <w:rPr/>
          </w:pPr>
          <w:hyperlink w:anchor="__RefHeading___Toc7940406_1051229030">
            <w:r>
              <w:rPr>
                <w:webHidden/>
                <w:rStyle w:val="IndexLink"/>
                <w:rtl w:val="true"/>
              </w:rPr>
              <w:t xml:space="preserve">الفائدة الخامسة </w:t>
            </w:r>
            <w:r>
              <w:rPr>
                <w:rStyle w:val="IndexLink"/>
                <w:rtl w:val="true"/>
              </w:rPr>
              <w:t xml:space="preserve">: </w:t>
            </w:r>
            <w:r>
              <w:rPr>
                <w:rStyle w:val="IndexLink"/>
                <w:rtl w:val="true"/>
              </w:rPr>
              <w:t>في لزوم التبيّن الفعلي للفجر في الليالي المقمرة</w:t>
            </w:r>
            <w:r>
              <w:rPr>
                <w:rStyle w:val="IndexLink"/>
                <w:rtl w:val="true"/>
              </w:rPr>
              <w:tab/>
            </w:r>
            <w:r>
              <w:rPr>
                <w:rStyle w:val="IndexLink"/>
              </w:rPr>
              <w:t>187</w:t>
            </w:r>
          </w:hyperlink>
        </w:p>
        <w:p>
          <w:pPr>
            <w:pStyle w:val="Contents4"/>
            <w:tabs>
              <w:tab w:val="clear" w:pos="8176"/>
              <w:tab w:val="right" w:pos="9026" w:leader="dot"/>
            </w:tabs>
            <w:rPr/>
          </w:pPr>
          <w:hyperlink w:anchor="__RefHeading___Toc7940408_105122903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7940410_1051229030">
            <w:r>
              <w:rPr>
                <w:webHidden/>
                <w:rStyle w:val="IndexLink"/>
                <w:rtl w:val="true"/>
              </w:rPr>
              <w:t>الاستدلال بالكتاب لاعتبار التبيّن الفعلي</w:t>
            </w:r>
            <w:r>
              <w:rPr>
                <w:rStyle w:val="IndexLink"/>
                <w:rtl w:val="true"/>
              </w:rPr>
              <w:tab/>
            </w:r>
            <w:r>
              <w:rPr>
                <w:rStyle w:val="IndexLink"/>
              </w:rPr>
              <w:t>188</w:t>
            </w:r>
          </w:hyperlink>
        </w:p>
        <w:p>
          <w:pPr>
            <w:pStyle w:val="Contents4"/>
            <w:tabs>
              <w:tab w:val="clear" w:pos="8176"/>
              <w:tab w:val="right" w:pos="9026" w:leader="dot"/>
            </w:tabs>
            <w:rPr/>
          </w:pPr>
          <w:hyperlink w:anchor="__RefHeading___Toc7940412_1051229030">
            <w:r>
              <w:rPr>
                <w:webHidden/>
                <w:rStyle w:val="IndexLink"/>
                <w:rtl w:val="true"/>
              </w:rPr>
              <w:t>الاستدلال بالسنّة لاعتبار التبيّن الفعلي</w:t>
            </w:r>
            <w:r>
              <w:rPr>
                <w:rStyle w:val="IndexLink"/>
                <w:rtl w:val="true"/>
              </w:rPr>
              <w:tab/>
            </w:r>
            <w:r>
              <w:rPr>
                <w:rStyle w:val="IndexLink"/>
              </w:rPr>
              <w:t>190</w:t>
            </w:r>
          </w:hyperlink>
        </w:p>
        <w:p>
          <w:pPr>
            <w:pStyle w:val="Contents2"/>
            <w:tabs>
              <w:tab w:val="clear" w:pos="8743"/>
              <w:tab w:val="right" w:pos="9026" w:leader="dot"/>
            </w:tabs>
            <w:rPr/>
          </w:pPr>
          <w:hyperlink w:anchor="__RefHeading___Toc7940414_1051229030">
            <w:r>
              <w:rPr>
                <w:webHidden/>
                <w:rStyle w:val="IndexLink"/>
                <w:rtl w:val="true"/>
              </w:rPr>
              <w:t>تعليقة على رسالة التقابل</w:t>
            </w:r>
            <w:r>
              <w:rPr>
                <w:rStyle w:val="IndexLink"/>
                <w:rtl w:val="true"/>
              </w:rPr>
              <w:tab/>
            </w:r>
            <w:r>
              <w:rPr>
                <w:rStyle w:val="IndexLink"/>
              </w:rPr>
              <w:t>193</w:t>
            </w:r>
          </w:hyperlink>
        </w:p>
        <w:p>
          <w:pPr>
            <w:pStyle w:val="Contents3"/>
            <w:tabs>
              <w:tab w:val="clear" w:pos="8459"/>
              <w:tab w:val="right" w:pos="9026" w:leader="dot"/>
            </w:tabs>
            <w:rPr/>
          </w:pPr>
          <w:hyperlink w:anchor="__RefHeading___Toc7940416_1051229030">
            <w:r>
              <w:rPr>
                <w:webHidden/>
                <w:rStyle w:val="IndexLink"/>
                <w:rtl w:val="true"/>
              </w:rPr>
              <w:t>التحقيق في تعريف التقابل</w:t>
            </w:r>
            <w:r>
              <w:rPr>
                <w:rStyle w:val="IndexLink"/>
                <w:rtl w:val="true"/>
              </w:rPr>
              <w:tab/>
            </w:r>
            <w:r>
              <w:rPr>
                <w:rStyle w:val="IndexLink"/>
              </w:rPr>
              <w:t>193</w:t>
            </w:r>
          </w:hyperlink>
        </w:p>
        <w:p>
          <w:pPr>
            <w:pStyle w:val="Contents3"/>
            <w:tabs>
              <w:tab w:val="clear" w:pos="8459"/>
              <w:tab w:val="right" w:pos="9026" w:leader="dot"/>
            </w:tabs>
            <w:rPr/>
          </w:pPr>
          <w:hyperlink w:anchor="__RefHeading___Toc7940418_1051229030">
            <w:r>
              <w:rPr>
                <w:webHidden/>
                <w:rStyle w:val="IndexLink"/>
                <w:rtl w:val="true"/>
              </w:rPr>
              <w:t>تعريف التقابل عند الحكماء ونقده</w:t>
            </w:r>
            <w:r>
              <w:rPr>
                <w:rStyle w:val="IndexLink"/>
                <w:rtl w:val="true"/>
              </w:rPr>
              <w:tab/>
            </w:r>
            <w:r>
              <w:rPr>
                <w:rStyle w:val="IndexLink"/>
              </w:rPr>
              <w:t>197</w:t>
            </w:r>
          </w:hyperlink>
        </w:p>
        <w:p>
          <w:pPr>
            <w:pStyle w:val="Contents3"/>
            <w:tabs>
              <w:tab w:val="clear" w:pos="8459"/>
              <w:tab w:val="right" w:pos="9026" w:leader="dot"/>
            </w:tabs>
            <w:rPr/>
          </w:pPr>
          <w:hyperlink w:anchor="__RefHeading___Toc7940420_1051229030">
            <w:r>
              <w:rPr>
                <w:webHidden/>
                <w:rStyle w:val="IndexLink"/>
                <w:rtl w:val="true"/>
              </w:rPr>
              <w:t>عدم قبول القسمة للتقابل بالمعنى الذي ذكرناه</w:t>
            </w:r>
            <w:r>
              <w:rPr>
                <w:rStyle w:val="IndexLink"/>
                <w:rtl w:val="true"/>
              </w:rPr>
              <w:tab/>
            </w:r>
            <w:r>
              <w:rPr>
                <w:rStyle w:val="IndexLink"/>
              </w:rPr>
              <w:t>198</w:t>
            </w:r>
          </w:hyperlink>
        </w:p>
        <w:p>
          <w:pPr>
            <w:pStyle w:val="Contents3"/>
            <w:tabs>
              <w:tab w:val="clear" w:pos="8459"/>
              <w:tab w:val="right" w:pos="9026" w:leader="dot"/>
            </w:tabs>
            <w:rPr/>
          </w:pPr>
          <w:hyperlink w:anchor="__RefHeading___Toc7940422_1051229030">
            <w:r>
              <w:rPr>
                <w:webHidden/>
                <w:rStyle w:val="IndexLink"/>
                <w:rtl w:val="true"/>
              </w:rPr>
              <w:t>نقد ما ذكروه من أقسام التقابل</w:t>
            </w:r>
            <w:r>
              <w:rPr>
                <w:rStyle w:val="IndexLink"/>
                <w:rtl w:val="true"/>
              </w:rPr>
              <w:tab/>
            </w:r>
            <w:r>
              <w:rPr>
                <w:rStyle w:val="IndexLink"/>
              </w:rPr>
              <w:t>199</w:t>
            </w:r>
          </w:hyperlink>
        </w:p>
        <w:p>
          <w:pPr>
            <w:pStyle w:val="Contents2"/>
            <w:tabs>
              <w:tab w:val="clear" w:pos="8743"/>
              <w:tab w:val="right" w:pos="9026" w:leader="dot"/>
            </w:tabs>
            <w:rPr/>
          </w:pPr>
          <w:hyperlink w:anchor="__RefHeading___Toc7940424_1051229030">
            <w:r>
              <w:rPr>
                <w:webHidden/>
                <w:rStyle w:val="IndexLink"/>
                <w:rtl w:val="true"/>
              </w:rPr>
              <w:t>ذبح حيوانات به وسيله دستگاه</w:t>
            </w:r>
            <w:r>
              <w:rPr>
                <w:rStyle w:val="IndexLink"/>
                <w:rtl w:val="true"/>
              </w:rPr>
              <w:tab/>
            </w:r>
            <w:r>
              <w:rPr>
                <w:rStyle w:val="IndexLink"/>
              </w:rPr>
              <w:t>205</w:t>
            </w:r>
          </w:hyperlink>
        </w:p>
        <w:p>
          <w:pPr>
            <w:pStyle w:val="Contents3"/>
            <w:tabs>
              <w:tab w:val="clear" w:pos="8459"/>
              <w:tab w:val="right" w:pos="9026" w:leader="dot"/>
            </w:tabs>
            <w:rPr/>
          </w:pPr>
          <w:hyperlink w:anchor="__RefHeading___Toc7940426_1051229030">
            <w:r>
              <w:rPr>
                <w:webHidden/>
                <w:rStyle w:val="IndexLink"/>
                <w:rtl w:val="true"/>
              </w:rPr>
              <w:t>پاسخ امام خمينى در جواب استفتاء از ذبح حيوانات به وسيله دستگاه</w:t>
            </w:r>
            <w:r>
              <w:rPr>
                <w:rStyle w:val="IndexLink"/>
                <w:rtl w:val="true"/>
              </w:rPr>
              <w:tab/>
            </w:r>
            <w:r>
              <w:rPr>
                <w:rStyle w:val="IndexLink"/>
              </w:rPr>
              <w:t>205</w:t>
            </w:r>
          </w:hyperlink>
        </w:p>
        <w:p>
          <w:pPr>
            <w:pStyle w:val="Contents3"/>
            <w:tabs>
              <w:tab w:val="clear" w:pos="8459"/>
              <w:tab w:val="right" w:pos="9026" w:leader="dot"/>
            </w:tabs>
            <w:rPr/>
          </w:pPr>
          <w:hyperlink w:anchor="__RefHeading___Toc7940428_1051229030">
            <w:r>
              <w:rPr>
                <w:webHidden/>
                <w:rStyle w:val="IndexLink"/>
                <w:rtl w:val="true"/>
              </w:rPr>
              <w:t xml:space="preserve">وجه حرمت ذبيحه توسط دستگاه </w:t>
            </w:r>
            <w:r>
              <w:rPr>
                <w:rStyle w:val="IndexLink"/>
                <w:rtl w:val="true"/>
              </w:rPr>
              <w:t>:</w:t>
              <w:tab/>
            </w:r>
            <w:r>
              <w:rPr>
                <w:rStyle w:val="IndexLink"/>
              </w:rPr>
              <w:t>207</w:t>
            </w:r>
          </w:hyperlink>
        </w:p>
        <w:p>
          <w:pPr>
            <w:pStyle w:val="Contents4"/>
            <w:tabs>
              <w:tab w:val="clear" w:pos="8176"/>
              <w:tab w:val="right" w:pos="9026" w:leader="dot"/>
            </w:tabs>
            <w:rPr/>
          </w:pPr>
          <w:hyperlink w:anchor="__RefHeading___Toc7940430_1051229030">
            <w:r>
              <w:rPr>
                <w:webHidden/>
                <w:rStyle w:val="IndexLink"/>
              </w:rPr>
              <w:t>1</w:t>
            </w:r>
            <w:r>
              <w:rPr>
                <w:rStyle w:val="IndexLink"/>
                <w:rtl w:val="true"/>
              </w:rPr>
              <w:t xml:space="preserve"> - </w:t>
            </w:r>
            <w:r>
              <w:rPr>
                <w:rStyle w:val="IndexLink"/>
                <w:rtl w:val="true"/>
              </w:rPr>
              <w:t>عدم مباشرت ذابح مسلم</w:t>
            </w:r>
            <w:r>
              <w:rPr>
                <w:rStyle w:val="IndexLink"/>
                <w:rtl w:val="true"/>
              </w:rPr>
              <w:tab/>
            </w:r>
            <w:r>
              <w:rPr>
                <w:rStyle w:val="IndexLink"/>
              </w:rPr>
              <w:t>207</w:t>
            </w:r>
          </w:hyperlink>
        </w:p>
        <w:p>
          <w:pPr>
            <w:pStyle w:val="Contents4"/>
            <w:tabs>
              <w:tab w:val="clear" w:pos="8176"/>
              <w:tab w:val="right" w:pos="9026" w:leader="dot"/>
            </w:tabs>
            <w:rPr/>
          </w:pPr>
          <w:hyperlink w:anchor="__RefHeading___Toc7940432_1051229030">
            <w:r>
              <w:rPr>
                <w:webHidden/>
                <w:rStyle w:val="IndexLink"/>
              </w:rPr>
              <w:t>2</w:t>
            </w:r>
            <w:r>
              <w:rPr>
                <w:rStyle w:val="IndexLink"/>
                <w:rtl w:val="true"/>
              </w:rPr>
              <w:t xml:space="preserve"> - </w:t>
            </w:r>
            <w:r>
              <w:rPr>
                <w:rStyle w:val="IndexLink"/>
                <w:rtl w:val="true"/>
              </w:rPr>
              <w:t>عدم تسميه از ذابح مسلم</w:t>
            </w:r>
            <w:r>
              <w:rPr>
                <w:rStyle w:val="IndexLink"/>
                <w:rtl w:val="true"/>
              </w:rPr>
              <w:tab/>
            </w:r>
            <w:r>
              <w:rPr>
                <w:rStyle w:val="IndexLink"/>
              </w:rPr>
              <w:t>207</w:t>
            </w:r>
          </w:hyperlink>
        </w:p>
        <w:p>
          <w:pPr>
            <w:pStyle w:val="Contents4"/>
            <w:tabs>
              <w:tab w:val="clear" w:pos="8176"/>
              <w:tab w:val="right" w:pos="9026" w:leader="dot"/>
            </w:tabs>
            <w:rPr/>
          </w:pPr>
          <w:hyperlink w:anchor="__RefHeading___Toc7940434_1051229030">
            <w:r>
              <w:rPr>
                <w:webHidden/>
                <w:rStyle w:val="IndexLink"/>
              </w:rPr>
              <w:t>3</w:t>
            </w:r>
            <w:r>
              <w:rPr>
                <w:rStyle w:val="IndexLink"/>
                <w:rtl w:val="true"/>
              </w:rPr>
              <w:t xml:space="preserve"> - </w:t>
            </w:r>
            <w:r>
              <w:rPr>
                <w:rStyle w:val="IndexLink"/>
                <w:rtl w:val="true"/>
              </w:rPr>
              <w:t>ذبح از قفا</w:t>
            </w:r>
            <w:r>
              <w:rPr>
                <w:rStyle w:val="IndexLink"/>
                <w:rtl w:val="true"/>
              </w:rPr>
              <w:tab/>
            </w:r>
            <w:r>
              <w:rPr>
                <w:rStyle w:val="IndexLink"/>
              </w:rPr>
              <w:t>208</w:t>
            </w:r>
          </w:hyperlink>
        </w:p>
        <w:p>
          <w:pPr>
            <w:pStyle w:val="Contents2"/>
            <w:tabs>
              <w:tab w:val="clear" w:pos="8743"/>
              <w:tab w:val="right" w:pos="9026" w:leader="dot"/>
            </w:tabs>
            <w:rPr/>
          </w:pPr>
          <w:hyperlink w:anchor="__RefHeading___Toc7940436_1051229030">
            <w:r>
              <w:rPr>
                <w:webHidden/>
                <w:rStyle w:val="IndexLink"/>
                <w:rtl w:val="true"/>
              </w:rPr>
              <w:t>ضميمة فيها ثلاث فوائد</w:t>
            </w:r>
            <w:r>
              <w:rPr>
                <w:rStyle w:val="IndexLink"/>
                <w:rtl w:val="true"/>
              </w:rPr>
              <w:tab/>
            </w:r>
            <w:r>
              <w:rPr>
                <w:rStyle w:val="IndexLink"/>
              </w:rPr>
              <w:t>209</w:t>
            </w:r>
          </w:hyperlink>
        </w:p>
        <w:p>
          <w:pPr>
            <w:pStyle w:val="Contents3"/>
            <w:tabs>
              <w:tab w:val="clear" w:pos="8459"/>
              <w:tab w:val="right" w:pos="9026" w:leader="dot"/>
            </w:tabs>
            <w:rPr/>
          </w:pPr>
          <w:hyperlink w:anchor="__RefHeading___Toc7940438_1051229030">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7940440_1051229030">
            <w:r>
              <w:rPr>
                <w:webHidden/>
                <w:rStyle w:val="IndexLink"/>
                <w:rtl w:val="true"/>
              </w:rPr>
              <w:t xml:space="preserve">الفائدة الاُولى </w:t>
            </w:r>
            <w:r>
              <w:rPr>
                <w:rStyle w:val="IndexLink"/>
                <w:rtl w:val="true"/>
              </w:rPr>
              <w:t xml:space="preserve">: </w:t>
            </w:r>
            <w:r>
              <w:rPr>
                <w:rStyle w:val="IndexLink"/>
                <w:rtl w:val="true"/>
              </w:rPr>
              <w:t>في شرح حال العقود والإيقاعات</w:t>
            </w:r>
            <w:r>
              <w:rPr>
                <w:rStyle w:val="IndexLink"/>
                <w:rtl w:val="true"/>
              </w:rPr>
              <w:tab/>
            </w:r>
            <w:r>
              <w:rPr>
                <w:rStyle w:val="IndexLink"/>
              </w:rPr>
              <w:t>211</w:t>
            </w:r>
          </w:hyperlink>
        </w:p>
        <w:p>
          <w:pPr>
            <w:pStyle w:val="Contents4"/>
            <w:tabs>
              <w:tab w:val="clear" w:pos="8176"/>
              <w:tab w:val="right" w:pos="9026" w:leader="dot"/>
            </w:tabs>
            <w:rPr/>
          </w:pPr>
          <w:hyperlink w:anchor="__RefHeading___Toc7940442_105122903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7940444_1051229030">
            <w:r>
              <w:rPr>
                <w:webHidden/>
                <w:rStyle w:val="IndexLink"/>
                <w:rtl w:val="true"/>
              </w:rPr>
              <w:t xml:space="preserve">المقام الأوّل </w:t>
            </w:r>
            <w:r>
              <w:rPr>
                <w:rStyle w:val="IndexLink"/>
                <w:rtl w:val="true"/>
              </w:rPr>
              <w:t xml:space="preserve">: </w:t>
            </w:r>
            <w:r>
              <w:rPr>
                <w:rStyle w:val="IndexLink"/>
                <w:rtl w:val="true"/>
              </w:rPr>
              <w:t>في الفرق بين العقد والإيقاع</w:t>
            </w:r>
            <w:r>
              <w:rPr>
                <w:rStyle w:val="IndexLink"/>
                <w:rtl w:val="true"/>
              </w:rPr>
              <w:tab/>
            </w:r>
            <w:r>
              <w:rPr>
                <w:rStyle w:val="IndexLink"/>
              </w:rPr>
              <w:t>211</w:t>
            </w:r>
          </w:hyperlink>
        </w:p>
        <w:p>
          <w:pPr>
            <w:pStyle w:val="Contents4"/>
            <w:tabs>
              <w:tab w:val="clear" w:pos="8176"/>
              <w:tab w:val="right" w:pos="9026" w:leader="dot"/>
            </w:tabs>
            <w:rPr/>
          </w:pPr>
          <w:hyperlink w:anchor="__RefHeading___Toc7940446_1051229030">
            <w:r>
              <w:rPr>
                <w:webHidden/>
                <w:rStyle w:val="IndexLink"/>
                <w:rtl w:val="true"/>
              </w:rPr>
              <w:t xml:space="preserve">المقام الثاني </w:t>
            </w:r>
            <w:r>
              <w:rPr>
                <w:rStyle w:val="IndexLink"/>
                <w:rtl w:val="true"/>
              </w:rPr>
              <w:t xml:space="preserve">: </w:t>
            </w:r>
            <w:r>
              <w:rPr>
                <w:rStyle w:val="IndexLink"/>
                <w:rtl w:val="true"/>
              </w:rPr>
              <w:t>حول أصالة اللزوم</w:t>
            </w:r>
            <w:r>
              <w:rPr>
                <w:rStyle w:val="IndexLink"/>
                <w:rtl w:val="true"/>
              </w:rPr>
              <w:tab/>
            </w:r>
            <w:r>
              <w:rPr>
                <w:rStyle w:val="IndexLink"/>
              </w:rPr>
              <w:t>213</w:t>
            </w:r>
          </w:hyperlink>
        </w:p>
        <w:p>
          <w:pPr>
            <w:pStyle w:val="Contents5"/>
            <w:tabs>
              <w:tab w:val="clear" w:pos="7892"/>
              <w:tab w:val="right" w:pos="9026" w:leader="dot"/>
            </w:tabs>
            <w:rPr/>
          </w:pPr>
          <w:hyperlink w:anchor="__RefHeading___Toc7940448_1051229030">
            <w:r>
              <w:rPr>
                <w:webHidden/>
                <w:rStyle w:val="IndexLink"/>
                <w:rtl w:val="true"/>
              </w:rPr>
              <w:t>ضابط تشخيص العقود جوازاً ولزوماً</w:t>
            </w:r>
            <w:r>
              <w:rPr>
                <w:rStyle w:val="IndexLink"/>
                <w:rtl w:val="true"/>
              </w:rPr>
              <w:tab/>
            </w:r>
            <w:r>
              <w:rPr>
                <w:rStyle w:val="IndexLink"/>
              </w:rPr>
              <w:t>213</w:t>
            </w:r>
          </w:hyperlink>
        </w:p>
        <w:p>
          <w:pPr>
            <w:pStyle w:val="Contents5"/>
            <w:tabs>
              <w:tab w:val="clear" w:pos="7892"/>
              <w:tab w:val="right" w:pos="9026" w:leader="dot"/>
            </w:tabs>
            <w:rPr/>
          </w:pPr>
          <w:hyperlink w:anchor="__RefHeading___Toc7940450_1051229030">
            <w:r>
              <w:rPr>
                <w:webHidden/>
                <w:rStyle w:val="IndexLink"/>
                <w:rtl w:val="true"/>
              </w:rPr>
              <w:t>دلالة آية الميثاق على لزوم العقود المعاوضية</w:t>
            </w:r>
            <w:r>
              <w:rPr>
                <w:rStyle w:val="IndexLink"/>
                <w:rtl w:val="true"/>
              </w:rPr>
              <w:tab/>
            </w:r>
            <w:r>
              <w:rPr>
                <w:rStyle w:val="IndexLink"/>
              </w:rPr>
              <w:t>217</w:t>
            </w:r>
          </w:hyperlink>
        </w:p>
        <w:p>
          <w:pPr>
            <w:pStyle w:val="Contents3"/>
            <w:tabs>
              <w:tab w:val="clear" w:pos="8459"/>
              <w:tab w:val="right" w:pos="9026" w:leader="dot"/>
            </w:tabs>
            <w:rPr/>
          </w:pPr>
          <w:hyperlink w:anchor="__RefHeading___Toc7940452_1051229030">
            <w:r>
              <w:rPr>
                <w:webHidden/>
                <w:rStyle w:val="IndexLink"/>
                <w:rtl w:val="true"/>
              </w:rPr>
              <w:t>الفائدة الثانية</w:t>
            </w:r>
            <w:r>
              <w:rPr>
                <w:rStyle w:val="IndexLink"/>
                <w:rtl w:val="true"/>
              </w:rPr>
              <w:t xml:space="preserve">: </w:t>
            </w:r>
            <w:r>
              <w:rPr>
                <w:rStyle w:val="IndexLink"/>
                <w:rtl w:val="true"/>
              </w:rPr>
              <w:t>في حال الشروط المخالفة للكتاب والمباحث المتعلّقة بها</w:t>
            </w:r>
            <w:r>
              <w:rPr>
                <w:rStyle w:val="IndexLink"/>
                <w:rtl w:val="true"/>
              </w:rPr>
              <w:tab/>
            </w:r>
            <w:r>
              <w:rPr>
                <w:rStyle w:val="IndexLink"/>
              </w:rPr>
              <w:t>219</w:t>
            </w:r>
          </w:hyperlink>
        </w:p>
        <w:p>
          <w:pPr>
            <w:pStyle w:val="Contents4"/>
            <w:tabs>
              <w:tab w:val="clear" w:pos="8176"/>
              <w:tab w:val="right" w:pos="9026" w:leader="dot"/>
            </w:tabs>
            <w:rPr/>
          </w:pPr>
          <w:hyperlink w:anchor="__RefHeading___Toc7940454_1051229030">
            <w:r>
              <w:rPr>
                <w:webHidden/>
                <w:rStyle w:val="IndexLink"/>
                <w:rtl w:val="true"/>
              </w:rPr>
              <w:t xml:space="preserve">وهي تذكر في ضمن مطالب </w:t>
            </w:r>
            <w:r>
              <w:rPr>
                <w:rStyle w:val="IndexLink"/>
                <w:rtl w:val="true"/>
              </w:rPr>
              <w:t>:</w:t>
              <w:tab/>
            </w:r>
            <w:r>
              <w:rPr>
                <w:rStyle w:val="IndexLink"/>
              </w:rPr>
              <w:t>219</w:t>
            </w:r>
          </w:hyperlink>
        </w:p>
        <w:p>
          <w:pPr>
            <w:pStyle w:val="Contents5"/>
            <w:tabs>
              <w:tab w:val="clear" w:pos="7892"/>
              <w:tab w:val="right" w:pos="9026" w:leader="dot"/>
            </w:tabs>
            <w:rPr/>
          </w:pPr>
          <w:hyperlink w:anchor="__RefHeading___Toc7940456_1051229030">
            <w:r>
              <w:rPr>
                <w:webHidden/>
                <w:rStyle w:val="IndexLink"/>
                <w:rtl w:val="true"/>
              </w:rPr>
              <w:t xml:space="preserve">الأوّل </w:t>
            </w:r>
            <w:r>
              <w:rPr>
                <w:rStyle w:val="IndexLink"/>
                <w:rtl w:val="true"/>
              </w:rPr>
              <w:t xml:space="preserve">: </w:t>
            </w:r>
            <w:r>
              <w:rPr>
                <w:rStyle w:val="IndexLink"/>
                <w:rtl w:val="true"/>
              </w:rPr>
              <w:t xml:space="preserve">حول قوله صلی الله علیه و آله وسلم </w:t>
            </w:r>
            <w:r>
              <w:rPr>
                <w:rStyle w:val="IndexLink"/>
                <w:rtl w:val="true"/>
              </w:rPr>
              <w:t>: «</w:t>
            </w:r>
            <w:r>
              <w:rPr>
                <w:rStyle w:val="IndexLink"/>
                <w:rtl w:val="true"/>
              </w:rPr>
              <w:t>المؤمنون عند شروطهم</w:t>
            </w:r>
            <w:r>
              <w:rPr>
                <w:rStyle w:val="IndexLink"/>
                <w:rtl w:val="true"/>
              </w:rPr>
              <w:t>»</w:t>
              <w:tab/>
            </w:r>
            <w:r>
              <w:rPr>
                <w:rStyle w:val="IndexLink"/>
              </w:rPr>
              <w:t>219</w:t>
            </w:r>
          </w:hyperlink>
        </w:p>
        <w:p>
          <w:pPr>
            <w:pStyle w:val="Contents5"/>
            <w:tabs>
              <w:tab w:val="clear" w:pos="7892"/>
              <w:tab w:val="right" w:pos="9026" w:leader="dot"/>
            </w:tabs>
            <w:rPr/>
          </w:pPr>
          <w:hyperlink w:anchor="__RefHeading___Toc7940458_1051229030">
            <w:r>
              <w:rPr>
                <w:webHidden/>
                <w:rStyle w:val="IndexLink"/>
                <w:rtl w:val="true"/>
              </w:rPr>
              <w:t xml:space="preserve">الثاني </w:t>
            </w:r>
            <w:r>
              <w:rPr>
                <w:rStyle w:val="IndexLink"/>
                <w:rtl w:val="true"/>
              </w:rPr>
              <w:t xml:space="preserve">: </w:t>
            </w:r>
            <w:r>
              <w:rPr>
                <w:rStyle w:val="IndexLink"/>
                <w:rtl w:val="true"/>
              </w:rPr>
              <w:t>في المراد من الشرط المخالف</w:t>
            </w:r>
            <w:r>
              <w:rPr>
                <w:rStyle w:val="IndexLink"/>
                <w:rtl w:val="true"/>
              </w:rPr>
              <w:tab/>
            </w:r>
            <w:r>
              <w:rPr>
                <w:rStyle w:val="IndexLink"/>
              </w:rPr>
              <w:t>220</w:t>
            </w:r>
          </w:hyperlink>
        </w:p>
        <w:p>
          <w:pPr>
            <w:pStyle w:val="Contents3"/>
            <w:tabs>
              <w:tab w:val="clear" w:pos="8459"/>
              <w:tab w:val="right" w:pos="9026" w:leader="dot"/>
            </w:tabs>
            <w:rPr/>
          </w:pPr>
          <w:hyperlink w:anchor="__RefHeading___Toc7940460_1051229030">
            <w:r>
              <w:rPr>
                <w:webHidden/>
                <w:rStyle w:val="IndexLink"/>
                <w:rtl w:val="true"/>
              </w:rPr>
              <w:t xml:space="preserve">الفائدة الثالثة </w:t>
            </w:r>
            <w:r>
              <w:rPr>
                <w:rStyle w:val="IndexLink"/>
                <w:rtl w:val="true"/>
              </w:rPr>
              <w:t xml:space="preserve">: </w:t>
            </w:r>
            <w:r>
              <w:rPr>
                <w:rStyle w:val="IndexLink"/>
                <w:rtl w:val="true"/>
              </w:rPr>
              <w:t xml:space="preserve">في حديث </w:t>
            </w:r>
            <w:r>
              <w:rPr>
                <w:rStyle w:val="IndexLink"/>
                <w:rtl w:val="true"/>
              </w:rPr>
              <w:t>«</w:t>
            </w:r>
            <w:r>
              <w:rPr>
                <w:rStyle w:val="IndexLink"/>
                <w:rtl w:val="true"/>
              </w:rPr>
              <w:t>على اليد ما أخذت حتّى تؤدي</w:t>
            </w:r>
            <w:r>
              <w:rPr>
                <w:rStyle w:val="IndexLink"/>
                <w:rtl w:val="true"/>
              </w:rPr>
              <w:t>»</w:t>
              <w:tab/>
            </w:r>
            <w:r>
              <w:rPr>
                <w:rStyle w:val="IndexLink"/>
              </w:rPr>
              <w:t>223</w:t>
            </w:r>
          </w:hyperlink>
        </w:p>
        <w:p>
          <w:pPr>
            <w:pStyle w:val="Contents4"/>
            <w:tabs>
              <w:tab w:val="clear" w:pos="8176"/>
              <w:tab w:val="right" w:pos="9026" w:leader="dot"/>
            </w:tabs>
            <w:rPr/>
          </w:pPr>
          <w:hyperlink w:anchor="__RefHeading___Toc7940462_105122903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7940464_1051229030">
            <w:r>
              <w:rPr>
                <w:webHidden/>
                <w:rStyle w:val="IndexLink"/>
                <w:rtl w:val="true"/>
              </w:rPr>
              <w:t xml:space="preserve">وفيه جهات من البحث </w:t>
            </w:r>
            <w:r>
              <w:rPr>
                <w:rStyle w:val="IndexLink"/>
                <w:rtl w:val="true"/>
              </w:rPr>
              <w:t>:</w:t>
              <w:tab/>
            </w:r>
            <w:r>
              <w:rPr>
                <w:rStyle w:val="IndexLink"/>
              </w:rPr>
              <w:t>223</w:t>
            </w:r>
          </w:hyperlink>
        </w:p>
        <w:p>
          <w:pPr>
            <w:pStyle w:val="Contents5"/>
            <w:tabs>
              <w:tab w:val="clear" w:pos="7892"/>
              <w:tab w:val="right" w:pos="9026" w:leader="dot"/>
            </w:tabs>
            <w:rPr/>
          </w:pPr>
          <w:hyperlink w:anchor="__RefHeading___Toc7940466_1051229030">
            <w:r>
              <w:rPr>
                <w:webHidden/>
                <w:rStyle w:val="IndexLink"/>
                <w:rtl w:val="true"/>
              </w:rPr>
              <w:t xml:space="preserve">الاُولى </w:t>
            </w:r>
            <w:r>
              <w:rPr>
                <w:rStyle w:val="IndexLink"/>
                <w:rtl w:val="true"/>
              </w:rPr>
              <w:t xml:space="preserve">: </w:t>
            </w:r>
            <w:r>
              <w:rPr>
                <w:rStyle w:val="IndexLink"/>
                <w:rtl w:val="true"/>
              </w:rPr>
              <w:t>في سنده</w:t>
            </w:r>
            <w:r>
              <w:rPr>
                <w:rStyle w:val="IndexLink"/>
                <w:rtl w:val="true"/>
              </w:rPr>
              <w:tab/>
            </w:r>
            <w:r>
              <w:rPr>
                <w:rStyle w:val="IndexLink"/>
              </w:rPr>
              <w:t>223</w:t>
            </w:r>
          </w:hyperlink>
        </w:p>
        <w:p>
          <w:pPr>
            <w:pStyle w:val="Contents5"/>
            <w:tabs>
              <w:tab w:val="clear" w:pos="7892"/>
              <w:tab w:val="right" w:pos="9026" w:leader="dot"/>
            </w:tabs>
            <w:rPr/>
          </w:pPr>
          <w:hyperlink w:anchor="__RefHeading___Toc7940468_1051229030">
            <w:r>
              <w:rPr>
                <w:webHidden/>
                <w:rStyle w:val="IndexLink"/>
                <w:rtl w:val="true"/>
              </w:rPr>
              <w:t xml:space="preserve">الثانية </w:t>
            </w:r>
            <w:r>
              <w:rPr>
                <w:rStyle w:val="IndexLink"/>
                <w:rtl w:val="true"/>
              </w:rPr>
              <w:t xml:space="preserve">: </w:t>
            </w:r>
            <w:r>
              <w:rPr>
                <w:rStyle w:val="IndexLink"/>
                <w:rtl w:val="true"/>
              </w:rPr>
              <w:t xml:space="preserve">في بيان مفاد </w:t>
            </w:r>
            <w:r>
              <w:rPr>
                <w:rStyle w:val="IndexLink"/>
                <w:rtl w:val="true"/>
              </w:rPr>
              <w:t>«</w:t>
            </w:r>
            <w:r>
              <w:rPr>
                <w:rStyle w:val="IndexLink"/>
                <w:rtl w:val="true"/>
              </w:rPr>
              <w:t>على</w:t>
            </w:r>
            <w:r>
              <w:rPr>
                <w:rStyle w:val="IndexLink"/>
                <w:rtl w:val="true"/>
              </w:rPr>
              <w:t xml:space="preserve">» </w:t>
            </w:r>
            <w:r>
              <w:rPr>
                <w:rStyle w:val="IndexLink"/>
                <w:rtl w:val="true"/>
              </w:rPr>
              <w:t>مع مجرورها</w:t>
            </w:r>
            <w:r>
              <w:rPr>
                <w:rStyle w:val="IndexLink"/>
                <w:rtl w:val="true"/>
              </w:rPr>
              <w:tab/>
            </w:r>
            <w:r>
              <w:rPr>
                <w:rStyle w:val="IndexLink"/>
              </w:rPr>
              <w:t>224</w:t>
            </w:r>
          </w:hyperlink>
        </w:p>
        <w:p>
          <w:pPr>
            <w:pStyle w:val="Contents5"/>
            <w:tabs>
              <w:tab w:val="clear" w:pos="7892"/>
              <w:tab w:val="right" w:pos="9026" w:leader="dot"/>
            </w:tabs>
            <w:rPr/>
          </w:pPr>
          <w:hyperlink w:anchor="__RefHeading___Toc7940470_1051229030">
            <w:r>
              <w:rPr>
                <w:webHidden/>
                <w:rStyle w:val="IndexLink"/>
                <w:rtl w:val="true"/>
              </w:rPr>
              <w:t xml:space="preserve">الثالثة </w:t>
            </w:r>
            <w:r>
              <w:rPr>
                <w:rStyle w:val="IndexLink"/>
                <w:rtl w:val="true"/>
              </w:rPr>
              <w:t xml:space="preserve">: </w:t>
            </w:r>
            <w:r>
              <w:rPr>
                <w:rStyle w:val="IndexLink"/>
                <w:rtl w:val="true"/>
              </w:rPr>
              <w:t>في وجه نسبة العهدة إلى اليد</w:t>
            </w:r>
            <w:r>
              <w:rPr>
                <w:rStyle w:val="IndexLink"/>
                <w:rtl w:val="true"/>
              </w:rPr>
              <w:tab/>
            </w:r>
            <w:r>
              <w:rPr>
                <w:rStyle w:val="IndexLink"/>
              </w:rPr>
              <w:t>228</w:t>
            </w:r>
          </w:hyperlink>
        </w:p>
        <w:p>
          <w:pPr>
            <w:pStyle w:val="Contents5"/>
            <w:tabs>
              <w:tab w:val="clear" w:pos="7892"/>
              <w:tab w:val="right" w:pos="9026" w:leader="dot"/>
            </w:tabs>
            <w:rPr/>
          </w:pPr>
          <w:hyperlink w:anchor="__RefHeading___Toc7940472_1051229030">
            <w:r>
              <w:rPr>
                <w:webHidden/>
                <w:rStyle w:val="IndexLink"/>
                <w:rtl w:val="true"/>
              </w:rPr>
              <w:t xml:space="preserve">الرابعة </w:t>
            </w:r>
            <w:r>
              <w:rPr>
                <w:rStyle w:val="IndexLink"/>
                <w:rtl w:val="true"/>
              </w:rPr>
              <w:t xml:space="preserve">: </w:t>
            </w:r>
            <w:r>
              <w:rPr>
                <w:rStyle w:val="IndexLink"/>
                <w:rtl w:val="true"/>
              </w:rPr>
              <w:t>في اختصاص الحديث باليد العدوانية</w:t>
            </w:r>
            <w:r>
              <w:rPr>
                <w:rStyle w:val="IndexLink"/>
                <w:rtl w:val="true"/>
              </w:rPr>
              <w:tab/>
            </w:r>
            <w:r>
              <w:rPr>
                <w:rStyle w:val="IndexLink"/>
              </w:rPr>
              <w:t>228</w:t>
            </w:r>
          </w:hyperlink>
        </w:p>
        <w:p>
          <w:pPr>
            <w:pStyle w:val="Contents5"/>
            <w:tabs>
              <w:tab w:val="clear" w:pos="7892"/>
              <w:tab w:val="right" w:pos="9026" w:leader="dot"/>
            </w:tabs>
            <w:rPr/>
          </w:pPr>
          <w:hyperlink w:anchor="__RefHeading___Toc7940474_1051229030">
            <w:r>
              <w:rPr>
                <w:webHidden/>
                <w:rStyle w:val="IndexLink"/>
                <w:rtl w:val="true"/>
              </w:rPr>
              <w:t xml:space="preserve">الخامسة </w:t>
            </w:r>
            <w:r>
              <w:rPr>
                <w:rStyle w:val="IndexLink"/>
                <w:rtl w:val="true"/>
              </w:rPr>
              <w:t xml:space="preserve">: </w:t>
            </w:r>
            <w:r>
              <w:rPr>
                <w:rStyle w:val="IndexLink"/>
                <w:rtl w:val="true"/>
              </w:rPr>
              <w:t>في دلالة الحديث على ردّ المثل حتّى في القيميات</w:t>
            </w:r>
            <w:r>
              <w:rPr>
                <w:rStyle w:val="IndexLink"/>
                <w:rtl w:val="true"/>
              </w:rPr>
              <w:tab/>
            </w:r>
            <w:r>
              <w:rPr>
                <w:rStyle w:val="IndexLink"/>
              </w:rPr>
              <w:t>229</w:t>
            </w:r>
          </w:hyperlink>
        </w:p>
        <w:p>
          <w:pPr>
            <w:pStyle w:val="Contents5"/>
            <w:tabs>
              <w:tab w:val="clear" w:pos="7892"/>
              <w:tab w:val="right" w:pos="9026" w:leader="dot"/>
            </w:tabs>
            <w:rPr/>
          </w:pPr>
          <w:hyperlink w:anchor="__RefHeading___Toc7940476_1051229030">
            <w:r>
              <w:rPr>
                <w:webHidden/>
                <w:rStyle w:val="IndexLink"/>
                <w:rtl w:val="true"/>
              </w:rPr>
              <w:t xml:space="preserve">السادسة </w:t>
            </w:r>
            <w:r>
              <w:rPr>
                <w:rStyle w:val="IndexLink"/>
                <w:rtl w:val="true"/>
              </w:rPr>
              <w:t xml:space="preserve">: </w:t>
            </w:r>
            <w:r>
              <w:rPr>
                <w:rStyle w:val="IndexLink"/>
                <w:rtl w:val="true"/>
              </w:rPr>
              <w:t>في أنّ المدار على أعلى القيم</w:t>
            </w:r>
            <w:r>
              <w:rPr>
                <w:rStyle w:val="IndexLink"/>
                <w:rtl w:val="true"/>
              </w:rPr>
              <w:tab/>
            </w:r>
            <w:r>
              <w:rPr>
                <w:rStyle w:val="IndexLink"/>
              </w:rPr>
              <w:t>230</w:t>
            </w:r>
          </w:hyperlink>
        </w:p>
        <w:p>
          <w:pPr>
            <w:pStyle w:val="Contents2"/>
            <w:tabs>
              <w:tab w:val="clear" w:pos="8743"/>
              <w:tab w:val="right" w:pos="9026" w:leader="dot"/>
            </w:tabs>
            <w:rPr/>
          </w:pPr>
          <w:hyperlink w:anchor="__RefHeading___Toc7940478_1051229030">
            <w:r>
              <w:rPr>
                <w:webHidden/>
                <w:rStyle w:val="IndexLink"/>
                <w:rtl w:val="true"/>
              </w:rPr>
              <w:t>الفهارس العامّة</w:t>
            </w:r>
            <w:r>
              <w:rPr>
                <w:rStyle w:val="IndexLink"/>
                <w:rtl w:val="true"/>
              </w:rPr>
              <w:tab/>
            </w:r>
            <w:r>
              <w:rPr>
                <w:rStyle w:val="IndexLink"/>
              </w:rPr>
              <w:t>235</w:t>
            </w:r>
          </w:hyperlink>
        </w:p>
        <w:p>
          <w:pPr>
            <w:pStyle w:val="Contents3"/>
            <w:tabs>
              <w:tab w:val="clear" w:pos="8459"/>
              <w:tab w:val="right" w:pos="9026" w:leader="dot"/>
            </w:tabs>
            <w:rPr/>
          </w:pPr>
          <w:hyperlink w:anchor="__RefHeading___Toc7940480_1051229030">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7940482_1051229030">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237</w:t>
            </w:r>
          </w:hyperlink>
        </w:p>
        <w:p>
          <w:pPr>
            <w:pStyle w:val="Contents3"/>
            <w:tabs>
              <w:tab w:val="clear" w:pos="8459"/>
              <w:tab w:val="right" w:pos="9026" w:leader="dot"/>
            </w:tabs>
            <w:rPr/>
          </w:pPr>
          <w:hyperlink w:anchor="__RefHeading___Toc7940484_1051229030">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239</w:t>
            </w:r>
          </w:hyperlink>
        </w:p>
        <w:p>
          <w:pPr>
            <w:pStyle w:val="Contents3"/>
            <w:tabs>
              <w:tab w:val="clear" w:pos="8459"/>
              <w:tab w:val="right" w:pos="9026" w:leader="dot"/>
            </w:tabs>
            <w:rPr/>
          </w:pPr>
          <w:hyperlink w:anchor="__RefHeading___Toc7940486_1051229030">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7940488_1051229030">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249</w:t>
            </w:r>
          </w:hyperlink>
        </w:p>
        <w:p>
          <w:pPr>
            <w:pStyle w:val="Contents3"/>
            <w:tabs>
              <w:tab w:val="clear" w:pos="8459"/>
              <w:tab w:val="right" w:pos="9026" w:leader="dot"/>
            </w:tabs>
            <w:rPr/>
          </w:pPr>
          <w:hyperlink w:anchor="__RefHeading___Toc7940490_1051229030">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255</w:t>
            </w:r>
          </w:hyperlink>
        </w:p>
        <w:p>
          <w:pPr>
            <w:pStyle w:val="Contents3"/>
            <w:tabs>
              <w:tab w:val="clear" w:pos="8459"/>
              <w:tab w:val="right" w:pos="9026" w:leader="dot"/>
            </w:tabs>
            <w:rPr/>
          </w:pPr>
          <w:hyperlink w:anchor="__RefHeading___Toc7940492_1051229030">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258</w:t>
            </w:r>
          </w:hyperlink>
        </w:p>
        <w:p>
          <w:pPr>
            <w:pStyle w:val="Contents3"/>
            <w:tabs>
              <w:tab w:val="clear" w:pos="8459"/>
              <w:tab w:val="right" w:pos="9026" w:leader="dot"/>
            </w:tabs>
            <w:rPr/>
          </w:pPr>
          <w:hyperlink w:anchor="__RefHeading___Toc7940494_1051229030">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276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97_60374"/>
      <w:bookmarkStart w:id="1" w:name="pg8097_60374"/>
      <w:bookmarkEnd w:id="1"/>
    </w:p>
    <w:p>
      <w:pPr>
        <w:pStyle w:val="Heading2"/>
        <w:numPr>
          <w:ilvl w:val="1"/>
          <w:numId w:val="1"/>
        </w:numPr>
        <w:rPr/>
      </w:pPr>
      <w:bookmarkStart w:id="2" w:name="pg8097_60374"/>
      <w:bookmarkStart w:id="3" w:name="__RefHeading___Toc7940194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الرسالات الفقية و الاصولية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4019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97_60382"/>
      <w:bookmarkStart w:id="8" w:name="pg8097_60382"/>
      <w:bookmarkEnd w:id="8"/>
    </w:p>
    <w:p>
      <w:pPr>
        <w:pStyle w:val="Heading2"/>
        <w:numPr>
          <w:ilvl w:val="1"/>
          <w:numId w:val="1"/>
        </w:numPr>
        <w:rPr/>
      </w:pPr>
      <w:bookmarkStart w:id="9" w:name="pg8097_60382"/>
      <w:bookmarkStart w:id="10" w:name="__RefHeading___Toc7940198_1051229030"/>
      <w:bookmarkStart w:id="11" w:name="_Toc3"/>
      <w:bookmarkEnd w:id="9"/>
      <w:bookmarkEnd w:id="10"/>
      <w:r>
        <w:rPr>
          <w:rtl w:val="true"/>
        </w:rPr>
        <w:t>مقدّمة التحقيق</w:t>
      </w:r>
      <w:bookmarkEnd w:id="11"/>
    </w:p>
    <w:p>
      <w:pPr>
        <w:pStyle w:val="Heading3"/>
        <w:numPr>
          <w:ilvl w:val="2"/>
          <w:numId w:val="1"/>
        </w:numPr>
        <w:rPr/>
      </w:pPr>
      <w:bookmarkStart w:id="12" w:name="__RefHeading___Toc7940200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وبعد، فقد كان دأب المدرّسين تدريس المباحث المختصرة أيّام العطل وما يقرب منها حتّى يستفيد الطالب ويشغل أوقاته بالدرس والتحصيل، وعلى هذا المنوال نهج الإمام الراحل الاُستاذ الكبير خلال تدريس الفقه والاُصول طوال فترة تدريسه بقم المشرّفة بعض المباحث المفيدة والمشكلة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بعض المباحث في رسالات وجيزة قيّمة، ومن هذه المباحث</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التقيّة فقد كتبها بعد تدريسها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عندما بقي من أيّام التحصيل غير أيّام قليلة، وهو بعد البحث عن التقيّة في الوضوء والمسح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المؤلّف العلاّمة قد علّق على الرسالة عندما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14" w:name="pg8097_60384"/>
    </w:p>
    <w:p>
      <w:pPr>
        <w:pStyle w:val="BookText"/>
        <w:rPr/>
      </w:pPr>
      <w:bookmarkEnd w:id="14"/>
      <w:r>
        <w:rPr>
          <w:rFonts w:ascii="Amiri" w:hAnsi="Amiri" w:eastAsia="Amiri" w:cs="Amiri"/>
          <w:color w:val="111111"/>
          <w:sz w:val="28"/>
          <w:sz w:val="28"/>
          <w:szCs w:val="28"/>
          <w:rtl w:val="true"/>
          <w:lang w:bidi="ar-SA"/>
        </w:rPr>
        <w:t>تداخلت الحواشي والمتن عند الطبع الأوّل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 النسخة الخطّية للكتاب قد ضاعت ولا أثر لها، فاعتمدنا في تحقيقنا على النسخة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الرسالة قد طبعت أوّلاً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بجهود آية اللّه مجتبى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مؤسّسة إسماعيليان، وثانياً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تحقيق وتنقيح من قبل مؤسّسة تنظيم ونشر آثار الإمام الخميني قدّس سرّه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7940202_1051229030"/>
      <w:bookmarkStart w:id="16" w:name="_Toc5"/>
      <w:bookmarkEnd w:id="15"/>
      <w:r>
        <w:rPr>
          <w:rtl w:val="true"/>
        </w:rPr>
        <w:t>فروع العلم الإجمالي</w:t>
      </w:r>
      <w:bookmarkEnd w:id="16"/>
    </w:p>
    <w:p>
      <w:pPr>
        <w:pStyle w:val="BookText"/>
        <w:rPr/>
      </w:pPr>
      <w:r>
        <w:rPr>
          <w:rFonts w:ascii="Amiri" w:hAnsi="Amiri" w:eastAsia="Amiri" w:cs="Amiri"/>
          <w:color w:val="111111"/>
          <w:sz w:val="28"/>
          <w:sz w:val="28"/>
          <w:szCs w:val="28"/>
          <w:rtl w:val="true"/>
          <w:lang w:bidi="ar-SA"/>
        </w:rPr>
        <w:t xml:space="preserve">وهي رسالة في سبعة من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ترتيب السيّد اليزدي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كتبها المؤلّف عند تدريسه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وهذه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على الطلاب قبل انتهاء الفترة الدراسية بشهر تقريباً عندما أتمّ مباحث الألفاظ في الاُصول، ولم يشرع في الجزء الثاني من الاُصول وأحاله إلى السنة الآتية، وفي الرسالة أبحاث قيّمة، والظاهر أنّ الإمام قدّس سرّه لم يُسعفه الوقت للنظر فيها مرّة اُخرى وبقيت كما هي مسودّة وناقصة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الرسالة قد طبعت قبل هذا الطبع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7940204_1051229030"/>
      <w:bookmarkStart w:id="18" w:name="_Toc6"/>
      <w:bookmarkEnd w:id="17"/>
      <w:r>
        <w:rPr>
          <w:rtl w:val="true"/>
        </w:rPr>
        <w:t>تنبيه</w:t>
      </w:r>
      <w:bookmarkEnd w:id="18"/>
    </w:p>
    <w:p>
      <w:pPr>
        <w:pStyle w:val="BookText"/>
        <w:rPr/>
      </w:pPr>
      <w:r>
        <w:rPr>
          <w:rFonts w:ascii="Amiri" w:hAnsi="Amiri" w:eastAsia="Amiri" w:cs="Amiri"/>
          <w:color w:val="111111"/>
          <w:sz w:val="28"/>
          <w:sz w:val="28"/>
          <w:szCs w:val="28"/>
          <w:rtl w:val="true"/>
          <w:lang w:bidi="ar-SA"/>
        </w:rPr>
        <w:t>للإمام الخميني قدّس سرّه ثلاث رسائل لم يكتبها بل قد أفاضها على هذا المنوال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شغله السفر ومن شغله في السفر</w:t>
      </w:r>
      <w:r>
        <w:rPr>
          <w:rFonts w:eastAsia="Amiri" w:cs="Amiri" w:ascii="Amiri" w:hAnsi="Amiri"/>
          <w:color w:val="111111"/>
          <w:sz w:val="28"/>
          <w:szCs w:val="28"/>
          <w:rtl w:val="true"/>
          <w:lang w:bidi="ar-SA"/>
        </w:rPr>
        <w:t xml:space="preserve">. </w:t>
      </w:r>
      <w:bookmarkStart w:id="19" w:name="pg8097_60386"/>
    </w:p>
    <w:p>
      <w:pPr>
        <w:pStyle w:val="BookText"/>
        <w:rPr/>
      </w:pPr>
      <w:bookmarkEnd w:id="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قضاء الصلوات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وبأيدينا من هذه الأبحاث ثلاث رسائل بقلم بعض مقرّري بحثه الشريف وتلامذته الكرام ونرجو من اللّه سبحانه التوفيق لتنظيمها ونشرها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7940206_1051229030"/>
      <w:bookmarkStart w:id="21" w:name="_Toc7"/>
      <w:bookmarkEnd w:id="20"/>
      <w:r>
        <w:rPr>
          <w:rtl w:val="true"/>
        </w:rPr>
        <w:t>الفوائد الخمس</w:t>
      </w:r>
      <w:bookmarkEnd w:id="21"/>
    </w:p>
    <w:p>
      <w:pPr>
        <w:pStyle w:val="BookText"/>
        <w:rPr/>
      </w:pPr>
      <w:r>
        <w:rPr>
          <w:rFonts w:ascii="Amiri" w:hAnsi="Amiri" w:eastAsia="Amiri" w:cs="Amiri"/>
          <w:color w:val="111111"/>
          <w:sz w:val="28"/>
          <w:sz w:val="28"/>
          <w:szCs w:val="28"/>
          <w:rtl w:val="true"/>
          <w:lang w:bidi="ar-SA"/>
        </w:rPr>
        <w:t xml:space="preserve">وهذه الفوائد هي المكتوبة قبل سنين حين كان الإمام شابّاً ولعلّها أوّل ما صنّف في الفقه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مشتملة على نكات هامّة ورسالات مفيدة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من ملك شيئاً ملك الإقرار به، وهذه الرسالة وكأنّها سجال علمي ينتقد فيها بموضوعية رسالة الشيخ الأعظم الأنصاري في هذه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تداخل الأسباب، وهي قاعدة اُصولية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نقد قياس الأوامر التشريعية بالعلل التكوينية، الذي كثيراً ما وقع في كلام علماء الاُصول، ويكون من موارد الخلط بين التشريع والتكوين والاعتباريات والحقائق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القياس من مهمّات ما بنى آرائه عليه الاُستاذ العلاّمة الحائري اليزدي رحمه الله علیه ، فتكون هذه الرسالة بمثابة نقد علمي رصين على آراء هؤلاء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موضوع علم الاُصول، وهو من المباحث التي طالما وقع التشاجر فيه بين علماء الاُصول، حتّى استقرّ رأي محقّقي المتأخّرين على إبهامه، وقد ألجأتهم إلى الالتزام به بعض الشبهات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والمؤلّف قدّس سرّه لمّا كان الحقّ في نظره الشريف أنّ الموضوع هو الحجّة بعنوانها </w:t>
      </w:r>
      <w:bookmarkStart w:id="22" w:name="pg8097_60388"/>
    </w:p>
    <w:p>
      <w:pPr>
        <w:pStyle w:val="BookText"/>
        <w:rPr/>
      </w:pPr>
      <w:bookmarkEnd w:id="22"/>
      <w:r>
        <w:rPr>
          <w:rFonts w:ascii="Amiri" w:hAnsi="Amiri" w:eastAsia="Amiri" w:cs="Amiri"/>
          <w:color w:val="111111"/>
          <w:sz w:val="28"/>
          <w:sz w:val="28"/>
          <w:szCs w:val="28"/>
          <w:rtl w:val="true"/>
          <w:lang w:bidi="ar-SA"/>
        </w:rPr>
        <w:t>أراد أن يدفع الشبهة المهمّة الداعية إلى ذلك؛ فأفرد لها هذه الرسالة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المؤلّف قد أعرض عن نظره هذا إلى القول بعدم احتياج الاُصول وسائر العلوم إلى 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تبيّن الفجر فعلاً في الليالي المقمرة، وهي من الفتاوى التي انفرد بها الإمام الخميني قدّس سرّه بين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هذه الرسالة سابقاً بصورة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ننشرها مع هذه الفوائد مجتمعة ومرتبة كما هي كذلك في النسخة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الفوائد الخمس أيضاً قد طبعت قبل هذا الطبع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940208_1051229030"/>
      <w:bookmarkStart w:id="24" w:name="_Toc8"/>
      <w:bookmarkEnd w:id="23"/>
      <w:r>
        <w:rPr>
          <w:rtl w:val="true"/>
        </w:rPr>
        <w:t>وجيزتان</w:t>
      </w:r>
      <w:bookmarkEnd w:id="24"/>
    </w:p>
    <w:p>
      <w:pPr>
        <w:pStyle w:val="Heading4"/>
        <w:numPr>
          <w:ilvl w:val="3"/>
          <w:numId w:val="1"/>
        </w:numPr>
        <w:rPr/>
      </w:pPr>
      <w:bookmarkStart w:id="25" w:name="__RefHeading___Toc7940210_105122903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وجدنا مكتوبتين مختصرتين إحداهما باللّغة العربيّة والاُخرى بالفارسية</w:t>
      </w:r>
    </w:p>
    <w:p>
      <w:pPr>
        <w:pStyle w:val="Heading4"/>
        <w:numPr>
          <w:ilvl w:val="3"/>
          <w:numId w:val="1"/>
        </w:numPr>
        <w:rPr/>
      </w:pPr>
      <w:bookmarkStart w:id="27" w:name="__RefHeading___Toc7940212_1051229030"/>
      <w:bookmarkStart w:id="28" w:name="_Toc10"/>
      <w:bookmarkEnd w:id="27"/>
      <w:r>
        <w:rPr/>
        <w:t>1</w:t>
      </w:r>
      <w:r>
        <w:rPr>
          <w:rtl w:val="true"/>
        </w:rPr>
        <w:t xml:space="preserve"> - </w:t>
      </w:r>
      <w:r>
        <w:rPr>
          <w:rtl w:val="true"/>
        </w:rPr>
        <w:t>تعليقة على رسالة التقابل</w:t>
      </w:r>
      <w:bookmarkEnd w:id="28"/>
    </w:p>
    <w:p>
      <w:pPr>
        <w:pStyle w:val="BookText"/>
        <w:rPr/>
      </w:pPr>
      <w:r>
        <w:rPr>
          <w:rFonts w:ascii="IRNazanin" w:hAnsi="IRNazanin" w:eastAsia="IRNazanin"/>
          <w:color w:val="111111"/>
          <w:sz w:val="28"/>
          <w:sz w:val="28"/>
          <w:szCs w:val="28"/>
          <w:rtl w:val="true"/>
          <w:lang w:bidi="fa-IR"/>
        </w:rPr>
        <w:t>قدّم سماحة آية اللّه العظمى الشيخ جعفر السبحاني من تلامذة الإمام الخميني قدّس سرّه ومقرّري دروسه في الاُصول رسالة مختصرة كان قد ألّفها والده المرحوم آية اللّه الشيخ محمّد حسين الخياباني التبريزي رحمه الله علیه في موضوع التقابل في المنطق وكان مُصرّاً على أن يكتب الإمام قدّس سرّه تعليقة عليها وأخيراً قد أجاب الإمام هذا الطلب وكتب عليها تعاليق تشاهدونها ضمن هذه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الرسالة والتي لم يلتفت إليها كثير ممّن جمعوا وأعدّوا فهارس لكتب الإمام ومؤلّفاته، قد نشرت من قبل في دوريّة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العددين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29" w:name="__RefHeading___Toc7940214_1051229030"/>
      <w:bookmarkStart w:id="30" w:name="_Toc11"/>
      <w:bookmarkEnd w:id="29"/>
      <w:r>
        <w:rPr/>
        <w:t>2</w:t>
      </w:r>
      <w:r>
        <w:rPr>
          <w:rtl w:val="true"/>
        </w:rPr>
        <w:t xml:space="preserve"> - </w:t>
      </w:r>
      <w:r>
        <w:rPr>
          <w:rtl w:val="true"/>
        </w:rPr>
        <w:t>الذباحة الشرعية</w:t>
      </w:r>
      <w:bookmarkEnd w:id="3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تلقّى الإمام قدّس سرّه رسالة تضمّنت موضوعات عاطفية </w:t>
      </w:r>
      <w:bookmarkStart w:id="31" w:name="pg8097_60391"/>
    </w:p>
    <w:p>
      <w:pPr>
        <w:pStyle w:val="BookText"/>
        <w:rPr/>
      </w:pPr>
      <w:bookmarkEnd w:id="31"/>
      <w:r>
        <w:rPr>
          <w:rFonts w:ascii="Amiri" w:hAnsi="Amiri" w:eastAsia="Amiri" w:cs="Amiri"/>
          <w:color w:val="111111"/>
          <w:sz w:val="28"/>
          <w:sz w:val="28"/>
          <w:szCs w:val="28"/>
          <w:rtl w:val="true"/>
          <w:lang w:bidi="ar-SA"/>
        </w:rPr>
        <w:t xml:space="preserve">واستفتاءً شرعياً حول الذبح بالمكاين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أنّها كانت من خارج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سماحة الإمام قدّس سرّه في موضوع الذبح بالمكاين مستدلاً وبالإيجاز نشرت هذه الرسالة الحاوية للمطالب الفقهية والاستدلالية في صحيفة الإمام،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تنشر في موسوعة الإمام الخميني قدّس سرّه بسبب احتوائها على هذه المضامين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940216_1051229030"/>
      <w:bookmarkStart w:id="33" w:name="_Toc12"/>
      <w:bookmarkEnd w:id="32"/>
      <w:r>
        <w:rPr>
          <w:rtl w:val="true"/>
        </w:rPr>
        <w:t>الضميمة</w:t>
      </w:r>
      <w:r>
        <w:rPr>
          <w:rtl w:val="true"/>
        </w:rPr>
        <w:t xml:space="preserve">: </w:t>
      </w:r>
      <w:r>
        <w:rPr>
          <w:rtl w:val="true"/>
        </w:rPr>
        <w:t>ثلاث فوائد</w:t>
      </w:r>
      <w:bookmarkEnd w:id="33"/>
    </w:p>
    <w:p>
      <w:pPr>
        <w:pStyle w:val="BookText"/>
        <w:rPr/>
      </w:pPr>
      <w:r>
        <w:rPr>
          <w:rFonts w:ascii="Amiri" w:hAnsi="Amiri" w:eastAsia="Amiri" w:cs="Amiri"/>
          <w:color w:val="111111"/>
          <w:sz w:val="28"/>
          <w:sz w:val="28"/>
          <w:szCs w:val="28"/>
          <w:rtl w:val="true"/>
          <w:lang w:bidi="ar-SA"/>
        </w:rPr>
        <w:t xml:space="preserve">وهناك ثلاث فوائد، توجد بخطّ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حال العقود والإيقاعات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الشروط المخالفة للكتاب والمباحث المتعلّقة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التكلّم في بعض جهات ما نقل عن رسول اللّه صلی الله علیه و آله وسلم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إلاّ أنّنا لانجزم بأنّها من إفاضاته هو قدّس سرّه حيث تختلف بعض مطالبها مع سائر تأليفاته وتوافق بعض تقريرات بحوث السيّد آية اللّه العظمى البروجردي قدّس سرّه ، ولعلّه استنسخها منها ولذلك وضعناها في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نشرت من قبل كضميمة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940218_1051229030"/>
      <w:bookmarkStart w:id="35" w:name="_Toc13"/>
      <w:bookmarkEnd w:id="34"/>
      <w:r>
        <w:rPr>
          <w:rtl w:val="true"/>
        </w:rPr>
        <w:t>منهجنا في التحقيق</w:t>
      </w:r>
      <w:bookmarkEnd w:id="3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النصّ وتقطيعه وجعل العناوين المناسبة له، ووضع علامات الترقيم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مصادر الكتاب من الآيات والروايات والأقوال والإشارات، بضميمة ترجمة العلماء الذين ذكروا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الفهارس الفنّية تسهيالاً للمطالب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المراحل وإن وقعت على بعض هذه الرسائل قبلاً لكنّ الآن وبسبب الطبع في الموسوعة، جدّدنا التحقيق والتدقيق وفي الختام تقدّم المؤسّسة بالشكر الجزيل إلى كلّ الإخوة الفضلاء الذين ساهموا في تحقيق هذا الكتاب راجياً لهم دوام التوفيق وحسن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وحسبنا اللّه ونعم الوكيل</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خط الإمام قدّس سرّه لفائدة في تبيّن الفجر في الليالي المقمرة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خط الإمام قدّس سرّه لقاعدة من ملك شيئاً ملك الإقرار به </w:t>
      </w:r>
      <w:bookmarkStart w:id="36" w:name="pg8101_60399"/>
    </w:p>
    <w:p>
      <w:pPr>
        <w:pStyle w:val="Heading2"/>
        <w:numPr>
          <w:ilvl w:val="1"/>
          <w:numId w:val="1"/>
        </w:numPr>
        <w:rPr/>
      </w:pPr>
      <w:bookmarkStart w:id="37" w:name="__RefHeading___Toc7940220_1051229030"/>
      <w:bookmarkStart w:id="38" w:name="_Toc14"/>
      <w:bookmarkEnd w:id="36"/>
      <w:bookmarkEnd w:id="37"/>
      <w:r>
        <w:rPr>
          <w:rtl w:val="true"/>
        </w:rPr>
        <w:t>التقيّة</w:t>
      </w:r>
      <w:bookmarkEnd w:id="3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7940222_1051229030"/>
      <w:bookmarkStart w:id="40" w:name="_Toc15"/>
      <w:bookmarkEnd w:id="39"/>
      <w:r>
        <w:rPr>
          <w:rtl w:val="true"/>
        </w:rPr>
        <w:t>اشارة</w:t>
      </w:r>
      <w:bookmarkEnd w:id="4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بلغ بحثنا في الدورة الفقهية إلى بعض فروع التقيّة ، أحببت أن اُفرد فيها رسالة كافلة لمهمّات مباحثها ، فيقع الكلام في مباحث </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8101_60403"/>
      <w:bookmarkStart w:id="42" w:name="pg8101_60403"/>
      <w:bookmarkEnd w:id="42"/>
    </w:p>
    <w:p>
      <w:pPr>
        <w:pStyle w:val="Heading3"/>
        <w:numPr>
          <w:ilvl w:val="2"/>
          <w:numId w:val="1"/>
        </w:numPr>
        <w:rPr/>
      </w:pPr>
      <w:bookmarkStart w:id="43" w:name="pg8101_60403"/>
      <w:bookmarkStart w:id="44" w:name="__RefHeading___Toc7940224_1051229030"/>
      <w:bookmarkStart w:id="45" w:name="_Toc16"/>
      <w:bookmarkEnd w:id="43"/>
      <w:bookmarkEnd w:id="44"/>
      <w:r>
        <w:rPr>
          <w:rtl w:val="true"/>
        </w:rPr>
        <w:t>المبحث الأوّل</w:t>
      </w:r>
      <w:r>
        <w:rPr>
          <w:rtl w:val="true"/>
        </w:rPr>
        <w:t xml:space="preserve">: </w:t>
      </w:r>
      <w:r>
        <w:rPr>
          <w:rtl w:val="true"/>
        </w:rPr>
        <w:t>في أقسام التقيّة وأحكامها</w:t>
      </w:r>
      <w:bookmarkEnd w:id="45"/>
    </w:p>
    <w:p>
      <w:pPr>
        <w:pStyle w:val="Heading4"/>
        <w:numPr>
          <w:ilvl w:val="3"/>
          <w:numId w:val="1"/>
        </w:numPr>
        <w:rPr/>
      </w:pPr>
      <w:bookmarkStart w:id="46" w:name="__RefHeading___Toc7940226_1051229030"/>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التي تضاف إلى المتّقي ، والمتّقى منه ، والمتّقى فيه ، فلا محالة تنقسم بحسب ذاتها وإضافاتها إلى أقسام </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7940228_1051229030"/>
      <w:bookmarkStart w:id="49" w:name="_Toc18"/>
      <w:bookmarkEnd w:id="48"/>
      <w:r>
        <w:rPr>
          <w:rtl w:val="true"/>
        </w:rPr>
        <w:t xml:space="preserve">منها </w:t>
      </w:r>
      <w:r>
        <w:rPr>
          <w:rtl w:val="true"/>
        </w:rPr>
        <w:t xml:space="preserve">: </w:t>
      </w:r>
      <w:r>
        <w:rPr>
          <w:rtl w:val="true"/>
        </w:rPr>
        <w:t>التقسيم بحسب ذاتها</w:t>
      </w:r>
      <w:bookmarkEnd w:id="49"/>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التقيّة خوفاً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مداراةً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والخوف قد يكون لأجل توقّع الضرر على نفس المتّقي ، أو عرضه ، أو ماله ، أو 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لأجل توقّعه على غيره من إخوانه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لأجل توقّعه على حوزة الإسلام ؛ بأن يخاف شتات كلمة المسلمين بتركها ؛ وخاف وقوع ضرر على حوزة الإسلام لأجل تفريق كلمتهم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بالتقيّة مُداراةً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المطلوب فيها نفس شمل الكلمة ووحدتها ؛ بتحبيب المخالفين وجرّ مودّتهم ، من غير خوف ضرر كما في التقيّة خوفاً ، وسيأتي التعرّض لها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50" w:name="pg8101_60404"/>
    </w:p>
    <w:p>
      <w:pPr>
        <w:pStyle w:val="BookText"/>
        <w:rPr/>
      </w:pPr>
      <w:bookmarkEnd w:id="50"/>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التقيّة مطلوبة لغيرها ، كما تقدّم ، وقد تكون مطلوبة لذاتها ؛ وهي التي بمعنى الكتمان في مقابل الإذاعة ، على تأمّل فيه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مجموع ما ورد فيها أ نّها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كسائر الأعذار والضرورات ، فرخّصت للضرورة والاضطرار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فيها التقيّة الإكراهية التي لم نتعرّض لها هاهنا ، وفصّلنا حولها في الرسالة المعمولة في المكاسب المحرّمة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شرعت لأجل مداراة الناس وجلب محبّتهم وجرّ مودّتهم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مطلوبة بذاتها في دولة الباطل إلى ظهور دولة الحقّ ؛ وهي التي في مقابل الإذاعة ، ومساوقة للكتمان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7940230_1051229030"/>
      <w:bookmarkStart w:id="52" w:name="_Toc19"/>
      <w:bookmarkEnd w:id="51"/>
      <w:r>
        <w:rPr>
          <w:rtl w:val="true"/>
        </w:rPr>
        <w:t xml:space="preserve">ومنها </w:t>
      </w:r>
      <w:r>
        <w:rPr>
          <w:rtl w:val="true"/>
        </w:rPr>
        <w:t xml:space="preserve">: </w:t>
      </w:r>
      <w:r>
        <w:rPr>
          <w:rtl w:val="true"/>
        </w:rPr>
        <w:t>التقسيم بحسب المتّقي</w:t>
      </w:r>
      <w:bookmarkEnd w:id="52"/>
    </w:p>
    <w:p>
      <w:pPr>
        <w:pStyle w:val="BookText"/>
        <w:rPr/>
      </w:pPr>
      <w:r>
        <w:rPr>
          <w:rFonts w:ascii="Amiri" w:hAnsi="Amiri" w:eastAsia="Amiri" w:cs="Amiri"/>
          <w:color w:val="111111"/>
          <w:sz w:val="28"/>
          <w:sz w:val="28"/>
          <w:szCs w:val="28"/>
          <w:rtl w:val="true"/>
          <w:lang w:bidi="ar-SA"/>
        </w:rPr>
        <w:t xml:space="preserve">فقد يكون المتّقي من الأشخاص المتعارفة ، كالسوقي وغيره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يكون من رؤساء المذهب ممّن له شأن ديني أو غيره بين الناس على حسب مراتبهم ، كالنبي صلی الله علیه و آله وسلم بناءً على جواز التقيّة له والأئمّة علیهم السلام والفقهاء ورؤساء المذهب وسلاطين الشيعة والاُمراء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وسنشير إلى إمكان اختلاف حكم التقيّة بحسب المتّقي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53" w:name="pg8101_60405"/>
    </w:p>
    <w:p>
      <w:pPr>
        <w:pStyle w:val="Heading4"/>
        <w:numPr>
          <w:ilvl w:val="3"/>
          <w:numId w:val="1"/>
        </w:numPr>
        <w:rPr/>
      </w:pPr>
      <w:bookmarkStart w:id="54" w:name="__RefHeading___Toc7940232_1051229030"/>
      <w:bookmarkStart w:id="55" w:name="_Toc20"/>
      <w:bookmarkEnd w:id="53"/>
      <w:bookmarkEnd w:id="54"/>
      <w:r>
        <w:rPr>
          <w:rtl w:val="true"/>
        </w:rPr>
        <w:t xml:space="preserve">ومنها </w:t>
      </w:r>
      <w:r>
        <w:rPr>
          <w:rtl w:val="true"/>
        </w:rPr>
        <w:t xml:space="preserve">: </w:t>
      </w:r>
      <w:r>
        <w:rPr>
          <w:rtl w:val="true"/>
        </w:rPr>
        <w:t>التقسيم بحسب المتّقى منه</w:t>
      </w:r>
      <w:bookmarkEnd w:id="55"/>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التقيّة من الكفّار وغير المعتقدين بالإسلام ؛ سواء كانوا من قبيل السلاطين أو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سلاطين العامّة واُمرائهم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فقهائهم وقضاتهم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سلاطين الشيعة أو عوامّهم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التقيّة من الكفّار وغيرهم قد تكون في إتيان عمل موافقاً للعامّة ، كما لو فرض أنّ السلطان ألزم المسلمين بالعمل بفتوى أبي حنيفة ، وقد تكون في غيره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7940234_1051229030"/>
      <w:bookmarkStart w:id="57" w:name="_Toc21"/>
      <w:bookmarkEnd w:id="56"/>
      <w:r>
        <w:rPr>
          <w:rtl w:val="true"/>
        </w:rPr>
        <w:t xml:space="preserve">ومنها </w:t>
      </w:r>
      <w:r>
        <w:rPr>
          <w:rtl w:val="true"/>
        </w:rPr>
        <w:t xml:space="preserve">: </w:t>
      </w:r>
      <w:r>
        <w:rPr>
          <w:rtl w:val="true"/>
        </w:rPr>
        <w:t>التقسيم بحسب المتّقى فيه</w:t>
      </w:r>
      <w:bookmarkEnd w:id="57"/>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التقيّة في فعل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شرط أو جزء أو فعل مانع أو قاطع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على طبق الموضوع الخارجي الذي اعتقد المتّقى منه تحقّقه ؛ إمّا بسبب الثبوت عنده بحكم القضاة والسلاطين ، أو بسبب قيام البيّنة المعتبرة عنده ممّا لم تكن معتبرة عندنا ، كالإفطار في يوم عيّد المخالف فيه ، والوقوف بعرفات وسائر المواقف موافقاً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قد يكون الموضوع الخارجي معلوم الخلاف عند المتّقي ، كما لو علم أنّ يوم عيدهم من شهر رمضان ، وقد يكون مشكوك التحقّق ، كما لو كان يوم عيدهم يوم الشكّ عنده </w:t>
      </w:r>
      <w:r>
        <w:rPr>
          <w:rFonts w:eastAsia="Amiri" w:cs="Amiri" w:ascii="Amiri" w:hAnsi="Amiri"/>
          <w:color w:val="111111"/>
          <w:sz w:val="28"/>
          <w:szCs w:val="28"/>
          <w:rtl w:val="true"/>
          <w:lang w:bidi="ar-SA"/>
        </w:rPr>
        <w:t xml:space="preserve">. </w:t>
      </w:r>
      <w:bookmarkStart w:id="58" w:name="pg8101_60406"/>
    </w:p>
    <w:p>
      <w:pPr>
        <w:pStyle w:val="Heading4"/>
        <w:numPr>
          <w:ilvl w:val="3"/>
          <w:numId w:val="1"/>
        </w:numPr>
        <w:rPr/>
      </w:pPr>
      <w:bookmarkStart w:id="59" w:name="__RefHeading___Toc7940236_1051229030"/>
      <w:bookmarkStart w:id="60" w:name="_Toc22"/>
      <w:bookmarkEnd w:id="58"/>
      <w:bookmarkEnd w:id="59"/>
      <w:r>
        <w:rPr>
          <w:rtl w:val="true"/>
        </w:rPr>
        <w:t>عموم أخبار التقيّة وإطلاقها</w:t>
      </w:r>
      <w:bookmarkEnd w:id="60"/>
    </w:p>
    <w:p>
      <w:pPr>
        <w:pStyle w:val="BookText"/>
        <w:rPr/>
      </w:pPr>
      <w:r>
        <w:rPr>
          <w:rFonts w:ascii="Amiri" w:hAnsi="Amiri" w:eastAsia="Amiri" w:cs="Amiri"/>
          <w:color w:val="111111"/>
          <w:sz w:val="28"/>
          <w:sz w:val="28"/>
          <w:szCs w:val="28"/>
          <w:rtl w:val="true"/>
          <w:lang w:bidi="ar-SA"/>
        </w:rPr>
        <w:t xml:space="preserve">ثمّ إنّه لا ريب في عموم أخبار التقيّة وإطلاقها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الفضلاء</w:t>
      </w:r>
      <w:r>
        <w:rPr>
          <w:rStyle w:val="FootnoteAnchor"/>
          <w:rtl w:val="true"/>
        </w:rPr>
        <w:footnoteReference w:id="6"/>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في كلّ شيء يضطرّ إليه ابن آدم فقد أحلّه اللّه له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ورواية الأعجمي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تقيّة له ، والتقيّة في كلّ شيء إلاّ في النبيذ والمسح على الخفّين</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وغيرهما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أشخاص المتّقي وأقسام التقيّة الخوفية ، على إشكال في بعض الصور ، كالخوف على إخوانه المؤمنين ؛ فإنّ صدق الاضطرار فيه محلّ إشكال ، بل منع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صدقه في غير الخوف على نفسه وأتباعه وعشيرته القريبة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بعض الروايات أ نّها أعمّ</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 كلام </w:t>
      </w:r>
    </w:p>
    <w:p>
      <w:pPr>
        <w:pStyle w:val="BookText"/>
        <w:rPr/>
      </w:pPr>
      <w:r>
        <w:rPr>
          <w:rFonts w:ascii="Amiri" w:hAnsi="Amiri" w:eastAsia="Amiri" w:cs="Amiri"/>
          <w:color w:val="111111"/>
          <w:sz w:val="28"/>
          <w:sz w:val="28"/>
          <w:szCs w:val="28"/>
          <w:rtl w:val="true"/>
          <w:lang w:bidi="ar-SA"/>
        </w:rPr>
        <w:t xml:space="preserve">يطلب من الرسالة المشار إليها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غالب تقيّة الأئمّة علیهم السلام في الفتوى لأجل حفظ شيعتهم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لا إشكال في شمولها بالنسبة إلى المتّقى منه؛ كافراً كان أو مسلماً، مخالفاً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كثير من أخبارها ناظراً إلى المخالفين ، لا يوجب اختصاصها بهم</w:t>
      </w:r>
      <w:r>
        <w:rPr>
          <w:rStyle w:val="FootnoteAnchor"/>
          <w:rtl w:val="true"/>
        </w:rPr>
        <w:footnoteReference w:id="12"/>
      </w:r>
      <w:r>
        <w:rPr>
          <w:rFonts w:ascii="Amiri" w:hAnsi="Amiri" w:eastAsia="Amiri" w:cs="Amiri"/>
          <w:color w:val="111111"/>
          <w:sz w:val="28"/>
          <w:sz w:val="28"/>
          <w:szCs w:val="28"/>
          <w:rtl w:val="true"/>
          <w:lang w:bidi="ar-SA"/>
        </w:rPr>
        <w:t xml:space="preserve">لعدم إشعار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 وإن كان بعض أقسامها مختصّاً بهم ، كما سيأتي التعرّض له</w:t>
      </w:r>
      <w:r>
        <w:rPr>
          <w:rStyle w:val="FootnoteAnchor"/>
          <w:rtl w:val="true"/>
        </w:rPr>
        <w:footnoteReference w:id="13"/>
      </w:r>
      <w:r>
        <w:rPr>
          <w:rFonts w:ascii="Amiri" w:hAnsi="Amiri" w:eastAsia="Amiri" w:cs="Amiri"/>
          <w:color w:val="111111"/>
          <w:sz w:val="28"/>
          <w:sz w:val="28"/>
          <w:szCs w:val="28"/>
          <w:rtl w:val="true"/>
          <w:lang w:bidi="ar-SA"/>
        </w:rPr>
        <w:t xml:space="preserve">لكنّ الظاهر من كثير منها التعميم في الجملة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تعمّ بالنسبة إلى المتّقى فيه ؟ الظاهر منها ومن أدلّة نفي الحرج</w:t>
      </w:r>
      <w:r>
        <w:rPr>
          <w:rStyle w:val="FootnoteAnchor"/>
          <w:rtl w:val="true"/>
        </w:rPr>
        <w:footnoteReference w:id="14"/>
      </w:r>
      <w:r>
        <w:rPr>
          <w:rFonts w:ascii="IRNazanin" w:hAnsi="IRNazanin" w:eastAsia="IRNazanin"/>
          <w:color w:val="111111"/>
          <w:sz w:val="28"/>
          <w:sz w:val="28"/>
          <w:szCs w:val="28"/>
          <w:rtl w:val="true"/>
          <w:lang w:bidi="fa-IR"/>
        </w:rPr>
        <w:t>والرفع</w:t>
      </w:r>
      <w:r>
        <w:rPr>
          <w:rStyle w:val="FootnoteAnchor"/>
          <w:rtl w:val="true"/>
        </w:rPr>
        <w:footnoteReference w:id="15"/>
      </w:r>
      <w:r>
        <w:rPr>
          <w:rFonts w:ascii="Amiri" w:hAnsi="Amiri" w:eastAsia="Amiri" w:cs="Amiri"/>
          <w:color w:val="111111"/>
          <w:sz w:val="28"/>
          <w:sz w:val="28"/>
          <w:szCs w:val="28"/>
          <w:rtl w:val="true"/>
          <w:lang w:bidi="ar-SA"/>
        </w:rPr>
        <w:t xml:space="preserve">وإن كان ذلك ؛ وتكون تلك الأدلّة حاكمة على أدلّة المحرّمات والواجبات ، لكن يقع الكلام في موارد يمكن أن يقال باستثنائها منها ، أو دلّ دليل عليه </w:t>
      </w:r>
      <w:r>
        <w:rPr>
          <w:rFonts w:eastAsia="Amiri" w:cs="Amiri" w:ascii="Amiri" w:hAnsi="Amiri"/>
          <w:color w:val="111111"/>
          <w:sz w:val="28"/>
          <w:szCs w:val="28"/>
          <w:rtl w:val="true"/>
          <w:lang w:bidi="ar-SA"/>
        </w:rPr>
        <w:t xml:space="preserve">. </w:t>
      </w:r>
      <w:bookmarkStart w:id="61" w:name="pg8101_60408"/>
    </w:p>
    <w:p>
      <w:pPr>
        <w:pStyle w:val="Heading4"/>
        <w:numPr>
          <w:ilvl w:val="3"/>
          <w:numId w:val="1"/>
        </w:numPr>
        <w:rPr/>
      </w:pPr>
      <w:bookmarkStart w:id="62" w:name="__RefHeading___Toc7940238_1051229030"/>
      <w:bookmarkStart w:id="63" w:name="_Toc23"/>
      <w:bookmarkEnd w:id="61"/>
      <w:bookmarkEnd w:id="62"/>
      <w:r>
        <w:rPr>
          <w:rtl w:val="true"/>
        </w:rPr>
        <w:t>حول الموارد التي لا يجوز التقيّة فيها</w:t>
      </w:r>
      <w:r>
        <w:rPr>
          <w:rtl w:val="true"/>
        </w:rPr>
        <w:t>:</w:t>
      </w:r>
      <w:bookmarkEnd w:id="63"/>
    </w:p>
    <w:p>
      <w:pPr>
        <w:pStyle w:val="Heading5"/>
        <w:numPr>
          <w:ilvl w:val="4"/>
          <w:numId w:val="1"/>
        </w:numPr>
        <w:rPr/>
      </w:pPr>
      <w:bookmarkStart w:id="64" w:name="__RefHeading___Toc7940240_1051229030"/>
      <w:bookmarkStart w:id="65" w:name="_Toc24"/>
      <w:bookmarkEnd w:id="64"/>
      <w:r>
        <w:rPr>
          <w:rtl w:val="true"/>
        </w:rPr>
        <w:t xml:space="preserve">منها </w:t>
      </w:r>
      <w:r>
        <w:rPr>
          <w:rtl w:val="true"/>
        </w:rPr>
        <w:t xml:space="preserve">: </w:t>
      </w:r>
      <w:r>
        <w:rPr>
          <w:rtl w:val="true"/>
        </w:rPr>
        <w:t>بعض المحرّمات والواجبات</w:t>
      </w:r>
      <w:bookmarkEnd w:id="65"/>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المحرّمات والواجبات التي في نظر الشارع والمتشرّعة في غاية الأهمّية مثل هدم الكعبة والمشاهد المشرّفة بنحو يمحى الأثر ولا يرجى عوده ، ومثل الردّ على الإسلام والقرآن ، والتفسير بما يفسد المذهب ويطابق الإلحاد ، وغيرها من عظائم المحرّمات ، فإنّ القول بحكومة نفي الحرج أو الضرر وغيرهما على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تحقّق عنوان الحرج والاضطرار والإكراه والضرر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مذاق الشرع غايته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ترى من نفسك إن عُرض على مسلم تخريب بيت اللّه الحرام وقبر رسول اللّه صلی الله علیه و آله وسلم أو الحبس شهراً أو شهرين ، أو أخذ مائة أو مائتين منه ، يجوز له ذلك تمسّكاً بدليل الحرج والضرر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هو الرجوع في أمثال تلك العظائم إلى تزاحم المقتضيات من غير توجّه إلى حكومة تلك الأدلّة على أدلّتها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وضوحه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بن صَدَقة عن أبي عبداللّه علیه السلام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وتفسير ما يتّقى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يكون قوم سوءٍ ظاهر حكمهم وفعلهم على غير حكم الحقّ وفعله ، فكلّ شيء يعمل المؤمن بينهم لمكان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يؤدّي إلى الفساد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جائز</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في دليل الضرر كلاماً تعرّضنا له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أنّه </w:t>
      </w:r>
      <w:bookmarkStart w:id="66" w:name="pg8101_60409"/>
    </w:p>
    <w:p>
      <w:pPr>
        <w:pStyle w:val="BookText"/>
        <w:rPr/>
      </w:pPr>
      <w:bookmarkEnd w:id="66"/>
      <w:r>
        <w:rPr>
          <w:rFonts w:ascii="Amiri" w:hAnsi="Amiri" w:eastAsia="Amiri" w:cs="Amiri"/>
          <w:color w:val="111111"/>
          <w:sz w:val="28"/>
          <w:sz w:val="28"/>
          <w:szCs w:val="28"/>
          <w:rtl w:val="true"/>
          <w:lang w:bidi="ar-SA"/>
        </w:rPr>
        <w:t>أجنبيّ عن الحكومة على أدلّة الأحكام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الباب ما إذا كان المتّقي ممّن له شأن وأهمّية في نظر الخلق ؛ بحيث يكون ارتكابه لبعض المحرّمات تقيّة أو تركه لبعض الواجبات ، ممّا يعدّ موهناً للمذهب وهاتكاً لحرمته ، كما لو اُكره على شرب المسكر والزنا مثلاً ، فإنّ جواز التقيّة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تشبّثاً بحكومة دليل الرفع وأدلّة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بل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عليه محمول قوله في صحيحة زرارة الآتية</w:t>
      </w:r>
      <w:r>
        <w:rPr>
          <w:rStyle w:val="FootnoteAnchor"/>
          <w:rtl w:val="true"/>
        </w:rPr>
        <w:footnoteReference w:id="18"/>
      </w:r>
      <w:r>
        <w:rPr>
          <w:rFonts w:ascii="Amiri" w:hAnsi="Amiri" w:eastAsia="Amiri" w:cs="Amiri"/>
          <w:color w:val="111111"/>
          <w:sz w:val="28"/>
          <w:sz w:val="28"/>
          <w:szCs w:val="28"/>
          <w:rtl w:val="true"/>
          <w:lang w:bidi="ar-SA"/>
        </w:rPr>
        <w:t xml:space="preserve">بعدم اتّقائه من شرب المسكر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من ذلك كلّه في عدم جواز التقيّة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أصل من اُصول الإسلام أو المذهب أو ضروري من ضروريات الدين ، في معرض الزوال والهدم والتغيير ، كما لو أراد المنحرفون الطغاة تغيير أحكام الإرث والطلاق والصلاة والحجّ وغيرها من اُصول الأحكام ، فضلاً عن اُصول الدين أو المذهب ، فإنّ التقيّة في مثلها غير جائزة ؛ ضرورة أنّ تشريعها لبقاء المذهب وحفظ الاُصول وجمع شتات المسلمين لإقامة الدين واُصوله ، فإذا بلغ الأمر إلى هدمها فلا تجوز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الموثّقة المتقدّمة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7940242_1051229030"/>
      <w:bookmarkStart w:id="68" w:name="_Toc25"/>
      <w:bookmarkEnd w:id="67"/>
      <w:r>
        <w:rPr>
          <w:rtl w:val="true"/>
        </w:rPr>
        <w:t xml:space="preserve">ومنها </w:t>
      </w:r>
      <w:r>
        <w:rPr>
          <w:rtl w:val="true"/>
        </w:rPr>
        <w:t xml:space="preserve">: </w:t>
      </w:r>
      <w:r>
        <w:rPr>
          <w:rtl w:val="true"/>
        </w:rPr>
        <w:t>المسح على الخفّين ومتعة الحجّ وشرب المسكر والنبيذ</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الخفّين ومتعة الحجّ وشرب المسكر والنبيذ والجهر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بعض الأخبار استثناؤها عن التقيّة ، كصحيحة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مسح الخفّين تقيّة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أتّقي فيهنّ أحداً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شرب المسكر ، ومسح الخفّين ، ومتعة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عليكم أن لا تتّقوا فيهنّ أحداً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عمر الأعجمي ، عن أبي عبداللّه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والتقيّة في كلّ شيء إلاّ في النبيذ والمسح على الخُفّين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وغيرهما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مقابلها بعض آخر ، كرواية أبي الورد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ظبيان حدّثني أ نّه رأى علياً علیه السلام أراق الماء ، ثمّ مسح على الخفّين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أبو ظبيان ؛ أما بلغك قول علي علیه السلام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الكتاب الخفّين ؟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فيهما رخصة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من عدوّ تتّقيه ، أو ثلج تخاف على رجليك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درست بن أبي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موسى علیه السلام وعنده الكميت بن زيد ، فقال للكميت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صِرتُ إلى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فالاُمور لها مصائرْ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ذاك ، واللّه‌ِ ما رجعتُ عن إيماني ، وإنّي لكم لموالٍ ، ولعدوّكم لقالٍ ، ولكنّي قلته على التقيّة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لئن قلتَ ذلك إنّ التقيّة تجوز في شرب الخمر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عمرو بن مروان التي كالصحيحة</w:t>
      </w:r>
      <w:r>
        <w:rPr>
          <w:rStyle w:val="FootnoteAnchor"/>
          <w:rtl w:val="true"/>
        </w:rPr>
        <w:footnoteReference w:id="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ربّما حضرتُ معهم العشاء ، فيجيئون بالنبيذ بعد ذلك ، فإن لم أشربه خفتُ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فلاني ، فكيف أصنع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اكسره بالماء</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كسرته بالماء أشربه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تعيّن العمل بها ؛ لعمل المشهور بل إعراضهم عمّا تقدّمت</w:t>
      </w:r>
      <w:r>
        <w:rPr>
          <w:rStyle w:val="FootnoteAnchor"/>
          <w:rtl w:val="true"/>
        </w:rPr>
        <w:footnoteReference w:id="28"/>
      </w:r>
      <w:r>
        <w:rPr>
          <w:rFonts w:ascii="Amiri" w:hAnsi="Amiri" w:eastAsia="Amiri" w:cs="Amiri"/>
          <w:color w:val="111111"/>
          <w:sz w:val="28"/>
          <w:sz w:val="28"/>
          <w:szCs w:val="28"/>
          <w:rtl w:val="true"/>
          <w:lang w:bidi="ar-SA"/>
        </w:rPr>
        <w:t xml:space="preserve">فلا تصلح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ضرورة العقل تحكم بأنّ ترك الصلاة أهمّ من المسح على الخفّين ، وتركَ الحجّ من ترك متعته ، مع أ نّهما داخلان في المستثنى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نقطع بأنّ الشارع لا يرضى بضرب الأعناق إذا دار الأمر بينه وبين المسح على الخفّين ، بل وشرب الخمر والنبيذ وترك متعة الحجّ ، فلا بدّ من طرح تلك الروايات ، أو الحمل على بعض المحامل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مثلها لا حاجة إلى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المسح على الخفّين ، فلإمكان مسح القدم بقدر الواجب بعنوان الغسل ؛ بأن يسبق يده إلى قدميه ، ويمسحهما عند غسلهما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مقدّم على المسح على الخفّين ، فلا يجوز المسح عند الدوران بينه وبين الغسل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متعة الحجّ ، فلأ نّهم يأتون بالطواف والسعي الاستحبابي عند القدوم على المحكيّ</w:t>
      </w:r>
      <w:r>
        <w:rPr>
          <w:rStyle w:val="FootnoteAnchor"/>
          <w:rtl w:val="true"/>
        </w:rPr>
        <w:footnoteReference w:id="30"/>
      </w:r>
      <w:r>
        <w:rPr>
          <w:rFonts w:ascii="Amiri" w:hAnsi="Amiri" w:eastAsia="Amiri" w:cs="Amiri"/>
          <w:color w:val="111111"/>
          <w:sz w:val="28"/>
          <w:sz w:val="28"/>
          <w:szCs w:val="28"/>
          <w:rtl w:val="true"/>
          <w:lang w:bidi="ar-SA"/>
        </w:rPr>
        <w:t xml:space="preserve">فيمكن الإتيان بهما بعنوان متعة الحجّ ، فالنيّة أمر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وإخفاء </w:t>
      </w:r>
    </w:p>
    <w:p>
      <w:pPr>
        <w:pStyle w:val="BookText"/>
        <w:rPr/>
      </w:pPr>
      <w:r>
        <w:rPr>
          <w:rFonts w:ascii="Amiri" w:hAnsi="Amiri" w:eastAsia="Amiri" w:cs="Amiri"/>
          <w:color w:val="111111"/>
          <w:sz w:val="28"/>
          <w:sz w:val="28"/>
          <w:szCs w:val="28"/>
          <w:rtl w:val="true"/>
          <w:lang w:bidi="ar-SA"/>
        </w:rPr>
        <w:t>التقصير في غاية السهولة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شرب الخمر والنبيذ ، فيمكن التخلّص عنه بأعذار غير الحرمة</w:t>
      </w:r>
      <w:r>
        <w:rPr>
          <w:rStyle w:val="FootnoteAnchor"/>
          <w:rtl w:val="true"/>
        </w:rPr>
        <w:footnoteReference w:id="32"/>
      </w:r>
      <w:r>
        <w:rPr>
          <w:rFonts w:ascii="Amiri" w:hAnsi="Amiri" w:eastAsia="Amiri" w:cs="Amiri"/>
          <w:color w:val="111111"/>
          <w:sz w:val="28"/>
          <w:sz w:val="28"/>
          <w:szCs w:val="28"/>
          <w:rtl w:val="true"/>
          <w:lang w:bidi="ar-SA"/>
        </w:rPr>
        <w:t xml:space="preserve">، ولهذا ورد في الرواية المتقدّمة جواز شربه وكسره بالماء عند عدم إمكان التخلّص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 التقيّة فيها مختصّ بالإمام علیه السلام كما فهم زرارة</w:t>
      </w:r>
      <w:r>
        <w:rPr>
          <w:rStyle w:val="FootnoteAnchor"/>
          <w:rtl w:val="true"/>
        </w:rPr>
        <w:footnoteReference w:id="33"/>
      </w:r>
      <w:r>
        <w:rPr>
          <w:rFonts w:ascii="Amiri" w:hAnsi="Amiri" w:eastAsia="Amiri" w:cs="Amiri"/>
          <w:color w:val="111111"/>
          <w:sz w:val="28"/>
          <w:sz w:val="28"/>
          <w:szCs w:val="28"/>
          <w:rtl w:val="true"/>
          <w:lang w:bidi="ar-SA"/>
        </w:rPr>
        <w:t>؛ إمّا لأ نّهم كسائر فقهائهم في الفتوى ، وسلاطين الوقت لا يأبون عن فتواهم ، بل عن الاجتماع حولهم خوفاً من مزاحمتهم في رئاساتهم ، ولهذا كانوا يستفتون</w:t>
      </w:r>
      <w:r>
        <w:rPr>
          <w:rStyle w:val="FootnoteAnchor"/>
          <w:rtl w:val="true"/>
        </w:rPr>
        <w:footnoteReference w:id="34"/>
      </w:r>
      <w:bookmarkStart w:id="69" w:name="pg8101_60414"/>
    </w:p>
    <w:p>
      <w:pPr>
        <w:pStyle w:val="BookText"/>
        <w:rPr/>
      </w:pPr>
      <w:bookmarkEnd w:id="69"/>
      <w:r>
        <w:rPr>
          <w:rFonts w:ascii="Amiri" w:hAnsi="Amiri" w:eastAsia="Amiri" w:cs="Amiri"/>
          <w:color w:val="111111"/>
          <w:sz w:val="28"/>
          <w:sz w:val="28"/>
          <w:szCs w:val="28"/>
          <w:rtl w:val="true"/>
          <w:lang w:bidi="ar-SA"/>
        </w:rPr>
        <w:t>منهم في قبال سائر الفقهاء وإمّا لمعروفية فتواهم فيها بحيث لا تنفع فيها التقيّة</w:t>
      </w:r>
      <w:r>
        <w:rPr>
          <w:rStyle w:val="FootnoteAnchor"/>
          <w:rtl w:val="true"/>
        </w:rPr>
        <w:footnoteReference w:id="35"/>
      </w:r>
      <w:r>
        <w:rPr>
          <w:rFonts w:ascii="Amiri" w:hAnsi="Amiri" w:eastAsia="Amiri" w:cs="Amiri"/>
          <w:color w:val="111111"/>
          <w:sz w:val="28"/>
          <w:sz w:val="28"/>
          <w:szCs w:val="28"/>
          <w:rtl w:val="true"/>
          <w:lang w:bidi="ar-SA"/>
        </w:rPr>
        <w:t xml:space="preserve">كما لا يبعد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غير ذلك من المحامل ، كالحمل على عدم جواز التقيّة المداراتية لا الخوفية ، والأمر سهل </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7940244_1051229030"/>
      <w:bookmarkStart w:id="71" w:name="_Toc26"/>
      <w:bookmarkEnd w:id="70"/>
      <w:r>
        <w:rPr>
          <w:rtl w:val="true"/>
        </w:rPr>
        <w:t xml:space="preserve">ومنها </w:t>
      </w:r>
      <w:r>
        <w:rPr>
          <w:rtl w:val="true"/>
        </w:rPr>
        <w:t xml:space="preserve">: </w:t>
      </w:r>
      <w:r>
        <w:rPr>
          <w:rtl w:val="true"/>
        </w:rPr>
        <w:t>الدماء</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فلا شبهة في عدم التقيّة فيها نصّاً وفتوىً</w:t>
      </w:r>
      <w:r>
        <w:rPr>
          <w:rStyle w:val="FootnoteAnchor"/>
          <w:rtl w:val="true"/>
        </w:rPr>
        <w:footnoteReference w:id="36"/>
      </w:r>
      <w:r>
        <w:rPr>
          <w:rFonts w:ascii="Amiri" w:hAnsi="Amiri" w:eastAsia="Amiri" w:cs="Amiri"/>
          <w:color w:val="111111"/>
          <w:sz w:val="28"/>
          <w:sz w:val="28"/>
          <w:szCs w:val="28"/>
          <w:rtl w:val="true"/>
          <w:lang w:bidi="ar-SA"/>
        </w:rPr>
        <w:t xml:space="preserve">، ففي صحيحة محمّد بن مسلم عن أبي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 فإذا بلغ الدم فليس تقيّة</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ومثلها موثّقة</w:t>
      </w:r>
      <w:r>
        <w:rPr>
          <w:rStyle w:val="FootnoteAnchor"/>
          <w:rtl w:val="true"/>
        </w:rPr>
        <w:footnoteReference w:id="38"/>
      </w:r>
      <w:r>
        <w:rPr>
          <w:rFonts w:ascii="Amiri" w:hAnsi="Amiri" w:eastAsia="Amiri" w:cs="Amiri"/>
          <w:color w:val="111111"/>
          <w:sz w:val="28"/>
          <w:sz w:val="28"/>
          <w:szCs w:val="28"/>
          <w:rtl w:val="true"/>
          <w:lang w:bidi="ar-SA"/>
        </w:rPr>
        <w:t>أبي حمزة الثمالي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2" w:name="pg8101_60415"/>
    </w:p>
    <w:p>
      <w:pPr>
        <w:pStyle w:val="BookText"/>
        <w:rPr/>
      </w:pPr>
      <w:bookmarkEnd w:id="72"/>
      <w:r>
        <w:rPr>
          <w:rFonts w:ascii="Amiri" w:hAnsi="Amiri" w:eastAsia="Amiri" w:cs="Amiri"/>
          <w:color w:val="111111"/>
          <w:sz w:val="28"/>
          <w:sz w:val="28"/>
          <w:szCs w:val="28"/>
          <w:rtl w:val="true"/>
          <w:lang w:bidi="ar-SA"/>
        </w:rPr>
        <w:t xml:space="preserve">وقد فصّلنا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البحث عن الولاية من قبل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 وما يرجع إلى فقه الحديث</w:t>
      </w:r>
      <w:r>
        <w:rPr>
          <w:rStyle w:val="FootnoteAnchor"/>
          <w:rtl w:val="true"/>
        </w:rPr>
        <w:footnoteReference w:id="40"/>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Heading5"/>
        <w:numPr>
          <w:ilvl w:val="4"/>
          <w:numId w:val="1"/>
        </w:numPr>
        <w:rPr/>
      </w:pPr>
      <w:bookmarkStart w:id="73" w:name="__RefHeading___Toc7940246_1051229030"/>
      <w:bookmarkStart w:id="74" w:name="_Toc27"/>
      <w:bookmarkEnd w:id="73"/>
      <w:r>
        <w:rPr>
          <w:rtl w:val="true"/>
        </w:rPr>
        <w:t xml:space="preserve">ومنها </w:t>
      </w:r>
      <w:r>
        <w:rPr>
          <w:rtl w:val="true"/>
        </w:rPr>
        <w:t xml:space="preserve">: </w:t>
      </w:r>
      <w:r>
        <w:rPr>
          <w:rtl w:val="true"/>
        </w:rPr>
        <w:t xml:space="preserve">البراءة من أمير المؤمنين وسائر الأئمّة علیهم السلام </w:t>
      </w:r>
      <w:r>
        <w:rPr>
          <w:rtl w:val="true"/>
        </w:rPr>
        <w:t>.</w:t>
      </w:r>
      <w:bookmarkEnd w:id="74"/>
    </w:p>
    <w:p>
      <w:pPr>
        <w:pStyle w:val="BookText"/>
        <w:rPr/>
      </w:pPr>
      <w:r>
        <w:rPr>
          <w:rFonts w:ascii="Amiri" w:hAnsi="Amiri" w:eastAsia="Amiri" w:cs="Amiri"/>
          <w:color w:val="111111"/>
          <w:sz w:val="28"/>
          <w:sz w:val="28"/>
          <w:szCs w:val="28"/>
          <w:rtl w:val="true"/>
          <w:lang w:bidi="ar-SA"/>
        </w:rPr>
        <w:t xml:space="preserve">والأخبار فيها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عدم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محمّد بن ميمون عن جعفر بن محمّد ، عن أبيه ، عن جدّه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إلى سبّي فسبّوني ، وتُدعون إلى البراءة منّي فمدّوا الرقاب ؛ فإنّي على الفطرة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علي بن علي الخزاعي عن علي بن موسى ، عن أبيه ، عن آبائه ، عن علي بن أبي طالب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ستعرضون على سبّي ، فإن خفتم على أنفسكم فسبّوني ، ألا وإنّكم ستُعرضون على البراءة منّي فلاتفعلوا ؛ فإنّي على الفطرة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وقريب منها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وما عن الكشّي في حال حجر بن عديّ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 عن أمير المؤمنين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ستُعرضون من بعدي على سبّي فسبّوني ، فمن عرض عليه البراءة منّي فليمدد عنقه ، فإن برِئَ منّي فلا دنيا له ولا آخرة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الأمر والنهي ، أبواب الأمر والنهي ،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الترخيص فيها وفي مدّ الرقاب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العيّاشي ، عن أبي بكر الحضرمي ، عن 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الرقاب أحبّ إليك ، أم البراءة من علي علیه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الرخصة أحبّ إليّ ؛ أما سمعتَ قول اللّه عزّ وجلّ في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منها روايته الاُخرى ، عن عبداللّه بن عَجْلان عن أبي عبداللّه‌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ذلك من رواية يوسف بن عمران في قضيّة ميثم بن يحيى التمّار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وجوب البراءة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كموثّقة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يروون أنّ علياً علیه السلام قال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إنّكم ستدعون إلى سبّي فسبّوني ، ثمّ تدعون إلى البراءة منّي فلا تبرأوا منّي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أكثر ما يكذب الناس على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ستدعون إلى سبّي </w:t>
      </w:r>
    </w:p>
    <w:p>
      <w:pPr>
        <w:pStyle w:val="BookText"/>
        <w:rPr/>
      </w:pPr>
      <w:r>
        <w:rPr>
          <w:rFonts w:ascii="IRNazanin" w:hAnsi="IRNazanin" w:eastAsia="IRNazanin"/>
          <w:color w:val="111111"/>
          <w:sz w:val="28"/>
          <w:sz w:val="28"/>
          <w:szCs w:val="28"/>
          <w:rtl w:val="true"/>
          <w:lang w:bidi="fa-IR"/>
        </w:rPr>
        <w:t xml:space="preserve">فسبّوني ، ثمّ تدعون إلى البراءة منّي ، وإنّي لعلى دين محمّد صلی الله علیه و آله وسلم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تبرأوا منّي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اختار القتل دون البراءة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ذلك عليه ، وما له إلاّ ما مضى عليه عمّار بن ياسر حيث أكرهه أهل مكّة </w:t>
      </w:r>
      <w:r>
        <w:rPr>
          <w:rFonts w:eastAsia="Amiri" w:cs="Amiri" w:ascii="Amiri" w:hAnsi="Amiri"/>
          <w:color w:val="111111"/>
          <w:sz w:val="28"/>
          <w:szCs w:val="28"/>
          <w:rtl w:val="true"/>
          <w:lang w:bidi="ar-SA"/>
        </w:rPr>
        <w:t xml:space="preserve">. . .» </w:t>
      </w:r>
      <w:r>
        <w:rPr>
          <w:rStyle w:val="FootnoteAnchor"/>
          <w:rtl w:val="true"/>
        </w:rPr>
        <w:footnoteReference w:id="50"/>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أذنتُ لكم في تفضيل أعدائنا إن ألجأك الخوف إليه ، وفي إظهار البراءة إن حملك الوجل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إظهارك براءتك منّا عند تقيّتك لا يقدح فينا ولا ينقصنا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وإيّاك ثمّ إيّاك أن تترك التقيّة التي أمرتك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إن خالفت وصيّتي كان ضررك على إخوانك ونفسك ، أشدَّ من ضرر الناصب لنا الكافر بنا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روى المحدّث المجلسي عن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والصادق علیهما السلام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تلك الروايات المشتملة على تكذيب ما نسب إلى علي علیه السلام وعن أخبار التقيّة ، وعن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وحكمِ العقل بلزوم حفظ النفس واهتمام الشارع به ، لا يمكن بمثل تلك الروايات التي لا تفيد علماً ولا عملاً ، ولم نجد فيها ما يسلم 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المفيد</w:t>
      </w:r>
      <w:r>
        <w:rPr>
          <w:rStyle w:val="FootnoteAnchor"/>
          <w:rtl w:val="true"/>
        </w:rPr>
        <w:footnoteReference w:id="54"/>
      </w:r>
      <w:r>
        <w:rPr>
          <w:rFonts w:ascii="Amiri" w:hAnsi="Amiri" w:eastAsia="Amiri" w:cs="Amiri"/>
          <w:color w:val="111111"/>
          <w:sz w:val="28"/>
          <w:sz w:val="28"/>
          <w:szCs w:val="28"/>
          <w:rtl w:val="true"/>
          <w:lang w:bidi="ar-SA"/>
        </w:rPr>
        <w:t xml:space="preserve">لا تفيدنا علماً ؛ فإنّا لم نعثر على رواية واحدة بمضمون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مضمونه موافق للروايات الضعاف المتقدّمة</w:t>
      </w:r>
      <w:r>
        <w:rPr>
          <w:rStyle w:val="FootnoteAnchor"/>
          <w:rtl w:val="true"/>
        </w:rPr>
        <w:footnoteReference w:id="55"/>
      </w:r>
      <w:r>
        <w:rPr>
          <w:rFonts w:ascii="Amiri" w:hAnsi="Amiri" w:eastAsia="Amiri" w:cs="Amiri"/>
          <w:color w:val="111111"/>
          <w:sz w:val="28"/>
          <w:sz w:val="28"/>
          <w:szCs w:val="28"/>
          <w:rtl w:val="true"/>
          <w:lang w:bidi="ar-SA"/>
        </w:rPr>
        <w:t xml:space="preserve">المقابلة للروايات التي بعضها أسدّ منها سنداً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استشمام رائحة الكذب والاختلاق منها ؛ ضرورة أنّ السبّ والشتم واللعن ، أشدّ من التلفّظ بالبراءة ممّا لا يقدح فيهم ولا ينقصهم ، ومن المقطوع </w:t>
      </w:r>
    </w:p>
    <w:p>
      <w:pPr>
        <w:pStyle w:val="BookText"/>
        <w:rPr/>
      </w:pPr>
      <w:r>
        <w:rPr>
          <w:rFonts w:ascii="Amiri" w:hAnsi="Amiri" w:eastAsia="Amiri" w:cs="Amiri"/>
          <w:color w:val="111111"/>
          <w:sz w:val="28"/>
          <w:sz w:val="28"/>
          <w:szCs w:val="28"/>
          <w:rtl w:val="true"/>
          <w:lang w:bidi="ar-SA"/>
        </w:rPr>
        <w:t xml:space="preserve">عدم رضا الشارع بمدّ الأعناق في مقابله ،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قضيّة ميثم</w:t>
      </w:r>
      <w:r>
        <w:rPr>
          <w:rStyle w:val="FootnoteAnchor"/>
          <w:rtl w:val="true"/>
        </w:rPr>
        <w:footnoteReference w:id="57"/>
      </w:r>
      <w:r>
        <w:rPr>
          <w:rFonts w:ascii="IRNazanin" w:hAnsi="IRNazanin" w:eastAsia="IRNazanin"/>
          <w:color w:val="111111"/>
          <w:sz w:val="28"/>
          <w:sz w:val="28"/>
          <w:szCs w:val="28"/>
          <w:rtl w:val="true"/>
          <w:lang w:bidi="fa-IR"/>
        </w:rPr>
        <w:t xml:space="preserve">وإن كانت معروفة ، ولا يبعد ثبوتها إجمالاً ، ولكنّها قضيّة في واقعة ، ولعلّه كان عالماً بأنّ الدعيّ عبيداللّه بن زياد يقتله ؛ برِئَ من علي علیه السلام أو لا ، وكانت براءته منه غير مفيدة بحاله ، بل مضرّة وموجبة لفضاحته مضافاً إلى قتله ، فلا يجوز معه البراءة ولا السبّ ولا غيرهما </w:t>
      </w:r>
      <w:r>
        <w:rPr>
          <w:rFonts w:eastAsia="IRNazanin" w:cs="IRNazanin"/>
          <w:color w:val="111111"/>
          <w:sz w:val="28"/>
          <w:szCs w:val="28"/>
          <w:rtl w:val="true"/>
          <w:lang w:bidi="fa-IR"/>
        </w:rPr>
        <w:t xml:space="preserve">. </w:t>
      </w:r>
      <w:bookmarkStart w:id="75" w:name="pg8101_60421"/>
    </w:p>
    <w:p>
      <w:pPr>
        <w:pStyle w:val="Heading3"/>
        <w:numPr>
          <w:ilvl w:val="2"/>
          <w:numId w:val="1"/>
        </w:numPr>
        <w:rPr/>
      </w:pPr>
      <w:bookmarkStart w:id="76" w:name="__RefHeading___Toc7940248_1051229030"/>
      <w:bookmarkStart w:id="77" w:name="_Toc28"/>
      <w:bookmarkEnd w:id="75"/>
      <w:bookmarkEnd w:id="76"/>
      <w:r>
        <w:rPr>
          <w:rtl w:val="true"/>
        </w:rPr>
        <w:t>المبحث الثاني</w:t>
      </w:r>
      <w:r>
        <w:rPr>
          <w:rtl w:val="true"/>
        </w:rPr>
        <w:t xml:space="preserve">: </w:t>
      </w:r>
      <w:r>
        <w:rPr>
          <w:rtl w:val="true"/>
        </w:rPr>
        <w:t>في أنّ ترك التقيّة هل يفسد العمل أم لا ؟</w:t>
      </w:r>
      <w:bookmarkEnd w:id="77"/>
    </w:p>
    <w:p>
      <w:pPr>
        <w:pStyle w:val="Heading4"/>
        <w:numPr>
          <w:ilvl w:val="3"/>
          <w:numId w:val="1"/>
        </w:numPr>
        <w:rPr/>
      </w:pPr>
      <w:bookmarkStart w:id="78" w:name="__RefHeading___Toc7940250_1051229030"/>
      <w:bookmarkStart w:id="79" w:name="_Toc29"/>
      <w:bookmarkEnd w:id="78"/>
      <w:r>
        <w:rPr>
          <w:rtl w:val="true"/>
        </w:rPr>
        <w:t>في أقسام التقيّة المستفادة من الأخبار</w:t>
      </w:r>
      <w:bookmarkEnd w:id="79"/>
    </w:p>
    <w:p>
      <w:pPr>
        <w:pStyle w:val="BookText"/>
        <w:rPr/>
      </w:pPr>
      <w:r>
        <w:rPr>
          <w:rFonts w:ascii="Amiri" w:hAnsi="Amiri" w:eastAsia="Amiri" w:cs="Amiri"/>
          <w:color w:val="111111"/>
          <w:sz w:val="28"/>
          <w:sz w:val="28"/>
          <w:szCs w:val="28"/>
          <w:rtl w:val="true"/>
          <w:lang w:bidi="ar-SA"/>
        </w:rPr>
        <w:t>قد تقدّم</w:t>
      </w:r>
      <w:r>
        <w:rPr>
          <w:rStyle w:val="FootnoteAnchor"/>
          <w:rtl w:val="true"/>
        </w:rPr>
        <w:footnoteReference w:id="58"/>
      </w:r>
      <w:r>
        <w:rPr>
          <w:rFonts w:ascii="Amiri" w:hAnsi="Amiri" w:eastAsia="Amiri" w:cs="Amiri"/>
          <w:color w:val="111111"/>
          <w:sz w:val="28"/>
          <w:sz w:val="28"/>
          <w:szCs w:val="28"/>
          <w:rtl w:val="true"/>
          <w:lang w:bidi="ar-SA"/>
        </w:rPr>
        <w:t xml:space="preserve">أنّ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يستعمل لأجل الخوف على النفس والعِرْض والمال، فهذه ليست واجبة لنفسها ، بل الواجب حفظ النفس عن الوقوع في الهلكة ، وتكون التقيّة مقدّمة له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يظهر من بعض الروايات أنّ اللّه رخّص التقيّة في كلّ اضطرار</w:t>
      </w:r>
      <w:r>
        <w:rPr>
          <w:rStyle w:val="FootnoteAnchor"/>
          <w:rtl w:val="true"/>
        </w:rPr>
        <w:footnoteReference w:id="59"/>
      </w:r>
      <w:r>
        <w:rPr>
          <w:rFonts w:ascii="Amiri" w:hAnsi="Amiri" w:eastAsia="Amiri" w:cs="Amiri"/>
          <w:color w:val="111111"/>
          <w:sz w:val="28"/>
          <w:sz w:val="28"/>
          <w:szCs w:val="28"/>
          <w:rtl w:val="true"/>
          <w:lang w:bidi="ar-SA"/>
        </w:rPr>
        <w:t>أو ضرورة عرفية</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أوسعية دائرتها منه أيضاً ، فتجوز لحفظ مال غيره </w:t>
      </w:r>
    </w:p>
    <w:p>
      <w:pPr>
        <w:pStyle w:val="BookText"/>
        <w:rPr/>
      </w:pPr>
      <w:r>
        <w:rPr>
          <w:rFonts w:ascii="Amiri" w:hAnsi="Amiri" w:eastAsia="Amiri" w:cs="Amiri"/>
          <w:color w:val="111111"/>
          <w:sz w:val="28"/>
          <w:sz w:val="28"/>
          <w:szCs w:val="28"/>
          <w:rtl w:val="true"/>
          <w:lang w:bidi="ar-SA"/>
        </w:rPr>
        <w:t xml:space="preserve">من إخوانه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الروايات</w:t>
      </w:r>
      <w:r>
        <w:rPr>
          <w:rStyle w:val="FootnoteAnchor"/>
          <w:rtl w:val="true"/>
        </w:rPr>
        <w:footnoteReference w:id="61"/>
      </w:r>
      <w:r>
        <w:rPr>
          <w:rFonts w:ascii="Amiri" w:hAnsi="Amiri" w:eastAsia="Amiri" w:cs="Amiri"/>
          <w:color w:val="111111"/>
          <w:sz w:val="28"/>
          <w:sz w:val="28"/>
          <w:szCs w:val="28"/>
          <w:rtl w:val="true"/>
          <w:lang w:bidi="ar-SA"/>
        </w:rPr>
        <w:t xml:space="preserve">وجوبها لأجل حفظ النفوس والأموال والأعراض ؛ وإن كانت استفادة الوجوب النفسي في هذا القسم من التقيّة ، محلَّ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واجبة لنفسها ، وهي ما تكون مقابلة للإذاعة ، فتكون بمعنى التحفّظ عن إفشاء المذهب وعن إفشاء سرّ أهل البيت ، فيظهر من كثير من الروايات</w:t>
      </w:r>
      <w:r>
        <w:rPr>
          <w:rStyle w:val="FootnoteAnchor"/>
          <w:rtl w:val="true"/>
        </w:rPr>
        <w:footnoteReference w:id="62"/>
      </w:r>
      <w:r>
        <w:rPr>
          <w:rFonts w:ascii="IRNazanin" w:hAnsi="IRNazanin" w:eastAsia="IRNazanin"/>
          <w:color w:val="111111"/>
          <w:sz w:val="28"/>
          <w:sz w:val="28"/>
          <w:szCs w:val="28"/>
          <w:rtl w:val="true"/>
          <w:lang w:bidi="fa-IR"/>
        </w:rPr>
        <w:t xml:space="preserve">أنّ التقيّة التي بالغ الأئمّة علیهم السلام في شأنها ، هي هذه التقيّة فنفس إخفاء الحقّ في دولة الباطل واجب ، وتكون المصلحة فيه جهات سياسية دينية ، ولولا التقيّة لصار المذهب في معرض الزوال والانقراض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هذا القسم ما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قال الصادق علیه السلام في صحيحة هشام بن سالم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تَسْتَوِى الْحَسَنَةُ وَلاَ السَّيِّئَةُ</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أبي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فمقتضى مقابلتها للإذاعة أ نّها هي الاستتار والكتمان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ما دلّت على تقابل الكتمان والإذاعة ، كرواية 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 إنّكم على دِينٍ من كتمه أعزّه اللّه ، ومن أذاعه أذلّه اللّه</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من الروايات التي يظهر منها أنّ التقيّة هي الكتمان</w:t>
      </w:r>
      <w:r>
        <w:rPr>
          <w:rStyle w:val="FootnoteAnchor"/>
          <w:rtl w:val="true"/>
        </w:rPr>
        <w:footnoteReference w:id="68"/>
      </w:r>
      <w:r>
        <w:rPr>
          <w:rFonts w:ascii="IRNazanin" w:hAnsi="IRNazanin" w:eastAsia="IRNazanin"/>
          <w:color w:val="111111"/>
          <w:sz w:val="28"/>
          <w:sz w:val="28"/>
          <w:szCs w:val="28"/>
          <w:rtl w:val="true"/>
          <w:lang w:bidi="fa-IR"/>
        </w:rPr>
        <w:t>والإسرار</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لحقوق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 بعباده المؤمنين من شيعة آل محمّد ، وسع لهم في التقيّة ، يجاهرون بإظهار موالاة أولياء اللّه ، ومعاداة أعدائه إذا قدروا ويُسرّون بها إذا عجزوا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lang w:bidi="ar-SA"/>
        </w:rPr>
        <w:t>16:224</w:t>
      </w:r>
      <w:r>
        <w:rPr>
          <w:rFonts w:ascii="Amiri" w:hAnsi="Amiri" w:eastAsia="Amiri" w:cs="Amiri"/>
          <w:color w:val="111111"/>
          <w:sz w:val="28"/>
          <w:sz w:val="28"/>
          <w:szCs w:val="28"/>
          <w:rtl w:val="true"/>
          <w:lang w:bidi="ar-SA"/>
        </w:rPr>
        <w:t>، كتاب الأمر والنهي، أبواب الأمر والنهي، الباب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والخباء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من المحتمل أن يكون الواجب علينا التقيّة والكتمان ، وتكون الإذاعة منهيّاً عنها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الإذاعة محرّمة ، وتعلّق الأمر بالتقيّة لأجل عدم الإذاعة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كلّ من العنوانين متعلّقاً للتكليف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والجمود على الظواهر يقتضي الأخير وإن كان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التقيّة وأتى بالعمل على خلافها ، فمقتضى القواعد صحّته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واجبة ، أو الإذاعة محرّمة ، أو هي محرّمة وتلك واجبة ؛ وذلك لأنّ الأمر بالتقيّة لا يوجب النهي عن العمل ، وكذا النهي عن الإذاعة لا يوجب سرايته إلى عنوان العمل ؛ لما حُقّق في محلّه من أنّ الأمر بالشيء لا يقتضي النهي عن ضدّه</w:t>
      </w:r>
      <w:r>
        <w:rPr>
          <w:rStyle w:val="FootnoteAnchor"/>
          <w:rtl w:val="true"/>
        </w:rPr>
        <w:footnoteReference w:id="70"/>
      </w:r>
      <w:r>
        <w:rPr>
          <w:rFonts w:ascii="Amiri" w:hAnsi="Amiri" w:eastAsia="Amiri" w:cs="Amiri"/>
          <w:color w:val="111111"/>
          <w:sz w:val="28"/>
          <w:sz w:val="28"/>
          <w:szCs w:val="28"/>
          <w:rtl w:val="true"/>
          <w:lang w:bidi="ar-SA"/>
        </w:rPr>
        <w:t>والنهي عن عنوان لا يمكن سرايته إلى عنوان آخر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أنّ المبعِّد لا يمكن أن يصير مُقرِّباً </w:t>
      </w:r>
      <w:r>
        <w:rPr>
          <w:rStyle w:val="FootnoteAnchor"/>
          <w:rtl w:val="true"/>
        </w:rPr>
        <w:footnoteReference w:id="72"/>
      </w:r>
      <w:r>
        <w:rPr>
          <w:rFonts w:ascii="Amiri" w:hAnsi="Amiri" w:eastAsia="Amiri" w:cs="Amiri"/>
          <w:color w:val="111111"/>
          <w:sz w:val="28"/>
          <w:sz w:val="28"/>
          <w:szCs w:val="28"/>
          <w:rtl w:val="true"/>
          <w:lang w:bidi="ar-SA"/>
        </w:rPr>
        <w:t>قد فرغنا عن تهجينه في الاُصول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0" w:name="pg8101_60425"/>
    </w:p>
    <w:p>
      <w:pPr>
        <w:pStyle w:val="Heading4"/>
        <w:numPr>
          <w:ilvl w:val="3"/>
          <w:numId w:val="1"/>
        </w:numPr>
        <w:rPr/>
      </w:pPr>
      <w:bookmarkStart w:id="81" w:name="__RefHeading___Toc7940252_1051229030"/>
      <w:bookmarkStart w:id="82" w:name="_Toc30"/>
      <w:bookmarkEnd w:id="80"/>
      <w:bookmarkEnd w:id="81"/>
      <w:r>
        <w:rPr>
          <w:rtl w:val="true"/>
        </w:rPr>
        <w:t>تفصيل الشيخ الأعظم في المقام وبيان وجه الخدشة فيه</w:t>
      </w:r>
      <w:bookmarkEnd w:id="82"/>
    </w:p>
    <w:p>
      <w:pPr>
        <w:pStyle w:val="BookText"/>
        <w:rPr/>
      </w:pPr>
      <w:r>
        <w:rPr>
          <w:rFonts w:ascii="Amiri" w:hAnsi="Amiri" w:eastAsia="Amiri" w:cs="Amiri"/>
          <w:color w:val="111111"/>
          <w:sz w:val="28"/>
          <w:sz w:val="28"/>
          <w:szCs w:val="28"/>
          <w:rtl w:val="true"/>
          <w:lang w:bidi="ar-SA"/>
        </w:rPr>
        <w:t xml:space="preserve">لكن الشيخ الأعظم فصّل بين الموارد بعد الاعتراف بأنّ نفس ترك التقيّة ، لا يوجب إلاّ استحقاق العقاب ؛ ففي مثل السجدة على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اقتضاء التقيّة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بالبطلان ؛ لكونه منهيّاً عنه وموجباً لفساد الصلاة ، وفي مثل ترك التكفير وغسل الرجلين في الوضوء حكم بالصحّة ؛ لعدم اعتباره في المأمور به ، بل يكون كواجب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إيجاب الشيء تقيّةً لا يجعله معتبراً في الصلاة ، لزم الحكم بصحّة وضوء من ترك المسح على الخفّين ؛ لأنّ المفروض أنّ الأمر بالمسح لا يجعله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بالبطلان من جهة ترك ما وجب بالتقيّة ، بل لأنّ المسح على الخفّين ، متضمّن لأصل المسح الواجب مع إلغاء قيد مماسّة الماسح للممسوح ، فالتقيّة إنّما أوجبت إلغاء قيد المباشرة ، وأمّا صورة المسح ولو مع الحائل فواجبة واقعاً ، لا من حيث التقيّة ، فالإخلال بها يوجب بطلان الوضوء بنقص جزء منه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استشهد على هذا التحليل برواية عبد الأعلى آل سام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أنّ الأمر بالتقيّة ، لا يقتضي النهي عن الأفعال الصادرة على خلافها ؛ سواء في ذلك ما إذا وجبت التقيّة بعنوانها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التحفّظ عن إفشاء المذهب وكتمان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العنوان ضدّ الأفعال الموجبة للإفشاء والإذاعة ، والأمر بالشيء لا يقتضي النهي عن ضدّه ، أو كان الواجب هو التحفّظ عن ضرر الغير ، ووجبت التقيّة مقدّمة له عقلاً أو شرعاً ؛ بناءً على وجوبها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الوجوب العقلي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الوجوب الشرعي فلأنّ وجوب الفعل الموافق للتقيّة ، لا يقتضي حرمة مقابلاته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الحرمة الغيرية لا توجب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منع وجوب المقدّمة ، كما حقّق في محلّه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 بحرمة الإذاعة ، فلا توجب حرمتها بطلان العمل المنطبق عليه عنوانها ؛ بناءً على جواز اجتماع الأمر والنهي ، كما هو التحقيق</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وجّه البطلان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المأمور به الواقعي ؛ بدعوى تحليل المسح إلى أصل الإمرار ولو على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يساعد عليه العرف ؛ ضرورة أنّ المسح على الرجل والرأس لا ينحلّ إلى المسح ولو على غيرهما ، </w:t>
      </w:r>
    </w:p>
    <w:p>
      <w:pPr>
        <w:pStyle w:val="BookText"/>
        <w:rPr/>
      </w:pPr>
      <w:r>
        <w:rPr>
          <w:rFonts w:ascii="IRNazanin" w:hAnsi="IRNazanin" w:eastAsia="IRNazanin"/>
          <w:color w:val="111111"/>
          <w:sz w:val="28"/>
          <w:sz w:val="28"/>
          <w:szCs w:val="28"/>
          <w:rtl w:val="true"/>
          <w:lang w:bidi="fa-IR"/>
        </w:rPr>
        <w:t xml:space="preserve">فالمسح على الخفّ أجنبيّ عن المأمور به ، كما ورد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أمسح على ظهر حماري أحبّ إليّ من أن أمسح على الخفّين</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بنينا على هذا النحو من التحليل لاتّسع الخرق على الراقع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ينحلّ إلى أصل الإمرار ولو بغير اليد وعلى غير الرجل ، فإذا تعذّر المسح باليد وعلى الرجل يجب مسح شيء آخر ، وهو كما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عبد الأعلى فلم يظهر منها أنّ المسح على المرارة يُعلم من كتاب اللّه ، بل يحتمل أن يكون المراد أ نّه يفهم من كتاب اللّه رفع المسح على الرجل ، لا الإمرار على المرارة ، أو أ نّه علیه السلام يعرف هذا الحكم من كتاب اللّه لا سائر الناس ؛ ضرورة أنّ العرف لا يعرف من كتاب اللّه ذلك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فوجه بطلان الوضوء مع ترك المسح على الخفّين ليس ما أفاده رحمه الله علیه بل لأجل ترك الفرد الاضطراري والاختياري ، وإنّما قام الاضطراري مقام الاختياري في الإجزاء ، ومع ترك البدل والمبدل منه لا وجه لصحّته </w:t>
      </w:r>
      <w:r>
        <w:rPr>
          <w:rFonts w:eastAsia="IRNazanin" w:cs="IRNazanin"/>
          <w:color w:val="111111"/>
          <w:sz w:val="28"/>
          <w:szCs w:val="28"/>
          <w:rtl w:val="true"/>
          <w:lang w:bidi="fa-IR"/>
        </w:rPr>
        <w:t xml:space="preserve">. </w:t>
      </w:r>
      <w:bookmarkStart w:id="83" w:name="pg8101_60428"/>
    </w:p>
    <w:p>
      <w:pPr>
        <w:pStyle w:val="Heading3"/>
        <w:numPr>
          <w:ilvl w:val="2"/>
          <w:numId w:val="1"/>
        </w:numPr>
        <w:rPr/>
      </w:pPr>
      <w:bookmarkStart w:id="84" w:name="__RefHeading___Toc7940254_1051229030"/>
      <w:bookmarkStart w:id="85" w:name="_Toc31"/>
      <w:bookmarkEnd w:id="83"/>
      <w:bookmarkEnd w:id="84"/>
      <w:r>
        <w:rPr>
          <w:rtl w:val="true"/>
        </w:rPr>
        <w:t xml:space="preserve">المبحث الثالث </w:t>
      </w:r>
      <w:r>
        <w:rPr>
          <w:rtl w:val="true"/>
        </w:rPr>
        <w:t xml:space="preserve">: </w:t>
      </w:r>
      <w:r>
        <w:rPr>
          <w:rtl w:val="true"/>
        </w:rPr>
        <w:t>في ذكر ما دلّ على الإجزاء في التقيّة</w:t>
      </w:r>
      <w:bookmarkEnd w:id="85"/>
    </w:p>
    <w:p>
      <w:pPr>
        <w:pStyle w:val="Heading4"/>
        <w:numPr>
          <w:ilvl w:val="3"/>
          <w:numId w:val="1"/>
        </w:numPr>
        <w:rPr/>
      </w:pPr>
      <w:bookmarkStart w:id="86" w:name="__RefHeading___Toc7940256_1051229030"/>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المبحث الثالث في ذكر ما دلّ على أنّ إتيان المأمور به على وجه التقيّة يوجب الإجزاء، ولا تجب بعد رفعها الإعادة والقضاء</w:t>
      </w:r>
    </w:p>
    <w:p>
      <w:pPr>
        <w:pStyle w:val="BookText"/>
        <w:rPr/>
      </w:pPr>
      <w:r>
        <w:rPr>
          <w:rFonts w:ascii="Amiri" w:hAnsi="Amiri" w:eastAsia="Amiri" w:cs="Amiri"/>
          <w:color w:val="111111"/>
          <w:sz w:val="28"/>
          <w:sz w:val="28"/>
          <w:szCs w:val="28"/>
          <w:rtl w:val="true"/>
          <w:lang w:bidi="ar-SA"/>
        </w:rPr>
        <w:t xml:space="preserve">وهي كثيرة وعلى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الإجزاء في التقيّة الاضطرارية من أيّ سبب حصل 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عليه فيما يقتضي عنوان التقيّة إتيان المأمور به على خلاف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عليه في التقيّة المداراتية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محطّ البحث في الإجزاء ما إذا أتى المكلّف بمصداق المأمور به بكيفية خاصّة تقتضيها التقيّة ، كترك جزء أو شرط أو إيجاد مانع ، كما لو اقتضت إتيان الصلاة بلا سورة ، أو مع نجاسة الثوب ، أو إتيان الصوم إلى سقوط الشمس ، أو وقوف عرفة يوم التروية والمشعر ليلة عرفة ، لا ما إذا اقتضت ترك المأمور به رأساً ، كترك الصوم في يوم تعييد الناس ، وترك الصلاة والحجّ ؛ فإنّ الإجزاء في </w:t>
      </w:r>
      <w:bookmarkStart w:id="88" w:name="pg8101_60429"/>
    </w:p>
    <w:p>
      <w:pPr>
        <w:pStyle w:val="BookText"/>
        <w:rPr/>
      </w:pPr>
      <w:bookmarkEnd w:id="88"/>
      <w:r>
        <w:rPr>
          <w:rFonts w:ascii="Amiri" w:hAnsi="Amiri" w:eastAsia="Amiri" w:cs="Amiri"/>
          <w:color w:val="111111"/>
          <w:sz w:val="28"/>
          <w:sz w:val="28"/>
          <w:szCs w:val="28"/>
          <w:rtl w:val="true"/>
          <w:lang w:bidi="ar-SA"/>
        </w:rPr>
        <w:t xml:space="preserve">مثله ممّا لا معنى له ، ولا يكون ذلك محطّ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بين إتيانِ الصوم إلى سقوط الشمس تقيّةً ، وتركِ الصوم رأساً ؛ لأجل ثبوت الهلال عندهم ولزوم التقيّة في تركه ؛ ففي الأوّل يقع البحث في إجزائه ، دون الثاني ، فما في بعض الكلمات من التسوية بينهما </w:t>
      </w:r>
      <w:r>
        <w:rPr>
          <w:rStyle w:val="FootnoteAnchor"/>
          <w:rtl w:val="true"/>
        </w:rPr>
        <w:footnoteReference w:id="79"/>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ما وردت في إفطار يوم شهر رمضان وقضائه</w:t>
      </w:r>
      <w:r>
        <w:rPr>
          <w:rStyle w:val="FootnoteAnchor"/>
          <w:rtl w:val="true"/>
        </w:rPr>
        <w:footnoteReference w:id="80"/>
      </w:r>
      <w:r>
        <w:rPr>
          <w:rFonts w:ascii="Amiri" w:hAnsi="Amiri" w:eastAsia="Amiri" w:cs="Amiri"/>
          <w:color w:val="111111"/>
          <w:sz w:val="28"/>
          <w:sz w:val="28"/>
          <w:szCs w:val="28"/>
          <w:rtl w:val="true"/>
          <w:lang w:bidi="ar-SA"/>
        </w:rPr>
        <w:t xml:space="preserve">غير مخالفة لما سيأتي من الإجزاء </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7940258_1051229030"/>
      <w:bookmarkStart w:id="90" w:name="_Toc33"/>
      <w:bookmarkEnd w:id="89"/>
      <w:r>
        <w:rPr>
          <w:rtl w:val="true"/>
        </w:rPr>
        <w:t>حول الأدلّة الدالّة على الإجزاء في التقيّة الاضطرارية</w:t>
      </w:r>
      <w:bookmarkEnd w:id="9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فمن الطائفة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كان العنوان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والاضطرار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الرفع</w:t>
      </w:r>
      <w:r>
        <w:rPr>
          <w:rStyle w:val="FootnoteAnchor"/>
          <w:rtl w:val="true"/>
        </w:rPr>
        <w:footnoteReference w:id="81"/>
      </w:r>
      <w:r>
        <w:rPr>
          <w:rFonts w:ascii="Amiri" w:hAnsi="Amiri" w:eastAsia="Amiri" w:cs="Amiri"/>
          <w:color w:val="111111"/>
          <w:sz w:val="28"/>
          <w:sz w:val="28"/>
          <w:szCs w:val="28"/>
          <w:rtl w:val="true"/>
          <w:lang w:bidi="ar-SA"/>
        </w:rPr>
        <w:t xml:space="preserve">وقد تعرّضنا لفقه الحديث وحدود دلالته ودفع </w:t>
      </w:r>
    </w:p>
    <w:p>
      <w:pPr>
        <w:pStyle w:val="BookText"/>
        <w:rPr/>
      </w:pPr>
      <w:r>
        <w:rPr>
          <w:rFonts w:ascii="Amiri" w:hAnsi="Amiri" w:eastAsia="Amiri" w:cs="Amiri"/>
          <w:color w:val="111111"/>
          <w:sz w:val="28"/>
          <w:sz w:val="28"/>
          <w:szCs w:val="28"/>
          <w:rtl w:val="true"/>
          <w:lang w:bidi="ar-SA"/>
        </w:rPr>
        <w:t>بعض الإشكالات عنه في محلّه</w:t>
      </w:r>
      <w:r>
        <w:rPr>
          <w:rStyle w:val="FootnoteAnchor"/>
          <w:rtl w:val="true"/>
        </w:rPr>
        <w:footnoteReference w:id="82"/>
      </w:r>
      <w:r>
        <w:rPr>
          <w:rFonts w:ascii="Amiri" w:hAnsi="Amiri" w:eastAsia="Amiri" w:cs="Amiri"/>
          <w:color w:val="111111"/>
          <w:sz w:val="28"/>
          <w:sz w:val="28"/>
          <w:szCs w:val="28"/>
          <w:rtl w:val="true"/>
          <w:lang w:bidi="ar-SA"/>
        </w:rPr>
        <w:t xml:space="preserve">نشير إلى لمحة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أنّ إسناد الرفع إلى المذكورات في الحديث ، يحتاج إلى ادّعاء ، والمصحِّح للدعوى إمّا رفع جميع الآثار ، بمعنى أنّ الموضوع الذي لم يكن له أثر في عالم التشريع مطلقاً ، يصحّ أن يدّعى أ نّه مرفوع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يطيقون ، وما اضطرّوا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وإمّا رفع المؤاخذة ، فيدّعى أنّ ما لا مؤاخذة عليه مرفوع وليس بمحقّق ، فلا بدّ حينئذٍ من دعوى أنّ سائر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أو أنّ المؤاخذة تمام الآثار ؛ حتّى تصحّ دعوى أ نّه برفعها رفع الموضوع ، فلا محيص عن 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شيئية سائر الآثار ، أو كون المؤاخذة جميعها ، وإلاّ فمع تحقّق سائرها والنظر إليها ، لا تصحّ دعوى رفع الموضوع ، ودعوى أنّ ما لا أثر له مرفوع ذاتاً ، بخلاف رفع جميع الآثار ، فإنّه معه لا يحتاج إلاّ إلى ادّعاء واحد ، فالحمل على جميع الآثار أسلم وأظهر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أن يكون في كلٍّ من العناوين أثر خاصّ به ؛ هو أظهر آثاره</w:t>
      </w:r>
      <w:r>
        <w:rPr>
          <w:rStyle w:val="FootnoteAnchor"/>
          <w:rtl w:val="true"/>
        </w:rPr>
        <w:footnoteReference w:id="83"/>
      </w:r>
      <w:r>
        <w:rPr>
          <w:rFonts w:ascii="Amiri" w:hAnsi="Amiri" w:eastAsia="Amiri" w:cs="Amiri"/>
          <w:color w:val="111111"/>
          <w:sz w:val="28"/>
          <w:sz w:val="28"/>
          <w:szCs w:val="28"/>
          <w:rtl w:val="true"/>
          <w:lang w:bidi="ar-SA"/>
        </w:rPr>
        <w:t xml:space="preserve">فبعيد عن الصواب ؛ لعدم مساعدة العرف ، وعدم أثر خاصّ لكلّ منها هو أظهر الآثار ، فلا محيص عن الحمل على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العرف أيضاً يساعده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واستشهاد الإمام علیه السلام به في صحيحة صفوان والبزنطي</w:t>
      </w:r>
      <w:r>
        <w:rPr>
          <w:rStyle w:val="FootnoteAnchor"/>
          <w:rtl w:val="true"/>
        </w:rPr>
        <w:footnoteReference w:id="84"/>
      </w:r>
      <w:r>
        <w:rPr>
          <w:rFonts w:ascii="Amiri" w:hAnsi="Amiri" w:eastAsia="Amiri" w:cs="Amiri"/>
          <w:color w:val="111111"/>
          <w:sz w:val="28"/>
          <w:sz w:val="28"/>
          <w:szCs w:val="28"/>
          <w:rtl w:val="true"/>
          <w:lang w:bidi="ar-SA"/>
        </w:rPr>
        <w:t xml:space="preserve">أقوى شاهد على عدم الاختصاص بالمؤاخذة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الرفع يختصّ بالوجوديات ، مثل التكتّف ، وقول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العدميات ، فلا يشمل مثل ترك القراءة ؛ فإنّ شأن الرفع تنزيل الموجود منزلة المعدوم لا العكس ، فإنّه يكون وضعاً لا رفعاً ، فلا يجعل عدم القراءة بمنزلة وجودها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تامّة؛ لأجل اشتمالها على القراءة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الرفع متوجّه إلى العناوين المأخوذة فيه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يطيقون ، وما استكرهوا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وهذه العناوين لها نحو ثبوت قابل للرفع ، فالموصول فيها وإن كان إشارة إلى ما ينطبق عليه العناوين ، وهي قد تكون عدمية ، لكنّ الرفع غير متوجّه إلى العدم ، بل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قابل للرفع عرفاً ، والرفع لمّا كان بلحاظ الآثار وترك السورة موجباً للبطلان ، فهو مرفوع بلحاظه ، ولا يحتاج إلى إثبات تحقّق السورة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استلزام رفع الترك لوضع الوجود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متّضح الفساد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للحديث عن شمول كلّ ما يضطرّ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ينقدح في ذهن العرف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غيرُ تلك العناوين ؛ من غير انتسابها إلى الوجوديات والعدميات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يضطرّ إليه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إتيان المانع وترك الشرط أو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بلحاظ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وإن كان عقلياً ، إلاّ أنّ شمول الحديث له لا مانع منه بعد كون منشئه بيد الشارع إثباتاً ونفياً ، كما أنّ الأمر كذلك في مثل قاعدة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التفصيل بين الاضطرار إلى إيجاد المانع ، فيرفع المانعية بلسان رفع المانع ، ونحكم بصحّة المأتيّ به ، وبين الاضطرار إلى ترك الجزء والشرط ؛ لأنّ الاضطرار إليه لا إليهما ، فلا يمكن رفع الجزئية والشرطية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أثر لتركهما شرعاً ؛ لأنّ وجوب الإعادة عقلي لا شرعي ، وبقاء أمر الشارع ليس أثراً لترك الجزء أو الشرط ، بل لازم عقلي لعدم الإطاعة ، أو موجب آخر للسقوط ، فالترك المضطرّ إليه لا أثر شرعي له حتّى يرفع بلحاظه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بقاعدة التجاوز في غير محلّه ؛ لاختلاف لسانهما ومفادهما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الفضلاء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التقيّة في كلّ شيء يضطرّ إليه ابن آدم فقد أحلّه اللّه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تكون الحلّية قرينة على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بالتكليفيات ؛ ضرورة أنّ الحلّية أعمّ من التكليفية والوضعية ، ألا ترى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ظاهر في الوضع ، ومورد تمسّكهم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لنفوذ البيع ومضيّه من غير شبهة تأوّل وتجوّز ؟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واللغة والكتاب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بالتكليف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الممنوع والمرخّص فيه ، فشرب الخمر لدى الاضطرار حلال مرخّص فيه غير ممنوع ، والتكتّف في الصلاة ، وترك السورة ، ولبس الحرير فيها ، والإفطار عند سقوط الشمس ، والوقوف بعرفات والمشعر قبل وقته ، كلّ ذلك إذا اضطرّ إليه ابن آدم أحلّه اللّه وأمضاه ، والصلاة بالكيفية</w:t>
      </w:r>
    </w:p>
    <w:p>
      <w:pPr>
        <w:pStyle w:val="BookText"/>
        <w:rPr/>
      </w:pPr>
      <w:r>
        <w:rPr>
          <w:rFonts w:ascii="Amiri" w:hAnsi="Amiri" w:eastAsia="Amiri" w:cs="Amiri"/>
          <w:color w:val="111111"/>
          <w:sz w:val="28"/>
          <w:sz w:val="28"/>
          <w:szCs w:val="28"/>
          <w:rtl w:val="true"/>
          <w:lang w:bidi="ar-SA"/>
        </w:rPr>
        <w:t xml:space="preserve">الكذائية والصوم والحجّ كذلك ، مرخّص فيها وممضاة من قبل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يستفاد من الصحيحة رفع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ووضعاً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شيء يضطرّ إليه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الآن لسنا بصدد بيان موضوع الاضطرار ، بل بصدد حكمه لدى تحقّقه ، ولا ريب في استفادة الوضع منها ، خصوصاً مع ندرة موارد ابتلاء الشيعة في دار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الأعصار التي انحصرت التقيّة فيها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التكليفيات ، كشرب النبيذ مثلاً ، وكثرة ابتلائهم بالوضعيات ليلاً ونهاراً ، فحمل الحديث على التكليف ممّا لا مجال فيه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تقيّةً لم يضرّه إذا هو اُكره واضطرّ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ممّا حرّم اللّه إلاّ وقد أحلّه لمن اضطرّ إليه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91" w:name="pg8101_60434"/>
    </w:p>
    <w:p>
      <w:pPr>
        <w:pStyle w:val="BookText"/>
        <w:rPr/>
      </w:pPr>
      <w:bookmarkEnd w:id="91"/>
      <w:r>
        <w:rPr>
          <w:rFonts w:ascii="Amiri" w:hAnsi="Amiri" w:eastAsia="Amiri" w:cs="Amiri"/>
          <w:color w:val="111111"/>
          <w:sz w:val="28"/>
          <w:sz w:val="28"/>
          <w:szCs w:val="28"/>
          <w:rtl w:val="true"/>
          <w:lang w:bidi="ar-SA"/>
        </w:rPr>
        <w:t xml:space="preserve">ولعلّها أظهر في شمول الوضع ؛ لأنّ عدمَ إضرار الحلف عدمُ ترتّب الأثر والكفّارة عليه ، وقوله بعده بمنزلة الكبرى الكلّية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يبعد استفادة الصحّة من مثل قول أبي جعفر علیه السلام في صحيحة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في كلّ ضرورة ، وصاحبها أعلم بها حين تنزل به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يظهر منها مشروعية التقيّة في إتيان العمل ، كالصلاة متكتّفاً إذا اقتضت الضرورة ، أو مشروعية التكتّف فيها ، فدلّت على صحّة الصلاة المأتيّ بها كذلك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المورد ، فربّما لا يضطرّ الإنسان إلى شيء ، لكنّ الضرورة تقتضي الإتيان به ، كما إذا كان في تركه ضرر على حوزة المسلمين أو رئيس الإسلام ، أو كان مورثاً لهتك حرمة مقام محترم </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7940260_1051229030"/>
      <w:bookmarkStart w:id="93" w:name="_Toc34"/>
      <w:bookmarkEnd w:id="92"/>
      <w:r>
        <w:rPr>
          <w:rtl w:val="true"/>
        </w:rPr>
        <w:t>حول ما دلّت على الإجزاء فيما تقتضي التقيّة إتيان المأمور به على خلاف الحقّ</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الطائفة الثانية موثّقة مسعدة بن صدقة ، عن أبي عبداللّه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وتفسير ما يتّقى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يكون قوم سوء ظاهرٌ حكمهم وفعلهم على غير حكم الحقّ وفعله ، فكلّ شيء يعمل المؤمن بينهم لمكان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يؤدّي </w:t>
      </w:r>
    </w:p>
    <w:p>
      <w:pPr>
        <w:pStyle w:val="BookText"/>
        <w:rPr/>
      </w:pPr>
      <w:r>
        <w:rPr>
          <w:rFonts w:ascii="Amiri" w:hAnsi="Amiri" w:eastAsia="Amiri" w:cs="Amiri"/>
          <w:color w:val="111111"/>
          <w:sz w:val="28"/>
          <w:sz w:val="28"/>
          <w:szCs w:val="28"/>
          <w:rtl w:val="true"/>
          <w:lang w:bidi="ar-SA"/>
        </w:rPr>
        <w:t xml:space="preserve">إلى الفساد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جائز</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المضيّ وكون الشيء مرخّصاً فيه تكليفاً ووضعاً </w:t>
      </w:r>
      <w:r>
        <w:rPr>
          <w:rStyle w:val="FootnoteAnchor"/>
          <w:rtl w:val="true"/>
        </w:rPr>
        <w:footnoteReference w:id="92"/>
      </w:r>
      <w:r>
        <w:rPr>
          <w:rFonts w:ascii="Amiri" w:hAnsi="Amiri" w:eastAsia="Amiri" w:cs="Amiri"/>
          <w:color w:val="111111"/>
          <w:sz w:val="28"/>
          <w:sz w:val="28"/>
          <w:szCs w:val="28"/>
          <w:rtl w:val="true"/>
          <w:lang w:bidi="ar-SA"/>
        </w:rPr>
        <w:t xml:space="preserve">، فيستفاد منه صحّة العمل ومضيّه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فلا يختصّ بالتكليفي ، بل يعمّ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فتكفير المؤمن في صلاته ، وإفطاره لدى السقوط ، ووقوفه بعرفات قبل وقته ، وإيقاعه الطلاق مع فقد العدلين ، ووضوؤه بالنبيذ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يكون جائزاً نافذاً ماضياً لدى الشرع حال التقيّة ، فتسقط الأوامر المتعلّقة بالطبائع بالفرد المأتيّ به تقيّة ، فإذا اقتضى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وكتمان السرّ والخوف من إذاعة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عمل على خلاف الواقع ، يكون جائزاً ومصداقاً في هذا الحال للمأمور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الموثّقة أعمّ مورداً من الطائفة الاُولى ؛ لشمولها للتقيّة الاضطرارية والمداراتية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الصباح إبراهيم بن نعيم المرويّة في كتاب الأيمان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قال لي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علّم نبيّه التنزيل والتأويل ، فعلّمه رسول اللّه صلی الله علیه و آله وسلم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وعلّمنا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صنعتم من شيء أو حلفتم عليه من يمين في تقيّة ، فأنتم منه في سعة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تدلّ على أنّ كلّ ما صنع المكلّف من زيادة في المأمور به أو نقيصة فيه ، فهو في سعة منه ، فلا يترتّب عليه الإعادة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والاختصاص بالحكم التكليفي ممّا لا يساعد عليه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يصلّي ، فخرج الإمام وقد صلّى الرجل ركعة من صلاة فريضة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إماماً عدْلاً فليصلّ اُخرى وينصرف ويجعلهما تطوّعاً ، وليدخل مع الإمام في صلاته كما هو ، وإن لم يكن إمام عدْل فليبن على صلاته كما هو ، ويصلّي ركعة اُخرى ، ويجلس قدر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 وأشهد أنّ محمّداً عبده ورسوله ، ثمّ ليتمّ صلاته معه على ما استطاع ؛ فإنّ التقيّة واسعة ، وليس شيء من التقيّة إلاّ وصاحبها مأجور عليها إن شاء اللّه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الموثّقة أوضح دلالة على المطلوب من غيرها ؛ ضرورة أ نّها كالنصّ على صحّة صلاته بمحضر منهم مع ترك ما لم يستطع فعله أو إتيان </w:t>
      </w:r>
    </w:p>
    <w:p>
      <w:pPr>
        <w:pStyle w:val="BookText"/>
        <w:rPr/>
      </w:pPr>
      <w:r>
        <w:rPr>
          <w:rFonts w:ascii="Amiri" w:hAnsi="Amiri" w:eastAsia="Amiri" w:cs="Amiri"/>
          <w:color w:val="111111"/>
          <w:sz w:val="28"/>
          <w:sz w:val="28"/>
          <w:szCs w:val="28"/>
          <w:rtl w:val="true"/>
          <w:lang w:bidi="ar-SA"/>
        </w:rPr>
        <w:t xml:space="preserve">ما لم يستطع تركه من الأجزاء والشرائط والموانع ، وبعد التعليل بأنّ ذلك من أجل أنّ التقيّة واسعة ومأجور عليها ، تتعدّى إلى كلّ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عمر الأعجمي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 ، إنّ تسعة أعشار الدين في التقيّة ، ولا دين لمن لا تقيّة له ، والتقيّة في كلّ شيء إلاّ في النبيذ والمسح على الخفّين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مسح الخفّين تقيّة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أتّقي فيهنّ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 ومسح الخفّين ، ومتعة الحجّ</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اتّقاؤه في غيرها ، ولا ريب في أنّ استثناء مسح الخفّين ومتعة الحجّ ، دليل على شمولهما للوضع ؛ فإنّ المسح عليهما ممنوع غيري لأجل عدم تحقّق الوضوء به ، ولا حرمة ذاتية فيه ، فيظهر منهما صحّة الأعمال المأتيّ بها تقيّة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علم الهدى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المحكم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الرخصة التي صاحبها فيها بالخيار ، فإنّ اللّه نهى المؤمن أن يتّخذ الكافر وليّاً ، ثمّ منّ عليه بإطلاق الرخصة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التقيّة في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يصوم بصيامه ، وأن يفطر بإفطاره ، ويصلّي بصلاته ، ويعمل بعمله ، ويظهر له استعمال ذلك موسّعاً عليه فيه ، وعليه أن يدين اللّه تعالى في الباطن بخلاف ما يظهر لمن يخافه من المخالفين المستولين على الاُمّة ؛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يَتَّخِذِ الْمُؤْمِنُونَ الْكَافِرِينَ </w:t>
      </w:r>
    </w:p>
    <w:p>
      <w:pPr>
        <w:pStyle w:val="BookText"/>
        <w:rPr/>
      </w:pPr>
      <w:r>
        <w:rPr>
          <w:rFonts w:ascii="Amiri" w:hAnsi="Amiri" w:eastAsia="Amiri" w:cs="Amiri"/>
          <w:color w:val="111111"/>
          <w:sz w:val="28"/>
          <w:sz w:val="28"/>
          <w:szCs w:val="28"/>
          <w:rtl w:val="true"/>
          <w:lang w:bidi="ar-SA"/>
        </w:rPr>
        <w:t>أَوْلِيَاءَ مِنْ دُونِ الْمُؤْمِنِينَ وَمَنْ يَفْعَلْ ذلِكَ فَلَيْسَ مِنَ اللّه‌ِ فِى شَىْ‌ءٍ إِلاَّ أَنْ تَتَّقُوا مِنْهُمْ تُقَاةً وَيُحَذِّرُكُمُ اللّه‌ُ نَفْسَهُ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فهذه رحمة تفضّل اللّه بها على المؤمنين رحمة لهم ؛ ليستعملوها عند التقيّة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العمل بعمله والصلاة بصلاته وتوسعة استعمال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هو صحّة العمل وإجزاؤه ، وأنّ ما يؤتى به تقيّة صحيح محبوب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أن يدين اللّه في الباطن بخلاف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لماهية العبادات مصداقين مختلفين في حال التقيّة وغيرها ، وليس المراد منه إعادة ما يأتي به تقيّة بلا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عبداللّه علیه السلام في رسالته إلى أصحابه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وعليكم بمجاملة أهل الباطل ؛ تحمّلوا الضيم منهم ، وإيّاكم ومماظّتهم ، دينوا فيما بينكم 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أنتم جالستموهم وخالطتموهم ونازعتموهم الكلام ؛ فإنّه لا بدّ لكم من مجالستهم ومخالطتهم ومنازعتهم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بالتقيّة التي أمركم اللّه أن تأخذوا بها فيما بينكم وبينهم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أنّه اعملوا بالديانة على </w:t>
      </w:r>
    </w:p>
    <w:p>
      <w:pPr>
        <w:pStyle w:val="BookText"/>
        <w:rPr/>
      </w:pPr>
      <w:r>
        <w:rPr>
          <w:rFonts w:ascii="Amiri" w:hAnsi="Amiri" w:eastAsia="Amiri" w:cs="Amiri"/>
          <w:color w:val="111111"/>
          <w:sz w:val="28"/>
          <w:sz w:val="28"/>
          <w:szCs w:val="28"/>
          <w:rtl w:val="true"/>
          <w:lang w:bidi="ar-SA"/>
        </w:rPr>
        <w:t xml:space="preserve">نحو التقيّة ، واعبدوا اللّه فيما بينكم وبينهم عبادة على صفة التقيّة ، فيدلّ على أنّ الأعمال التي تعمل تقيّة عبادة اللّه وديانته تعالى ، ولا تكون صورة العبادة ، فيدلّ على صحّتها وكون المأتيّ به مصداقاً للمأمور به حال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عبداللّه بسنده الصحيح عن معلّى ابن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معلّى ، اكتم أمرنا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معلّى ، إنّ التقيّة ديني ودين آبائي ، ولا دين لمن لا تقيّة له ، يا معلّى ، إنّ اللّه يحبّ أن يعبد في السرّ كما يحبّ أن يعبد في العلانية ، والمذيع لأمرنا كالجاحد له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العبادة سرّاً هي العبادة تقيّة ؛ حيث يعبد اللّه المتّقي مع إسرار الحقّ ، وقد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أن يعبد في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فالعبادة الواقعة على وجه التقيّة عبادة ومحبوبة ، فوقعت صحيحة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من قوله في موثّقة</w:t>
      </w:r>
      <w:r>
        <w:rPr>
          <w:rStyle w:val="FootnoteAnchor"/>
          <w:rtl w:val="true"/>
        </w:rPr>
        <w:footnoteReference w:id="104"/>
      </w: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عبداللّه بشيءٍ </w:t>
      </w:r>
      <w:bookmarkStart w:id="94" w:name="pg8101_60440"/>
    </w:p>
    <w:p>
      <w:pPr>
        <w:pStyle w:val="BookText"/>
        <w:rPr/>
      </w:pPr>
      <w:bookmarkEnd w:id="94"/>
      <w:r>
        <w:rPr>
          <w:rFonts w:ascii="Amiri" w:hAnsi="Amiri" w:eastAsia="Amiri" w:cs="Amiri"/>
          <w:color w:val="111111"/>
          <w:sz w:val="28"/>
          <w:sz w:val="28"/>
          <w:szCs w:val="28"/>
          <w:rtl w:val="true"/>
          <w:lang w:bidi="ar-SA"/>
        </w:rPr>
        <w:t>أحبّ إليه من الخب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الخب 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هو العبادة على نعت التقيّة ، ويكون مضمونها كمضمون رواية معلّى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سفيان بن سعيد عن أبي عبداللّه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سفيان ، من استعمل التقيّة في دين اللّه فقد تسنّم الذروة العليا من القرآن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بالعبادة تقيّة ، فتكون العبادة المأتيّ بها كذلك دين اللّه ، ولا تكون من دين اللّه ما لا تكون صحيحة مصداقاً للمأمور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وآمرك أن تستعمل التقيّة في دينك</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ويظهر من ذيلها أ نّها من الطائفة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الطائفة أعمّ مورداً من الطائفة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يستفاد من بعضها الإجزاء في التقيّة المداراتية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940262_1051229030"/>
      <w:bookmarkStart w:id="96" w:name="_Toc35"/>
      <w:bookmarkEnd w:id="95"/>
      <w:r>
        <w:rPr>
          <w:rtl w:val="true"/>
        </w:rPr>
        <w:t>حول الأدلّة الدالّة على الإجزاء في التقيّة المداراتية</w:t>
      </w:r>
      <w:bookmarkEnd w:id="96"/>
    </w:p>
    <w:p>
      <w:pPr>
        <w:pStyle w:val="BookText"/>
        <w:rPr/>
      </w:pPr>
      <w:r>
        <w:rPr>
          <w:rFonts w:ascii="IRNazanin" w:hAnsi="IRNazanin" w:eastAsia="IRNazanin"/>
          <w:color w:val="111111"/>
          <w:sz w:val="28"/>
          <w:sz w:val="28"/>
          <w:szCs w:val="28"/>
          <w:rtl w:val="true"/>
          <w:lang w:bidi="fa-IR"/>
        </w:rPr>
        <w:t>ومن الطائفة الثالثة صحيحة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أن تعملوا عملاً نعيّر به ؛ فإنّ ولد السوء يعيّر والده بعمله ، كونوا لمن </w:t>
      </w:r>
    </w:p>
    <w:p>
      <w:pPr>
        <w:pStyle w:val="BookText"/>
        <w:rPr/>
      </w:pPr>
      <w:r>
        <w:rPr>
          <w:rFonts w:ascii="Amiri" w:hAnsi="Amiri" w:eastAsia="Amiri" w:cs="Amiri"/>
          <w:color w:val="111111"/>
          <w:sz w:val="28"/>
          <w:sz w:val="28"/>
          <w:szCs w:val="28"/>
          <w:rtl w:val="true"/>
          <w:lang w:bidi="ar-SA"/>
        </w:rPr>
        <w:t>انقطعتم إليه زَيناً، ولا تكونوا علينا شَيناً، صلّوا في عشائرهم، وعودوا مرضاهم ، واشهدوا جنائزهم ، ولا يسبقونكم إلى شيء من الخير ؛ فأنتم أولى به منهم ، واللّه‌ِ ما عُبد اللّه بشيءٍ أحبّ إليه من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الخباء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الترغيب في العمل طبق آرائهم وأهوائهم وإتيان الصلاة في عشائرهم ، وكذا سائر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الإتيان في عشائرهم وبمحضر منهم ، مستلزم لترك بعض الأجزاء والشرائط وفعل بعض الموانع، وتذييلها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عُبد اللّه‌ُ بشيء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لدفع استبعاد الشيعة صحّة العمل المخالف للواقع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أحبّ العبادات وأحسنها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خالطوهم بالبرّانية وخالفوهم بالجوّانية</w:t>
      </w:r>
      <w:r>
        <w:rPr>
          <w:rStyle w:val="FootnoteAnchor"/>
          <w:rtl w:val="true"/>
        </w:rPr>
        <w:footnoteReference w:id="109"/>
      </w:r>
      <w:r>
        <w:rPr>
          <w:rFonts w:ascii="Amiri" w:hAnsi="Amiri" w:eastAsia="Amiri" w:cs="Amiri"/>
          <w:color w:val="111111"/>
          <w:sz w:val="28"/>
          <w:sz w:val="28"/>
          <w:szCs w:val="28"/>
          <w:rtl w:val="true"/>
          <w:lang w:bidi="ar-SA"/>
        </w:rPr>
        <w:t>إذا كانت الإمرة صبيانية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المخالطة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الأعمال على طبق التقيّة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على طبق الواقع ، فيكون كلٌّ في مورده مصداق المأمور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97" w:name="pg8101_60442"/>
    </w:p>
    <w:p>
      <w:pPr>
        <w:pStyle w:val="Heading4"/>
        <w:numPr>
          <w:ilvl w:val="3"/>
          <w:numId w:val="1"/>
        </w:numPr>
        <w:rPr/>
      </w:pPr>
      <w:bookmarkStart w:id="98" w:name="__RefHeading___Toc7940264_1051229030"/>
      <w:bookmarkStart w:id="99" w:name="_Toc36"/>
      <w:bookmarkEnd w:id="97"/>
      <w:bookmarkEnd w:id="98"/>
      <w:r>
        <w:rPr>
          <w:rtl w:val="true"/>
        </w:rPr>
        <w:t>دلالة الأخبار على صحّة العمل ولو للاختلاف في الموضوعات</w:t>
      </w:r>
      <w:bookmarkEnd w:id="99"/>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تلك الروايات صحّة العمل الذي يؤتى به تقيّة ؛ سواء كانت التقيّة لاختلاف بيننا وبينهم في الحكم ، كما في المسح على الخفّين والإفطار لدى السقوط ، أو في ثبوت الموضوع الخارجي ، كالوقوف بعرفات اليوم الثامن لأجل ثبوت الهلال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العلم بالخلاف والشكّ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يشهد لترتّب أثر التقيّة في الموضوعات ؛ وأنّ الوقوفين في غير وقتهما مجزيان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بعد رسول اللّه صلی الله علیه و آله وسلم إلى زمان خلافة أمير المؤمنين ، ومن بعده إلى زمن الغيبة ، كان الأئمّة وشيعتهم مبتلين بالتقيّة أكثر من مائتي سنة ، وكانوا يحجّون مع اُمراء الحاجّ من قبل خلفاء الجور أو معهم ، وكان أمر الحجّ وقوفاً وإفاضةً بأيديهم ؛ لكونه من شؤون السلطنة والإمارة ، ولا ريب في كثرة تحقّق يوم الشكّ في تلك السنين المتمادية ، ولم يرد من الأئمّة علیهم السلام ما يدلّ على جواز التخلّف عنهم ، أو لزوم إعادة الحجّ في سنة يكون هلال شهر ذي الحجّة ، ثابتاً لدى الشيعة مع كثرة ابتلائهم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لتوهّم عدم الخلاف في أوّل الشهر في نحو مائتين وأربعين سنة ، </w:t>
      </w:r>
      <w:bookmarkStart w:id="100" w:name="pg8101_60443"/>
    </w:p>
    <w:p>
      <w:pPr>
        <w:pStyle w:val="BookText"/>
        <w:rPr/>
      </w:pPr>
      <w:bookmarkEnd w:id="100"/>
      <w:r>
        <w:rPr>
          <w:rFonts w:ascii="Amiri" w:hAnsi="Amiri" w:eastAsia="Amiri" w:cs="Amiri"/>
          <w:color w:val="111111"/>
          <w:sz w:val="28"/>
          <w:sz w:val="28"/>
          <w:szCs w:val="28"/>
          <w:rtl w:val="true"/>
          <w:lang w:bidi="ar-SA"/>
        </w:rPr>
        <w:t xml:space="preserve">ولا في بنائهم على إدراك الوقوف خفاءً ، كما يصنع جهّال الشيعة في هذه الأزمنة ؛ ضرورة أ نّه لو وقع ذلك منهم ولو مرّة أو اُمروا به ولو دفعة ، لكان منقولاً إلينا ؛ لتوفّر الدواعي إليه ، فعدم أمرهم به ومتابعتهم لهم ، أدلّ دليل على إجزاء العمل تقيّة ولو في الخلاف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إشكال فيه ظاهراً </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940266_1051229030"/>
      <w:bookmarkStart w:id="102" w:name="_Toc37"/>
      <w:bookmarkEnd w:id="101"/>
      <w:r>
        <w:rPr>
          <w:rtl w:val="true"/>
        </w:rPr>
        <w:t>عدم ثبوت الموضوعات بحكم حاكم المخالفين</w:t>
      </w:r>
      <w:bookmarkEnd w:id="102"/>
    </w:p>
    <w:p>
      <w:pPr>
        <w:pStyle w:val="BookText"/>
        <w:rPr/>
      </w:pPr>
      <w:r>
        <w:rPr>
          <w:rFonts w:ascii="Amiri" w:hAnsi="Amiri" w:eastAsia="Amiri" w:cs="Amiri"/>
          <w:color w:val="111111"/>
          <w:sz w:val="28"/>
          <w:sz w:val="28"/>
          <w:szCs w:val="28"/>
          <w:rtl w:val="true"/>
          <w:lang w:bidi="ar-SA"/>
        </w:rPr>
        <w:t xml:space="preserve">إنّما الإشكال في أ نّه تثبت الموضوعات الخارجية بحكم حاكمهم مع الشكّ في الثبوت ؛ فيكون حكمهم كحكم حكّام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يجب ترتّب آثارها عليها ولو مع العلم بالخلاف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لا تترتّب ولا تثبت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هو الأخير ؛ لأنّ عمومات التقيّة وإطلاقاتها لا تفي بذلك ؛ لأنّ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في كلّ شيء إلاّ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المسح على الخفّين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ظاهر في إجزاء العمل على وجه التقيّة ، لا في ثبوت الموضوع تعبّداً ، أو لزوم ترتيب آثار الواقع مطلقاً على ما ثبت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روى الشيخ بإسناده عن أبي الجارود زياد بن 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شككنا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من تلك 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الأضحى ، فلمّا دخلت على أبي جعفر وكان بعض أصحابنا يضحّي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الفطر يوم يفطر </w:t>
      </w:r>
    </w:p>
    <w:p>
      <w:pPr>
        <w:pStyle w:val="BookText"/>
        <w:rPr/>
      </w:pPr>
      <w:r>
        <w:rPr>
          <w:rFonts w:ascii="Amiri" w:hAnsi="Amiri" w:eastAsia="Amiri" w:cs="Amiri"/>
          <w:color w:val="111111"/>
          <w:sz w:val="28"/>
          <w:sz w:val="28"/>
          <w:szCs w:val="28"/>
          <w:rtl w:val="true"/>
          <w:lang w:bidi="ar-SA"/>
        </w:rPr>
        <w:t>الناس ، والأضحى يوم يضحّي الناس ، والصوم يوم يصوم الناس</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 أنّ يوم يضحّي الناس يكون أضحى، ويترتّب عليه آثار الموضوع واقعاً ، وبإلغاء الخصوصية عرفاً يفهم الحكم في سائر الموضوعات التي يترتّب عليها الآثار الشرعية ، فحينئذٍ إن قلنا بأنّ التعبّد لا يناسب ولا يكون مع العلم بالخلاف ، يختصّ بمورد الشكّ ، فيكون حكم حكّامهم كحكم الحاكم العدل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بملاحظة وروده في باب التقيّة يترتّب الأثر حتّى مع العلم بالخلاف ، فحينئذٍ يقيّد إطلاقه بالروايات الواردة في قضيّة إفطار أبي عبداللّه علیه السلام تقيّة من أبي العبّاس في يوم يعلم أنّه من شهر رمضان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إفطاري يوماً وقضاؤه أيسر عليّ من أن يضرب عنقي ولا يعبد اللّه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إثبات الحكم بمثل رواية أبي الجارود الضعيف</w:t>
      </w:r>
      <w:r>
        <w:rPr>
          <w:rStyle w:val="FootnoteAnchor"/>
          <w:rtl w:val="true"/>
        </w:rPr>
        <w:footnoteReference w:id="116"/>
      </w:r>
      <w:r>
        <w:rPr>
          <w:rFonts w:ascii="Amiri" w:hAnsi="Amiri" w:eastAsia="Amiri" w:cs="Amiri"/>
          <w:color w:val="111111"/>
          <w:sz w:val="28"/>
          <w:sz w:val="28"/>
          <w:szCs w:val="28"/>
          <w:rtl w:val="true"/>
          <w:lang w:bidi="ar-SA"/>
        </w:rPr>
        <w:t xml:space="preserve">غير ممكن ، فترك </w:t>
      </w:r>
      <w:bookmarkStart w:id="103" w:name="pg8101_60445"/>
    </w:p>
    <w:p>
      <w:pPr>
        <w:pStyle w:val="BookText"/>
        <w:rPr/>
      </w:pPr>
      <w:bookmarkEnd w:id="103"/>
      <w:r>
        <w:rPr>
          <w:rFonts w:ascii="Amiri" w:hAnsi="Amiri" w:eastAsia="Amiri" w:cs="Amiri"/>
          <w:color w:val="111111"/>
          <w:sz w:val="28"/>
          <w:sz w:val="28"/>
          <w:szCs w:val="28"/>
          <w:rtl w:val="true"/>
          <w:lang w:bidi="ar-SA"/>
        </w:rPr>
        <w:t xml:space="preserve">الصوم يوم الشكّ تقيّة لا يوجب سقوط القضاء على الظاهر ، وهذا بخلاف إتيان أعمال الحجّ على وفق التقيّة ؛ فإنّ مقتضى إطلاق أدلّة التقيّة إجزاؤه حتّى مع العلم بالخلاف ، كما يصحّ الوضوء والصلاة مع العلم بكونهما خلاف الواقع الأوّلي </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7940268_1051229030"/>
      <w:bookmarkStart w:id="105" w:name="_Toc38"/>
      <w:bookmarkEnd w:id="104"/>
      <w:r>
        <w:rPr>
          <w:rtl w:val="true"/>
        </w:rPr>
        <w:t>الروايات الدالّة على صحّة الصلاة مع العامّة</w:t>
      </w:r>
      <w:bookmarkEnd w:id="105"/>
    </w:p>
    <w:p>
      <w:pPr>
        <w:pStyle w:val="BookText"/>
        <w:rPr/>
      </w:pPr>
      <w:r>
        <w:rPr>
          <w:rFonts w:ascii="IRNazanin" w:hAnsi="IRNazanin" w:eastAsia="IRNazanin"/>
          <w:color w:val="111111"/>
          <w:sz w:val="28"/>
          <w:sz w:val="28"/>
          <w:szCs w:val="28"/>
          <w:rtl w:val="true"/>
          <w:lang w:bidi="fa-IR"/>
        </w:rPr>
        <w:t xml:space="preserve">ثمّ إنّه قد وردت روايات خاصّة تدلّ على صحّة الصلاة مع الناس والترغيب في الحضور في مساجدهم والاقتداء بهم والاعتداد بها ، كصحيحة حمّاد بن عثمان عن أبي عبداللّه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معهم في الصفّ الأوّل كان كمن صلّى خلف رسول اللّه صلی الله علیه و آله وسلم في الصفّ الأوّل</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الصلاة معه صحيحة ذات فضيلة جمّة ، فكذلك الصلاة معهم حال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حفص بن البختري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 لك إذا دخلت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لا تقتدي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يحسب لك إذا كنت مع من تقتدي به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سنان عنه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 معهم في مساجدهم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علي بن جعفر عن أخيه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حسن وحسين خلف مروان ونحن نصلّي معهم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w:t>
      </w:r>
      <w:r>
        <w:rPr>
          <w:rStyle w:val="FootnoteAnchor"/>
          <w:rtl w:val="true"/>
        </w:rPr>
        <w:footnoteReference w:id="121"/>
      </w:r>
      <w:r>
        <w:rPr>
          <w:rFonts w:ascii="IRNazanin" w:hAnsi="IRNazanin" w:eastAsia="IRNazanin"/>
          <w:color w:val="111111"/>
          <w:sz w:val="28"/>
          <w:sz w:val="28"/>
          <w:szCs w:val="28"/>
          <w:rtl w:val="true"/>
          <w:lang w:bidi="fa-IR"/>
        </w:rPr>
        <w:t xml:space="preserve">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مناكحتهم والصلاة خلفهم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شديد لن تستطيعوا ذلك، قد أنكح رسول اللّه صلی الله علیه و آله وسلم وصلّى علي علیه السلام وراءهم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المسجد ، فأجد الإمام قد ركع وقد ركع القوم ، فلا يمكنني أن اُؤذّن واُقيم واُكبّر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كان ذلك فادخل معهم في الركعة واعتدّ بها ؛ فإنّها من أفضل ركعاتك </w:t>
      </w:r>
      <w:r>
        <w:rPr>
          <w:rFonts w:eastAsia="IRNazanin" w:cs="IRNazanin"/>
          <w:color w:val="111111"/>
          <w:sz w:val="28"/>
          <w:szCs w:val="28"/>
          <w:rtl w:val="true"/>
          <w:lang w:bidi="fa-IR"/>
        </w:rPr>
        <w:t>. . .»</w:t>
      </w:r>
      <w:r>
        <w:rPr>
          <w:rStyle w:val="FootnoteAnchor"/>
          <w:rtl w:val="true"/>
        </w:rPr>
        <w:footnoteReference w:id="123"/>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تصلّي خلف الناصب ولا تقرأ خلفه فيما يجهر فيه ؛ فإنّ قراءته تجزيك </w:t>
      </w:r>
      <w:r>
        <w:rPr>
          <w:rFonts w:eastAsia="IRNazanin" w:cs="IRNazanin"/>
          <w:color w:val="111111"/>
          <w:sz w:val="28"/>
          <w:szCs w:val="28"/>
          <w:rtl w:val="true"/>
          <w:lang w:bidi="fa-IR"/>
        </w:rPr>
        <w:t>.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هو صريح أو ظاهر في الصحّة والاعتداد بالصلاة تقيّة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تنافيها ما دلّت على إيقاع الفريضة قبل المخالف أو بعده وحضورها معه</w:t>
      </w:r>
      <w:r>
        <w:rPr>
          <w:rStyle w:val="FootnoteAnchor"/>
          <w:rtl w:val="true"/>
        </w:rPr>
        <w:footnoteReference w:id="126"/>
      </w:r>
      <w:r>
        <w:rPr>
          <w:rFonts w:ascii="Amiri" w:hAnsi="Amiri" w:eastAsia="Amiri" w:cs="Amiri"/>
          <w:color w:val="111111"/>
          <w:sz w:val="28"/>
          <w:sz w:val="28"/>
          <w:szCs w:val="28"/>
          <w:rtl w:val="true"/>
          <w:lang w:bidi="ar-SA"/>
        </w:rPr>
        <w:t xml:space="preserve">ممّا هي محمولة على الاستحباب حملاً للظاهر 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كثير منها صحّة الصلاة معه ، كصحيحة عبداللّه بن سنان ، عن أبي عبداللّه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يصلّي في الوقت ويفرغ ، ثمّ يأتيهم ويصلّي معهم وهو على وضوء ، إلاّ كتب اللّه له خمساً وعشرين درجة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ومثلها رواية</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عمر بن يزيد ، وهما دالّتان على صحّتها ، وإلاّ فلا وجه للوضوء ، فتكون الصلاة معادة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في رواية عمرو</w:t>
      </w:r>
      <w:r>
        <w:rPr>
          <w:rStyle w:val="FootnoteAnchor"/>
          <w:rtl w:val="true"/>
        </w:rPr>
        <w:footnoteReference w:id="129"/>
      </w:r>
      <w:r>
        <w:rPr>
          <w:rFonts w:ascii="Amiri" w:hAnsi="Amiri" w:eastAsia="Amiri" w:cs="Amiri"/>
          <w:color w:val="111111"/>
          <w:sz w:val="28"/>
          <w:sz w:val="28"/>
          <w:szCs w:val="28"/>
          <w:rtl w:val="true"/>
          <w:lang w:bidi="ar-SA"/>
        </w:rPr>
        <w:t xml:space="preserve">بن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سأل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أثق به ، اُصلّي خلفه وأقرأ ؟ قال</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صلّ قبله أو بعده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أفاُصلّي خلفه وأجعلها تطوّعاً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قبل التطوّع لقبلت الفريضة ، ولكن اجعلها سبحة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مع ضعفها </w:t>
      </w:r>
      <w:r>
        <w:rPr>
          <w:rStyle w:val="FootnoteAnchor"/>
          <w:rtl w:val="true"/>
        </w:rPr>
        <w:footnoteReference w:id="132"/>
      </w:r>
      <w:r>
        <w:rPr>
          <w:rFonts w:ascii="Amiri" w:hAnsi="Amiri" w:eastAsia="Amiri" w:cs="Amiri"/>
          <w:color w:val="111111"/>
          <w:sz w:val="28"/>
          <w:sz w:val="28"/>
          <w:szCs w:val="28"/>
          <w:rtl w:val="true"/>
          <w:lang w:bidi="ar-SA"/>
        </w:rPr>
        <w:t xml:space="preserve">يكون ذيلها مشعراً بصحّة الصلاة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فهذه الضعيفة لا تصلح لمعارضة الصحاح المتقدّمة وغيرها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لا تعارضها رواية ناصح المؤذّن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اُصلّي في البيت وأخرج إليهم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نافلة ، ولا تكبّر معهم فتدخل معهم في الصلاة ؛ فإنّ مفتاح الصلاة التكبير</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جهالة 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صحّة صلاته لو كبّر معهم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رواية عبيد بن زرارة عن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المسجد وقد صلّيت ، فاُصلّي معهم فلا أحتسب تلك الصلاة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وأمّا أنا فاُصلّي معهم واُريهم أ نّي أسجد وما أسجد</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لضعف </w:t>
      </w:r>
      <w:bookmarkStart w:id="106" w:name="pg8101_60449"/>
    </w:p>
    <w:p>
      <w:pPr>
        <w:pStyle w:val="BookText"/>
        <w:rPr/>
      </w:pPr>
      <w:bookmarkEnd w:id="106"/>
      <w:r>
        <w:rPr>
          <w:rFonts w:ascii="IRNazanin" w:hAnsi="IRNazanin" w:eastAsia="IRNazanin"/>
          <w:color w:val="111111"/>
          <w:sz w:val="28"/>
          <w:sz w:val="28"/>
          <w:szCs w:val="28"/>
          <w:rtl w:val="true"/>
          <w:lang w:bidi="fa-IR"/>
        </w:rPr>
        <w:t xml:space="preserve">سندها </w:t>
      </w:r>
      <w:r>
        <w:rPr>
          <w:rStyle w:val="FootnoteAnchor"/>
          <w:rtl w:val="true"/>
        </w:rPr>
        <w:footnoteReference w:id="136"/>
      </w:r>
      <w:r>
        <w:rPr>
          <w:rFonts w:ascii="Amiri" w:hAnsi="Amiri" w:eastAsia="Amiri" w:cs="Amiri"/>
          <w:color w:val="111111"/>
          <w:sz w:val="28"/>
          <w:sz w:val="28"/>
          <w:szCs w:val="28"/>
          <w:rtl w:val="true"/>
          <w:lang w:bidi="ar-SA"/>
        </w:rPr>
        <w:t xml:space="preserve">ودلالتها ؛ لأنّ عدم الاحتساب بعد إتيان صلاة لا يدلّ على عدم الصحّة ، كما أنّ إراءة السجدة مع عدم النيّة ، لا تدلّ على عدمها لو اقتدى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لعلّها مشعرة بها على فرض الاقتداء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من عدم جواز الصلاة خلفهم وأ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الجُدر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وأ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فهي بحسب الحكم الأوّلي ، فلا منافاة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الشبهة في صحّة الصلاة وسائر العبادات المأتيّ بها على وجه التقيّة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7940270_1051229030"/>
      <w:bookmarkStart w:id="108" w:name="_Toc39"/>
      <w:bookmarkEnd w:id="107"/>
      <w:r>
        <w:rPr>
          <w:rtl w:val="true"/>
        </w:rPr>
        <w:t>اختصاص المداراتية بالتقيّة من العامّة ولو مع عدم الخوف</w:t>
      </w:r>
      <w:bookmarkEnd w:id="1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لا إشكال في أنّ التقيّة الاضطرارية تابعة لتحقّق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نظر إلى سببه ، فلو فرض أنّ كافراً أو سلطاناً شيعياً أو غيرهما اضطرّه إلى إتيان العبادة بوجه خاصّ ، يكون مجزياً عن المأمور به ، وسيأتي الكلام في ميزان تحقّقه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التقيّة المداراتية المرغّب فيها ممّا تكون العبادة معها أحبّ العبادات وأفضلها فالظاهر اختصاصها بالتقيّة من العامّة ، كما هو مصبّ الروايات 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فيها صلاح حال المسلمين بوحدة كلمتهم وعدم تفرّق جماعتهم ؛ لكي لا يصيروا أذلاّء بين سائر الملل وتحت سلطة الكفّار وسيطرة الأجانب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صلاح حال الشيعة ؛ لضعفهم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تلك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وقلّة عددهم ، فلو خالفوا التقيّة لصاروا في معرض الزوال والانقراض ، ففي رواية عبداللّه بن أبي يعفور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على دينكم ، واحجبوه بالتقيّة ؛ فإنّه لا إيمان لمن لا تقيّة له ، إنّما أنتم في الناس كالنحل في الطير ، ولو أنّ الطير يعلم ما في أجواف النحل ، ما بقي منها شيء إلاّ أكلته ، ولو أنّ الناس علموا ما في أجوافكم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نّكم تحبّونا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لأكلوكم بألسنتهم ، ولنحلوكم في السرّ والعلانية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منكم كان على ولايتنا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يتوقّف جواز هذه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الخوف على نفسه أو غيره ، بل الظاهر أنّ المصالح النوعية صارت سبباً لإيجاب التقيّة من المخالفين ، فتجب التقيّة وكتمان السرّ ولو كان مأموناً وغير خائف على نفسه وغيره </w:t>
      </w:r>
      <w:r>
        <w:rPr>
          <w:rFonts w:eastAsia="Amiri" w:cs="Amiri" w:ascii="Amiri" w:hAnsi="Amiri"/>
          <w:color w:val="111111"/>
          <w:sz w:val="28"/>
          <w:szCs w:val="28"/>
          <w:rtl w:val="true"/>
          <w:lang w:bidi="ar-SA"/>
        </w:rPr>
        <w:t xml:space="preserve">. </w:t>
      </w:r>
      <w:bookmarkStart w:id="109" w:name="pg8101_60451"/>
    </w:p>
    <w:p>
      <w:pPr>
        <w:pStyle w:val="Heading3"/>
        <w:numPr>
          <w:ilvl w:val="2"/>
          <w:numId w:val="1"/>
        </w:numPr>
        <w:rPr/>
      </w:pPr>
      <w:bookmarkStart w:id="110" w:name="__RefHeading___Toc7940272_1051229030"/>
      <w:bookmarkStart w:id="111" w:name="_Toc40"/>
      <w:bookmarkEnd w:id="109"/>
      <w:bookmarkEnd w:id="110"/>
      <w:r>
        <w:rPr>
          <w:rtl w:val="true"/>
        </w:rPr>
        <w:t>المبحث الرابع</w:t>
      </w:r>
      <w:r>
        <w:rPr>
          <w:rtl w:val="true"/>
        </w:rPr>
        <w:t xml:space="preserve">: </w:t>
      </w:r>
      <w:r>
        <w:rPr>
          <w:rtl w:val="true"/>
        </w:rPr>
        <w:t>في اعتبار عدم المندوحة في التقيّة</w:t>
      </w:r>
      <w:bookmarkEnd w:id="111"/>
    </w:p>
    <w:p>
      <w:pPr>
        <w:pStyle w:val="Heading4"/>
        <w:numPr>
          <w:ilvl w:val="3"/>
          <w:numId w:val="1"/>
        </w:numPr>
        <w:rPr/>
      </w:pPr>
      <w:bookmarkStart w:id="112" w:name="__RefHeading___Toc7940274_1051229030"/>
      <w:bookmarkStart w:id="113" w:name="_Toc41"/>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هل يعتبر في التقيّة عدم المندوحة مطلقاً </w:t>
      </w:r>
      <w:r>
        <w:rPr>
          <w:rStyle w:val="FootnoteAnchor"/>
          <w:rtl w:val="true"/>
        </w:rPr>
        <w:footnoteReference w:id="141"/>
      </w:r>
      <w:r>
        <w:rPr>
          <w:rFonts w:ascii="Amiri" w:hAnsi="Amiri" w:eastAsia="Amiri" w:cs="Amiri"/>
          <w:color w:val="111111"/>
          <w:sz w:val="28"/>
          <w:sz w:val="28"/>
          <w:szCs w:val="28"/>
          <w:rtl w:val="true"/>
          <w:lang w:bidi="ar-SA"/>
        </w:rPr>
        <w:t>أم لا كذلك</w:t>
      </w:r>
      <w:r>
        <w:rPr>
          <w:rStyle w:val="FootnoteAnchor"/>
          <w:rtl w:val="true"/>
        </w:rPr>
        <w:footnoteReference w:id="142"/>
      </w:r>
      <w:r>
        <w:rPr>
          <w:rFonts w:ascii="Amiri" w:hAnsi="Amiri" w:eastAsia="Amiri" w:cs="Amiri"/>
          <w:color w:val="111111"/>
          <w:sz w:val="28"/>
          <w:sz w:val="28"/>
          <w:szCs w:val="28"/>
          <w:rtl w:val="true"/>
          <w:lang w:bidi="ar-SA"/>
        </w:rPr>
        <w:t xml:space="preserve">أو يفصّل بين ما كان مأذوناً فيه بخصوصه فلا يعتبر ، كغسل الرجلين في الوضوء والوضوء منكوساً </w:t>
      </w:r>
      <w:r>
        <w:rPr>
          <w:rStyle w:val="FootnoteAnchor"/>
          <w:rtl w:val="true"/>
        </w:rPr>
        <w:footnoteReference w:id="143"/>
      </w:r>
      <w:r>
        <w:rPr>
          <w:rFonts w:ascii="Amiri" w:hAnsi="Amiri" w:eastAsia="Amiri" w:cs="Amiri"/>
          <w:color w:val="111111"/>
          <w:sz w:val="28"/>
          <w:sz w:val="28"/>
          <w:szCs w:val="28"/>
          <w:rtl w:val="true"/>
          <w:lang w:bidi="ar-SA"/>
        </w:rPr>
        <w:t>وبين ما لم يرد فيه نصّ خاصّ</w:t>
      </w:r>
      <w:r>
        <w:rPr>
          <w:rStyle w:val="FootnoteAnchor"/>
          <w:rtl w:val="true"/>
        </w:rPr>
        <w:footnoteReference w:id="144"/>
      </w:r>
      <w:r>
        <w:rPr>
          <w:rFonts w:ascii="Amiri" w:hAnsi="Amiri" w:eastAsia="Amiri" w:cs="Amiri"/>
          <w:color w:val="111111"/>
          <w:sz w:val="28"/>
          <w:sz w:val="28"/>
          <w:szCs w:val="28"/>
          <w:rtl w:val="true"/>
          <w:lang w:bidi="ar-SA"/>
        </w:rPr>
        <w:t xml:space="preserve">أو يفصّل بين التقيّة من المخالفين فلا يعتبر مطلقاً </w:t>
      </w:r>
      <w:r>
        <w:rPr>
          <w:rStyle w:val="FootnoteAnchor"/>
          <w:rtl w:val="true"/>
        </w:rPr>
        <w:footnoteReference w:id="145"/>
      </w:r>
      <w:r>
        <w:rPr>
          <w:rFonts w:ascii="Amiri" w:hAnsi="Amiri" w:eastAsia="Amiri" w:cs="Amiri"/>
          <w:color w:val="111111"/>
          <w:sz w:val="28"/>
          <w:sz w:val="28"/>
          <w:szCs w:val="28"/>
          <w:rtl w:val="true"/>
          <w:lang w:bidi="ar-SA"/>
        </w:rPr>
        <w:t>أو في الجملة</w:t>
      </w:r>
      <w:r>
        <w:rPr>
          <w:rStyle w:val="FootnoteAnchor"/>
          <w:rtl w:val="true"/>
        </w:rPr>
        <w:footnoteReference w:id="146"/>
      </w:r>
      <w:r>
        <w:rPr>
          <w:rFonts w:ascii="Amiri" w:hAnsi="Amiri" w:eastAsia="Amiri" w:cs="Amiri"/>
          <w:color w:val="111111"/>
          <w:sz w:val="28"/>
          <w:sz w:val="28"/>
          <w:szCs w:val="28"/>
          <w:rtl w:val="true"/>
          <w:lang w:bidi="ar-SA"/>
        </w:rPr>
        <w:t>، وبين غيرهم فيعتبر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 عدم المندوحة فيما إذا كانت التقيّة من غير المخالفين </w:t>
      </w:r>
      <w:bookmarkStart w:id="114" w:name="pg8101_60452"/>
    </w:p>
    <w:p>
      <w:pPr>
        <w:pStyle w:val="BookText"/>
        <w:rPr/>
      </w:pPr>
      <w:bookmarkEnd w:id="114"/>
      <w:r>
        <w:rPr>
          <w:rFonts w:ascii="Amiri" w:hAnsi="Amiri" w:eastAsia="Amiri" w:cs="Amiri"/>
          <w:color w:val="111111"/>
          <w:sz w:val="28"/>
          <w:sz w:val="28"/>
          <w:szCs w:val="28"/>
          <w:rtl w:val="true"/>
          <w:lang w:bidi="ar-SA"/>
        </w:rPr>
        <w:t>ممّا كان دليلها مثل حديث الرفع</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وعدم الاعتبار إذا كانت من المخالفين مطلقاً </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7940276_1051229030"/>
      <w:bookmarkStart w:id="116" w:name="_Toc42"/>
      <w:bookmarkEnd w:id="115"/>
      <w:r>
        <w:rPr>
          <w:rtl w:val="true"/>
        </w:rPr>
        <w:t>اعتبار عدم المندوحة في التقيّة من غير المخالفين</w:t>
      </w:r>
      <w:bookmarkEnd w:id="116"/>
    </w:p>
    <w:p>
      <w:pPr>
        <w:pStyle w:val="BookText"/>
        <w:rPr/>
      </w:pPr>
      <w:r>
        <w:rPr>
          <w:rFonts w:ascii="Amiri" w:hAnsi="Amiri" w:eastAsia="Amiri" w:cs="Amiri"/>
          <w:color w:val="111111"/>
          <w:sz w:val="28"/>
          <w:sz w:val="28"/>
          <w:szCs w:val="28"/>
          <w:rtl w:val="true"/>
          <w:lang w:bidi="ar-SA"/>
        </w:rPr>
        <w:t xml:space="preserve">أمّا اعتبار عدمها في الفرض الأوّل ؛ فلعدم صدق الاضطرار والضرورة مع المندوحة ؛ فإنّ من كان في سعة من إتيان الصلاة لدلوك الشمس إلى غسق الليل ، لا يكون مضطرّاً إلى إتيانها مع سعة الوقت ؛ لعدم إمكان إلزام أحد بالصلاة التي كانت متقوّمة بالنيّة ، فالإلزام إنّما يتعلّق بصورة الصلاة لا بالصلاة متكتّفاً ، إلاّ أن يكون المكلّف ملزماً بإتيانها من قبل علاّم الغيوب ، كما في الواجب المضيّق أو الواجب الذي ضاق وقته ، فيكون مضطرّاً في إتيانها وقت الضيق عقلاً ، فحينئذٍ مع حضور من يتّقي منه ويخاف على نفسه منه ، يضطرّ إلى إتيانها على وجه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إلى إتيان المأمور به الذي يكون من الاُمور القصدية بكيفية خاصّة ، لا يتحقّق إلاّ بالاضطرار إلى إيجاد الطبيعة وإلى الكيفية الخاصّة ، فمع عدم الاضطرار إلى أحدهما لا يصدق أ نّه مضطرّ إلى إتيانها كذلك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ادّعى الشيخ الأعظم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منع توقّف الاضطرار إلى مثل التكتّف على </w:t>
      </w:r>
    </w:p>
    <w:p>
      <w:pPr>
        <w:pStyle w:val="BookText"/>
        <w:rPr/>
      </w:pPr>
      <w:r>
        <w:rPr>
          <w:rFonts w:ascii="Amiri" w:hAnsi="Amiri" w:eastAsia="Amiri" w:cs="Amiri"/>
          <w:color w:val="111111"/>
          <w:sz w:val="28"/>
          <w:sz w:val="28"/>
          <w:szCs w:val="28"/>
          <w:rtl w:val="true"/>
          <w:lang w:bidi="ar-SA"/>
        </w:rPr>
        <w:t>الاضطرار إلى الصلاة التي يقع فيها ، بل الظاهر أ نّه يكفي في صدق الاضطرار إليه ، كونه لا بدّ من فعله مع وصف إرادة الصلاة في ذلك الوقت لا مطلقاً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ممّا لا يمكن المساعدة عليه ؛ ضرورة عدم الاضطرار إلى التكتّف في الصلاة مع الاختيار في 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الأمر كذلك فيمن علم أنّ الحضور في مجلس الشرب مثلاً ، ينجرّ إلى اضطراره إلى شرب الخمر ، فمع اختياره في ترك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وشرب الخمر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هذا الشرب اختيارياً غير معذور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يعاقب على شربه لا حضوره ؛ لأنّ مقدّمة الحرام غير محرّمة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شرب الخمر بعد حضوره واجب ؛ لتوقّف حفظ النفس عليه ، فكيف يعاقب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النفس واجب شرعاً ، والشرب واجب عقلاً مقدّمةً مع كونه محرّماً شرعاً ، فالعقل يحكم بلزوم ارتكاب أقلّ المحذورين مع استحقاقه للعقوبة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لو التزم بالوجوب الشرعي أيضاً لا مانع من صحّة العقوبة ، كالمتوسّط في الأرض المغصوبة ؛ فإنّ حكم الشارع لم يتعلّق به لأجل مصلحة فيه ، بل لأجل قلّة المفسدة وأقلّية المحذور ، وفي مثله لا مانع من العقوبة عقلاً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العقل يحكم حكماً جزمياً بصحّة عقوبة من حضر في محلٍّ اختياراً مع علمه باضطراره إلى المحرّم ، فحينئذٍ يقع البحث في أ نّه </w:t>
      </w:r>
      <w:r>
        <w:rPr>
          <w:rFonts w:eastAsia="Amiri" w:cs="Amiri" w:ascii="Amiri" w:hAnsi="Amiri"/>
          <w:color w:val="111111"/>
          <w:sz w:val="28"/>
          <w:szCs w:val="28"/>
          <w:rtl w:val="true"/>
          <w:lang w:bidi="ar-SA"/>
        </w:rPr>
        <w:t xml:space="preserve">: </w:t>
      </w:r>
      <w:bookmarkStart w:id="117" w:name="pg8101_60454"/>
    </w:p>
    <w:p>
      <w:pPr>
        <w:pStyle w:val="Heading4"/>
        <w:numPr>
          <w:ilvl w:val="3"/>
          <w:numId w:val="1"/>
        </w:numPr>
        <w:rPr/>
      </w:pPr>
      <w:bookmarkStart w:id="118" w:name="__RefHeading___Toc7940278_1051229030"/>
      <w:bookmarkStart w:id="119" w:name="_Toc43"/>
      <w:bookmarkEnd w:id="117"/>
      <w:bookmarkEnd w:id="118"/>
      <w:r>
        <w:rPr>
          <w:rtl w:val="true"/>
        </w:rPr>
        <w:t>صحّة عبادة من اضطرّ نفسه إلى الفرد الاضطراري وإن عصى</w:t>
      </w:r>
      <w:bookmarkEnd w:id="119"/>
    </w:p>
    <w:p>
      <w:pPr>
        <w:pStyle w:val="BookText"/>
        <w:rPr/>
      </w:pPr>
      <w:r>
        <w:rPr>
          <w:rFonts w:ascii="Amiri" w:hAnsi="Amiri" w:eastAsia="Amiri" w:cs="Amiri"/>
          <w:color w:val="111111"/>
          <w:sz w:val="28"/>
          <w:sz w:val="28"/>
          <w:szCs w:val="28"/>
          <w:rtl w:val="true"/>
          <w:lang w:bidi="ar-SA"/>
        </w:rPr>
        <w:t xml:space="preserve">لو اضطرّ المكلّف نفسه إلى إتيان الفرد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يأتي به إلاّ آخر الوقت ، وحضر عند من يتّقي منه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عاصياً أو لا ؟ وعلى الأوّل هل تصحّ عبادته أو لا ؟</w:t>
      </w:r>
    </w:p>
    <w:p>
      <w:pPr>
        <w:pStyle w:val="BookText"/>
        <w:rPr/>
      </w:pPr>
      <w:r>
        <w:rPr>
          <w:rFonts w:ascii="Amiri" w:hAnsi="Amiri" w:eastAsia="Amiri" w:cs="Amiri"/>
          <w:color w:val="111111"/>
          <w:sz w:val="28"/>
          <w:sz w:val="28"/>
          <w:szCs w:val="28"/>
          <w:rtl w:val="true"/>
          <w:lang w:bidi="ar-SA"/>
        </w:rPr>
        <w:t xml:space="preserve">مقتضى الجمود على ظاهر الأدلّة صحّتها مع العصيان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المتفاهم من عنوان التحليل عند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الفرد الاضطراري ناقص عن الاختياري ، وأ نّه تفوت به مصلحة ملزمة ، لكنّ الاضطرار واللا 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لاستيفاء بقيّة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صارا سبباً للأمر بإتيانه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إنّ الضرورة أباحت المحظور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انصراف أدلّة الاضطرار عن الاضطرار بالاختيار ، خصوصاً إذا كان دليل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الرفع</w:t>
      </w:r>
      <w:r>
        <w:rPr>
          <w:rStyle w:val="FootnoteAnchor"/>
          <w:rtl w:val="true"/>
        </w:rPr>
        <w:footnoteReference w:id="152"/>
      </w:r>
      <w:r>
        <w:rPr>
          <w:rFonts w:ascii="Amiri" w:hAnsi="Amiri" w:eastAsia="Amiri" w:cs="Amiri"/>
          <w:color w:val="111111"/>
          <w:sz w:val="28"/>
          <w:sz w:val="28"/>
          <w:szCs w:val="28"/>
          <w:rtl w:val="true"/>
          <w:lang w:bidi="ar-SA"/>
        </w:rPr>
        <w:t xml:space="preserve">مسوقاً للامتنان ، فحينئذٍ لا تستفاد الصحّة من الأدلّة إلاّ إذا دلّ دليل بالخصوص على عدم جواز ترك المأمور به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فحينئذٍ يجب الإتيان وتصحّ </w:t>
      </w:r>
      <w:r>
        <w:rPr>
          <w:rFonts w:eastAsia="Amiri" w:cs="Amiri" w:ascii="Amiri" w:hAnsi="Amiri"/>
          <w:color w:val="111111"/>
          <w:sz w:val="28"/>
          <w:szCs w:val="28"/>
          <w:rtl w:val="true"/>
          <w:lang w:bidi="ar-SA"/>
        </w:rPr>
        <w:t xml:space="preserve">. </w:t>
      </w:r>
      <w:bookmarkStart w:id="120" w:name="pg8101_60455"/>
    </w:p>
    <w:p>
      <w:pPr>
        <w:pStyle w:val="BookText"/>
        <w:rPr/>
      </w:pPr>
      <w:bookmarkEnd w:id="120"/>
      <w:r>
        <w:rPr>
          <w:rFonts w:ascii="Amiri" w:hAnsi="Amiri" w:eastAsia="Amiri" w:cs="Amiri"/>
          <w:color w:val="111111"/>
          <w:sz w:val="28"/>
          <w:sz w:val="28"/>
          <w:szCs w:val="28"/>
          <w:rtl w:val="true"/>
          <w:lang w:bidi="ar-SA"/>
        </w:rPr>
        <w:t xml:space="preserve">هذا حال ما يستفاد حكمه من دليل الاضطرار ، وقد عرفت اعتبار عدم المندوحة مطلقاً ، فيجب إعمال الحيلة في التخلّص عن المتّقى منه ، وفي إتيان العمل موافقاً للحقّ بقدر المقدور ؛ فإنّ الضرورات تتقدّر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خاف من إعمال الحيلة إفشاء سرّه وورود ضرر عليه يكون ذلك أيضاً من الاضطرار والضرورة عرفاً </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7940280_1051229030"/>
      <w:bookmarkStart w:id="122" w:name="_Toc44"/>
      <w:bookmarkEnd w:id="121"/>
      <w:r>
        <w:rPr>
          <w:rtl w:val="true"/>
        </w:rPr>
        <w:t>حول اعتبار عدم المندوحة في التقيّة من المخالفين</w:t>
      </w:r>
      <w:bookmarkEnd w:id="122"/>
    </w:p>
    <w:p>
      <w:pPr>
        <w:pStyle w:val="BookText"/>
        <w:rPr/>
      </w:pPr>
      <w:r>
        <w:rPr>
          <w:rFonts w:ascii="Amiri" w:hAnsi="Amiri" w:eastAsia="Amiri" w:cs="Amiri"/>
          <w:color w:val="111111"/>
          <w:sz w:val="28"/>
          <w:sz w:val="28"/>
          <w:szCs w:val="28"/>
          <w:rtl w:val="true"/>
          <w:lang w:bidi="ar-SA"/>
        </w:rPr>
        <w:t xml:space="preserve">وأمّا ما يستفاد حكمه من سائر الأدلّة التي تختصّ ظاهراً بالمخالفين ، فالظاهر أ نّه لا يعتبر فيها عدم المندوحة مطلقاً ، فمن تمكّن من إتيان الصلاة بغير وجه التقيّة ، لا يجب عليه إتيانها كذلك ، بل الراجح إتيانها بمحضر منهم على صفة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يجب عليه إعمال الحيلة في إزعاج من يتّقي منه عن مكانه ، أو تغيير مكانه من السوق أو المسجد إلى مكان آمن ؛ لظهور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صراحة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رجحان الحضور في جماعاتهم ، وأنّ الصلاة معهم كالصلاة مع رسول اللّه ، ولا شكّ في أنّ هذه الترغيبات تنافي إعمال الحيلة وتعويق العمل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سمع قول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في عشائرهم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مذيّلاً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عُبد اللّه بشيء أحبّ إليه من الخباء</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لا يشكّ في أنّ المراودة معهم وجلب قلوبهم مطلوبة ، والصلاة معهم وفي عشائرهم محبوبة ومن أحسن العبادات ، </w:t>
      </w:r>
    </w:p>
    <w:p>
      <w:pPr>
        <w:pStyle w:val="BookText"/>
        <w:rPr/>
      </w:pPr>
      <w:r>
        <w:rPr>
          <w:rFonts w:ascii="Amiri" w:hAnsi="Amiri" w:eastAsia="Amiri" w:cs="Amiri"/>
          <w:color w:val="111111"/>
          <w:sz w:val="28"/>
          <w:sz w:val="28"/>
          <w:szCs w:val="28"/>
          <w:rtl w:val="true"/>
          <w:lang w:bidi="ar-SA"/>
        </w:rPr>
        <w:t xml:space="preserve">وهي تنافي إعمال الحيلة والانعزال عنهم في عباداته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من سمع قول أبي عبداللّه علیه السلام في صحيحة حمّاد بن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معهم في الصفّ الأوّل كان كمن صلّى خلف رسول اللّه صلی الله علیه و آله وسلم في الصفّ الأوّل</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يشدّ الرحال إلى الصلاة معهم لنيل هذا الفوز العظيم ،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كغيرهما من الأخبار الكثيرة المرغّبة</w:t>
      </w:r>
      <w:r>
        <w:rPr>
          <w:rStyle w:val="FootnoteAnchor"/>
          <w:rtl w:val="true"/>
        </w:rPr>
        <w:footnoteReference w:id="156"/>
      </w:r>
      <w:r>
        <w:rPr>
          <w:rFonts w:ascii="Amiri" w:hAnsi="Amiri" w:eastAsia="Amiri" w:cs="Amiri"/>
          <w:color w:val="111111"/>
          <w:sz w:val="28"/>
          <w:sz w:val="28"/>
          <w:szCs w:val="28"/>
          <w:rtl w:val="true"/>
          <w:lang w:bidi="ar-SA"/>
        </w:rPr>
        <w:t xml:space="preserve">منافيان لإعمال الحيلة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بعض الضعاف ممّا تقدّم ذكره</w:t>
      </w:r>
      <w:r>
        <w:rPr>
          <w:rStyle w:val="FootnoteAnchor"/>
          <w:rtl w:val="true"/>
        </w:rPr>
        <w:footnoteReference w:id="157"/>
      </w:r>
      <w:r>
        <w:rPr>
          <w:rFonts w:ascii="IRNazanin" w:hAnsi="IRNazanin" w:eastAsia="IRNazanin"/>
          <w:color w:val="111111"/>
          <w:sz w:val="28"/>
          <w:sz w:val="28"/>
          <w:szCs w:val="28"/>
          <w:rtl w:val="true"/>
          <w:lang w:bidi="fa-IR"/>
        </w:rPr>
        <w:t xml:space="preserve">وغيره ، كرواية إبراهيم بن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علیه السلام أسأله عن الصلاة خلف من يتولّى أمير المؤمنين علیه السلام وهو يرى المسح على الخفّين ، أو خلف من يحرّم المسح وهو يمسح ،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جامعك وإيّاهم موضع فلم تجد بُدّاً من الصلاة ، فأذّن لنفسك وأقم ، فإن سبقك إلى القراءة فسبّح</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مع ضعفها سنداً </w:t>
      </w:r>
      <w:r>
        <w:rPr>
          <w:rStyle w:val="FootnoteAnchor"/>
          <w:rtl w:val="true"/>
        </w:rPr>
        <w:footnoteReference w:id="159"/>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ممّن يتولّى أمير المؤمنين بعضَ الشيعة ، في مقابل من يحرّمه منهم وهو يمسح ، فيكون الموردان خارجين عن مصبّ أخبار التقيّة المداراتية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ممّا لا تصلح لمعارضة تلك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التأييد بالعمومات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يضطرّ إليه ابن آدم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بدعوى أنّ ظاهرها حصر التقيّة في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الشيخ الأعظم</w:t>
      </w:r>
      <w:r>
        <w:rPr>
          <w:rStyle w:val="FootnoteAnchor"/>
          <w:rtl w:val="true"/>
        </w:rPr>
        <w:footnoteReference w:id="163"/>
      </w:r>
      <w:r>
        <w:rPr>
          <w:rFonts w:ascii="Amiri" w:hAnsi="Amiri" w:eastAsia="Amiri" w:cs="Amiri"/>
          <w:color w:val="111111"/>
          <w:sz w:val="28"/>
          <w:sz w:val="28"/>
          <w:szCs w:val="28"/>
          <w:rtl w:val="true"/>
          <w:lang w:bidi="ar-SA"/>
        </w:rPr>
        <w:t>فممنوع ؛ لمنع الظهور المزبور ، وعدم حجّية مفهوم اللقب</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 نّه لا يعتبر عدم المندوحة فيها على النحو المتقدّم، وإنّما الإشكال في اعتباره حين العمل ؛ بأن يمكنه عند إرادة التكفير تقيّةً الفصلُ بين يديه ، وعند إرادة غسل الرجلين سبقُ يده إلى الرجل وإتيان مسمّى المسح قبل الغسل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فلو فعل معه ما يخالف الحقّ لكان عمله باطلاً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صرّح الشيخ الأعظم باعتبار عدمها وأنّ التقيّة على هذا الوجه غير جائزة في العبادات وغيرها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 نّه ممّا لا خلاف فيه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غير واحد نفي الريب عنه ، وعن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اعتبار عدم المندوحة بهذا المعنى ممّا لا خلاف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عدم المندوحة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مقوّمات موضوع التقيّة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لا مقتضي لتقييد الأوامر الواقعية بغير الفرض ؛ لأنّ المفروض أنّ التقيّة لا تنافيها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يستفاد جوازها في الفرض من مطلقات الأخبار ، فضلاً عن غيرها ؛ لانصرافها عن مثل الفرض ، بل لا يتوهّم المخاطب بهذه الأخبار إلاّ جوازها في غير الفرض ؛ لما ارتكز في الذهن من أنّ الواجب الواقعي والمطلوب النفس الأمري ، إنّما هو مسح الرجلين ، وأمّا ما عداه فإنّما سوّغه العجز ، فلا يجوز مع التمكّن الفعلي من فعله</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العلمان حقّ لا محيص عنه لو حاولنا استفادة اعتبار عدم المندوحة من عمومات أخبار التقيّة ومطلقاتها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w:t>
      </w:r>
      <w:r>
        <w:rPr>
          <w:rStyle w:val="FootnoteAnchor"/>
          <w:rtl w:val="true"/>
        </w:rPr>
        <w:footnoteReference w:id="167"/>
      </w:r>
      <w:r>
        <w:rPr>
          <w:rFonts w:ascii="Amiri" w:hAnsi="Amiri" w:eastAsia="Amiri" w:cs="Amiri"/>
          <w:color w:val="111111"/>
          <w:sz w:val="28"/>
          <w:sz w:val="28"/>
          <w:szCs w:val="28"/>
          <w:rtl w:val="true"/>
          <w:lang w:bidi="ar-SA"/>
        </w:rPr>
        <w:t xml:space="preserve">أ نّه يعتبر عدمها مطلقاً لو تمسّكنا بأدلّة الاضطرار والضرورة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بالنظر إلى الأخبار الخاصّة الواردة في باب الوضوء</w:t>
      </w:r>
      <w:r>
        <w:rPr>
          <w:rStyle w:val="FootnoteAnchor"/>
          <w:rtl w:val="true"/>
        </w:rPr>
        <w:footnoteReference w:id="168"/>
      </w:r>
      <w:r>
        <w:rPr>
          <w:rFonts w:ascii="Amiri" w:hAnsi="Amiri" w:eastAsia="Amiri" w:cs="Amiri"/>
          <w:color w:val="111111"/>
          <w:sz w:val="28"/>
          <w:sz w:val="28"/>
          <w:szCs w:val="28"/>
          <w:rtl w:val="true"/>
          <w:lang w:bidi="ar-SA"/>
        </w:rPr>
        <w:t xml:space="preserve">والصلاة </w:t>
      </w:r>
    </w:p>
    <w:p>
      <w:pPr>
        <w:pStyle w:val="BookText"/>
        <w:rPr/>
      </w:pPr>
      <w:r>
        <w:rPr>
          <w:rFonts w:ascii="IRNazanin" w:hAnsi="IRNazanin" w:eastAsia="IRNazanin"/>
          <w:color w:val="111111"/>
          <w:sz w:val="28"/>
          <w:sz w:val="28"/>
          <w:szCs w:val="28"/>
          <w:rtl w:val="true"/>
          <w:lang w:bidi="fa-IR"/>
        </w:rPr>
        <w:t>معهم</w:t>
      </w:r>
      <w:r>
        <w:rPr>
          <w:rStyle w:val="FootnoteAnchor"/>
          <w:rtl w:val="true"/>
        </w:rPr>
        <w:footnoteReference w:id="169"/>
      </w:r>
      <w:r>
        <w:rPr>
          <w:rFonts w:ascii="Amiri" w:hAnsi="Amiri" w:eastAsia="Amiri" w:cs="Amiri"/>
          <w:color w:val="111111"/>
          <w:sz w:val="28"/>
          <w:sz w:val="28"/>
          <w:szCs w:val="28"/>
          <w:rtl w:val="true"/>
          <w:lang w:bidi="ar-SA"/>
        </w:rPr>
        <w:t xml:space="preserve">وغيرهما </w:t>
      </w:r>
      <w:r>
        <w:rPr>
          <w:rStyle w:val="FootnoteAnchor"/>
          <w:rtl w:val="true"/>
        </w:rPr>
        <w:footnoteReference w:id="170"/>
      </w:r>
      <w:r>
        <w:rPr>
          <w:rFonts w:ascii="IRNazanin" w:hAnsi="IRNazanin" w:eastAsia="IRNazanin"/>
          <w:color w:val="111111"/>
          <w:sz w:val="28"/>
          <w:sz w:val="28"/>
          <w:szCs w:val="28"/>
          <w:rtl w:val="true"/>
          <w:lang w:bidi="fa-IR"/>
        </w:rPr>
        <w:t xml:space="preserve">فالمسألة محلّ نظر ؛ للسكوت عن لزوم إعمال الحيلة فيها مع كون المقام محلّ بيانه ، فلو كان عدمها معتبراً في الصحّة لم يجز إهماله ، ففي رواية محمّد بن 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أبي الحسن موسى يسأله عن الوضوء ، فكتب إليه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فهمت ما ذكرت من الاختلاف في الوضوء ، والذي آمرك به في ذلك أن تمضمض ثلاثاً ، وتستنشق ثلاثاً ، وتغسل وجهك ثلاثاً ، وتخلّل شعر لحيتك ، وتغسل يديك إلى المرفقين ثلاثاً ، وتمسح رأسك كلّه ، وتمسح ظاهر اُذنيك وباطنهما ، وتغسل رجليك إلى الكعبين ثلاثاً ، ولا تخالف ذلك إلى غيره </w:t>
      </w:r>
      <w:r>
        <w:rPr>
          <w:rFonts w:eastAsia="IRNazanin" w:cs="IRNazanin"/>
          <w:color w:val="111111"/>
          <w:sz w:val="28"/>
          <w:szCs w:val="28"/>
          <w:rtl w:val="true"/>
          <w:lang w:bidi="fa-IR"/>
        </w:rPr>
        <w:t>. . .»</w:t>
      </w:r>
      <w:r>
        <w:rPr>
          <w:rStyle w:val="FootnoteAnchor"/>
          <w:rtl w:val="true"/>
        </w:rPr>
        <w:footnoteReference w:id="171"/>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إعمال الحيلة واجباً ولم يصحّ الوضوء مع تركه ، كان عليه البيان ، مع إمكان إعمالها بأيسر ما يكون ، خصوصاً في غسل الوجه واليدين بنيّة الوضوء في الغسلة الأخيرة ، أو الثانية والثالثة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التقيّة في المكاتبة يدفعه المكاتبة الثانية</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مكاتبة ابن يقطين إليه مخالفة للتقيّة لولا الأمن من الإفشاء ، ومعه لا معنى للتقيّة في الفتوى ، ولا ريب أنّ ابن يقطين كان يعمل على طبق مكاتبته من غير إعمال الحيلة ، كما صرّح به في الرواية </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رواية داود الرقّي</w:t>
      </w:r>
      <w:r>
        <w:rPr>
          <w:rStyle w:val="FootnoteAnchor"/>
          <w:rtl w:val="true"/>
        </w:rPr>
        <w:footnoteReference w:id="173"/>
      </w:r>
      <w:r>
        <w:rPr>
          <w:rFonts w:ascii="Amiri" w:hAnsi="Amiri" w:eastAsia="Amiri" w:cs="Amiri"/>
          <w:color w:val="111111"/>
          <w:sz w:val="28"/>
          <w:sz w:val="28"/>
          <w:szCs w:val="28"/>
          <w:rtl w:val="true"/>
          <w:lang w:bidi="ar-SA"/>
        </w:rPr>
        <w:t xml:space="preserve">وحسنة داود بن زربي بل صحيحته </w:t>
      </w:r>
    </w:p>
    <w:p>
      <w:pPr>
        <w:pStyle w:val="BookText"/>
        <w:rPr/>
      </w:pPr>
      <w:r>
        <w:rPr>
          <w:rFonts w:ascii="Amiri" w:hAnsi="Amiri" w:eastAsia="Amiri" w:cs="Amiri"/>
          <w:color w:val="111111"/>
          <w:sz w:val="28"/>
          <w:sz w:val="28"/>
          <w:szCs w:val="28"/>
          <w:rtl w:val="true"/>
          <w:lang w:bidi="ar-SA"/>
        </w:rPr>
        <w:t>على الأصحّ</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إظهار كلمة الكفر وسبّ النبي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وجبت الحيلة مع إمكانها لكان البيان لازماً </w:t>
      </w:r>
      <w:r>
        <w:rPr>
          <w:rFonts w:eastAsia="Amiri" w:cs="Amiri" w:ascii="Amiri" w:hAnsi="Amiri"/>
          <w:color w:val="111111"/>
          <w:sz w:val="28"/>
          <w:szCs w:val="28"/>
          <w:rtl w:val="true"/>
          <w:lang w:bidi="ar-SA"/>
        </w:rPr>
        <w:t xml:space="preserve">. </w:t>
      </w:r>
      <w:bookmarkStart w:id="123" w:name="pg8101_60462"/>
    </w:p>
    <w:p>
      <w:pPr>
        <w:pStyle w:val="BookText"/>
        <w:rPr/>
      </w:pPr>
      <w:bookmarkEnd w:id="123"/>
      <w:r>
        <w:rPr>
          <w:rFonts w:ascii="Amiri" w:hAnsi="Amiri" w:eastAsia="Amiri" w:cs="Amiri"/>
          <w:color w:val="111111"/>
          <w:sz w:val="28"/>
          <w:sz w:val="28"/>
          <w:szCs w:val="28"/>
          <w:rtl w:val="true"/>
          <w:lang w:bidi="ar-SA"/>
        </w:rPr>
        <w:t xml:space="preserve">مع أنّ رسول اللّه صلی الله علیه و آله وسلم أمر عمّاراً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عادوا فعُد</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واستفاض عن أمير المؤمنين الأمر بسبّه تقيّة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عليه الأخبار الكثيرة الواردة في الترغيب بالصلاة معهم وحضور جماعاتهم</w:t>
      </w:r>
      <w:r>
        <w:rPr>
          <w:rStyle w:val="FootnoteAnchor"/>
          <w:rtl w:val="true"/>
        </w:rPr>
        <w:footnoteReference w:id="177"/>
      </w:r>
      <w:r>
        <w:rPr>
          <w:rFonts w:ascii="Amiri" w:hAnsi="Amiri" w:eastAsia="Amiri" w:cs="Amiri"/>
          <w:color w:val="111111"/>
          <w:sz w:val="28"/>
          <w:sz w:val="28"/>
          <w:szCs w:val="28"/>
          <w:rtl w:val="true"/>
          <w:lang w:bidi="ar-SA"/>
        </w:rPr>
        <w:t xml:space="preserve">من غير ذكر لإعمال الحيلة ، مع أ نّه ممّا يغفل عنه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 إعمالها ممّا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إفشاء السرّ وإذاعة أمرهم ، ويكون منافياً لشرع التقيّة ؛ فإنّ نوع المكلّفين لا يقدرون على إعمالها بنحو لا ينتهي إلى الإفشاء </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940282_1051229030"/>
      <w:bookmarkStart w:id="125" w:name="_Toc45"/>
      <w:bookmarkEnd w:id="124"/>
      <w:r>
        <w:rPr>
          <w:rtl w:val="true"/>
        </w:rPr>
        <w:t>حمل الأخبار الظاهرة في لزوم إعمال الحيلة على الاستحباب</w:t>
      </w:r>
      <w:bookmarkEnd w:id="12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أخبار في باب القراءة والجماعة ظاهرة في لزوم إعمالها ، كموثّقة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يصلّي ، فخرج الإمام وقد صلّى الرجل ركعة من صلاة فريضة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إماماً عدلاً فليصلّ اُخرى وينصرف ويجعلهما تطوّعاً ، وليدخل مع الإمام في صلاته كما هو ، وإن لم يكن إمام عدل فليبن على صلاته كما هو ، ويصلّي ركعة اُخرى ، ويجلس قدر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ثمّ ليتمّ صلاته معه على ما استطاع ؛ فإنّ التقيّة واسعة ، وليس شيء </w:t>
      </w:r>
    </w:p>
    <w:p>
      <w:pPr>
        <w:pStyle w:val="BookText"/>
        <w:rPr/>
      </w:pPr>
      <w:r>
        <w:rPr>
          <w:rFonts w:ascii="Amiri" w:hAnsi="Amiri" w:eastAsia="Amiri" w:cs="Amiri"/>
          <w:color w:val="111111"/>
          <w:sz w:val="28"/>
          <w:sz w:val="28"/>
          <w:szCs w:val="28"/>
          <w:rtl w:val="true"/>
          <w:lang w:bidi="ar-SA"/>
        </w:rPr>
        <w:t>من التقيّة إلاّ وصاحبها مأجور عليها إن شاء اللّه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ليتمّ صلاته معه على 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تتميم الصلاة وإتيانها على مذهب الحقّ بمقدار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ما لا يستطيع ويأتي به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ويجلس قدر ما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ظاهر في إعمال الحيلة ؛ بأن يأتي بالتشهّد بنحو يوهم أنّ تأخيره وجلوسه بهذا المقدار ، يكون لبط ء الحركة ، لا إتيان التشهّد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علي بن يقطين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يصلّي خلف من لا يقتدى بصلاته ، والإمام يجهر بالقراءة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لنفسك ، وإن لم تسمع نفسك فلا بأس</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مقتضى الأمر بالقراءة لنفسه وإن لم يسمع ، هو لزوم إتيان القراءة بقدر الاستطاعة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ما روي عن أبي عبداللّه علیه السلام مرسلاً</w:t>
      </w:r>
      <w:r>
        <w:rPr>
          <w:rStyle w:val="FootnoteAnchor"/>
          <w:rtl w:val="true"/>
        </w:rPr>
        <w:footnoteReference w:id="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يجزيك من القراءة معهم </w:t>
      </w:r>
    </w:p>
    <w:p>
      <w:pPr>
        <w:pStyle w:val="BookText"/>
        <w:rPr/>
      </w:pPr>
      <w:r>
        <w:rPr>
          <w:rFonts w:ascii="Amiri" w:hAnsi="Amiri" w:eastAsia="Amiri" w:cs="Amiri"/>
          <w:color w:val="111111"/>
          <w:sz w:val="28"/>
          <w:sz w:val="28"/>
          <w:szCs w:val="28"/>
          <w:rtl w:val="true"/>
          <w:lang w:bidi="ar-SA"/>
        </w:rPr>
        <w:t>مثل حديث النفس</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وغيرها </w:t>
      </w:r>
      <w:r>
        <w:rPr>
          <w:rStyle w:val="FootnoteAnchor"/>
          <w:rtl w:val="true"/>
        </w:rPr>
        <w:footnoteReference w:id="182"/>
      </w:r>
      <w:r>
        <w:rPr>
          <w:rFonts w:ascii="Amiri" w:hAnsi="Amiri" w:eastAsia="Amiri" w:cs="Amiri"/>
          <w:color w:val="111111"/>
          <w:sz w:val="28"/>
          <w:sz w:val="28"/>
          <w:szCs w:val="28"/>
          <w:rtl w:val="true"/>
          <w:lang w:bidi="ar-SA"/>
        </w:rPr>
        <w:t xml:space="preserve">ممّا تدلّ على الإتيان بالمقدار الممكن من قراءة الحمد فقط أو بعضها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والأرجح حمل هذه الطائفة على الاستحباب ؛ لقوّة ظهور الطائفة الاُولى في عدم لزوم إعمال الحيلة ، والمسألة محلّ إشكال تحتاج إلى مزيد تأمّل </w:t>
      </w:r>
      <w:r>
        <w:rPr>
          <w:rFonts w:eastAsia="Amiri" w:cs="Amiri" w:ascii="Amiri" w:hAnsi="Amiri"/>
          <w:color w:val="111111"/>
          <w:sz w:val="28"/>
          <w:szCs w:val="28"/>
          <w:rtl w:val="true"/>
          <w:lang w:bidi="ar-SA"/>
        </w:rPr>
        <w:t xml:space="preserve">. </w:t>
      </w:r>
      <w:bookmarkStart w:id="126" w:name="pg8101_60465"/>
    </w:p>
    <w:p>
      <w:pPr>
        <w:pStyle w:val="Heading3"/>
        <w:numPr>
          <w:ilvl w:val="2"/>
          <w:numId w:val="1"/>
        </w:numPr>
        <w:rPr/>
      </w:pPr>
      <w:bookmarkStart w:id="127" w:name="__RefHeading___Toc7940284_1051229030"/>
      <w:bookmarkStart w:id="128" w:name="_Toc46"/>
      <w:bookmarkEnd w:id="126"/>
      <w:bookmarkEnd w:id="127"/>
      <w:r>
        <w:rPr>
          <w:rtl w:val="true"/>
        </w:rPr>
        <w:t>المبحث الخامس</w:t>
      </w:r>
      <w:r>
        <w:rPr>
          <w:rtl w:val="true"/>
        </w:rPr>
        <w:t xml:space="preserve">: </w:t>
      </w:r>
      <w:r>
        <w:rPr>
          <w:rtl w:val="true"/>
        </w:rPr>
        <w:t>حول ترتّب جميع آثار الصحّة على العمل الصادر تقيّةً</w:t>
      </w:r>
      <w:bookmarkEnd w:id="128"/>
    </w:p>
    <w:p>
      <w:pPr>
        <w:pStyle w:val="Heading4"/>
        <w:numPr>
          <w:ilvl w:val="3"/>
          <w:numId w:val="1"/>
        </w:numPr>
        <w:rPr/>
      </w:pPr>
      <w:bookmarkStart w:id="129" w:name="__RefHeading___Toc7940286_1051229030"/>
      <w:bookmarkStart w:id="130" w:name="_Toc47"/>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هل يترتّب على العمل الصادر تقيّةً جميع آثار الصحّة ؛ فيرفع الوضوء تقيّةً الحدث ، وتؤثّر الأسباب في المسبّبات ، وتترتّب عليها ، فيؤثّر الطلاق في غير محضر العدلين في انفصال الزوجة ، فإذا زالت التقيّة بقي أثر الوضوء وآثار المعاملات ، أم لا فتجب إعادتها بعد زوال السبب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الأدلّة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الخاصّة الواردة في الموارد المخصوصة </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7940288_1051229030"/>
      <w:bookmarkStart w:id="132" w:name="_Toc48"/>
      <w:bookmarkEnd w:id="131"/>
      <w:r>
        <w:rPr>
          <w:rtl w:val="true"/>
        </w:rPr>
        <w:t xml:space="preserve">المقام الأوّل </w:t>
      </w:r>
      <w:r>
        <w:rPr>
          <w:rtl w:val="true"/>
        </w:rPr>
        <w:t xml:space="preserve">: </w:t>
      </w:r>
      <w:r>
        <w:rPr>
          <w:rtl w:val="true"/>
        </w:rPr>
        <w:t>مقتضى الأدلّة العامّة</w:t>
      </w:r>
      <w:bookmarkEnd w:id="132"/>
    </w:p>
    <w:p>
      <w:pPr>
        <w:pStyle w:val="Heading5"/>
        <w:numPr>
          <w:ilvl w:val="4"/>
          <w:numId w:val="1"/>
        </w:numPr>
        <w:rPr/>
      </w:pPr>
      <w:bookmarkStart w:id="133" w:name="__RefHeading___Toc7940290_1051229030"/>
      <w:bookmarkStart w:id="134" w:name="_Toc49"/>
      <w:bookmarkEnd w:id="133"/>
      <w:r>
        <w:rPr/>
        <w:t>1</w:t>
      </w:r>
      <w:r>
        <w:rPr>
          <w:rtl w:val="true"/>
        </w:rPr>
        <w:t xml:space="preserve"> - </w:t>
      </w:r>
      <w:r>
        <w:rPr>
          <w:rtl w:val="true"/>
        </w:rPr>
        <w:t>حال العقود والإيقاعات</w:t>
      </w:r>
      <w:bookmarkEnd w:id="1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المقام الأوّل فالتحقيق عدم قصور الأدلّة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يعمل المؤمن بينهم </w:t>
      </w:r>
    </w:p>
    <w:p>
      <w:pPr>
        <w:pStyle w:val="BookText"/>
        <w:rPr/>
      </w:pPr>
      <w:r>
        <w:rPr>
          <w:rFonts w:ascii="Amiri" w:hAnsi="Amiri" w:eastAsia="Amiri" w:cs="Amiri"/>
          <w:color w:val="111111"/>
          <w:sz w:val="28"/>
          <w:sz w:val="28"/>
          <w:szCs w:val="28"/>
          <w:rtl w:val="true"/>
          <w:lang w:bidi="ar-SA"/>
        </w:rPr>
        <w:t xml:space="preserve">لمكان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يؤدّي إلى الفساد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جائز</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بعد ما تقدّم من شمولها للوضع</w:t>
      </w:r>
      <w:r>
        <w:rPr>
          <w:rStyle w:val="FootnoteAnchor"/>
          <w:rtl w:val="true"/>
        </w:rPr>
        <w:footnoteReference w:id="185"/>
      </w:r>
      <w:r>
        <w:rPr>
          <w:rFonts w:ascii="Amiri" w:hAnsi="Amiri" w:eastAsia="Amiri" w:cs="Amiri"/>
          <w:color w:val="111111"/>
          <w:sz w:val="28"/>
          <w:sz w:val="28"/>
          <w:szCs w:val="28"/>
          <w:rtl w:val="true"/>
          <w:lang w:bidi="ar-SA"/>
        </w:rPr>
        <w:t xml:space="preserve">فإذا فرض اضطرار شخص إلى طلاق زوجته بحسب مقاصده العادية ، ولم يمكنه إلاّ بمحضر منهم تقيّةً ، فلا إشكال في صدق أنّه اضطرّ إلى الطلاق ، فهذا الطلاق الاضطراري ممّا أحلّه اللّه ، وهو جائز ، فلو فرض ورود دليل خاصّ بأنّ الطلاق الكذائي جائز أو حلال ، فهل يتوقّف فقيه في استفادة الصحّة وحصول الفراق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اضطرّ إلى بيع داره بكيفية تقتضيها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حيث يستفاد منهما النفوذ دون ما ورد فيما نحن فيه ؟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الشيخ الأعظم حيث اعترف بعموم الحلّية والجواز للوضعي ، فقال في الردّ على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فصّل بين كون متعلّق التقيّة مأذوناً فيه بخصوصه وغيره</w:t>
      </w:r>
      <w:r>
        <w:rPr>
          <w:rStyle w:val="FootnoteAnchor"/>
          <w:rtl w:val="true"/>
        </w:rPr>
        <w:footnoteReference w:id="18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الفرق بين كون متعلّق التقيّة مأذوناً فيه بالخصوص أو بالعموم ، لا نفهم له وجهاً</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ومع ذلك نسب استفادة صحّة المعاملات من الأدلّة العامّة في المقام إلى توهّم مدفوع ، بما لا يخفى على المتأمّل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35" w:name="pg8101_60467"/>
    </w:p>
    <w:p>
      <w:pPr>
        <w:pStyle w:val="BookText"/>
        <w:rPr/>
      </w:pPr>
      <w:bookmarkEnd w:id="135"/>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استفادة صحّة البيع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يضطرّ إليه ابن آدم فقد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عدم شموله للحلّية الوضعية ، فقد اعترف بشموله لها ، نعم كلماته في كيفية استفادة الحلّية الوضعية من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 فمقتضى بعضها استفادتها منه ابتداءً بحسب فهم العرف</w:t>
      </w:r>
      <w:r>
        <w:rPr>
          <w:rStyle w:val="FootnoteAnchor"/>
          <w:rtl w:val="true"/>
        </w:rPr>
        <w:footnoteReference w:id="191"/>
      </w:r>
      <w:r>
        <w:rPr>
          <w:rFonts w:ascii="Amiri" w:hAnsi="Amiri" w:eastAsia="Amiri" w:cs="Amiri"/>
          <w:color w:val="111111"/>
          <w:sz w:val="28"/>
          <w:sz w:val="28"/>
          <w:szCs w:val="28"/>
          <w:rtl w:val="true"/>
          <w:lang w:bidi="ar-SA"/>
        </w:rPr>
        <w:t>ومقتضى الآخر أ نّها مستفادة من الحكم التكليفي</w:t>
      </w:r>
      <w:r>
        <w:rPr>
          <w:rStyle w:val="FootnoteAnchor"/>
          <w:rtl w:val="true"/>
        </w:rPr>
        <w:footnoteReference w:id="192"/>
      </w:r>
      <w:r>
        <w:rPr>
          <w:rFonts w:ascii="Amiri" w:hAnsi="Amiri" w:eastAsia="Amiri" w:cs="Amiri"/>
          <w:color w:val="111111"/>
          <w:sz w:val="28"/>
          <w:sz w:val="28"/>
          <w:szCs w:val="28"/>
          <w:rtl w:val="true"/>
          <w:lang w:bidi="ar-SA"/>
        </w:rPr>
        <w:t xml:space="preserve">، وإمّا لعدم ورود الحلّ بالخصوص بالنسبة إلى كلّ معاملة ، فقد اعترف بعدم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قصور في الأدلّة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حديث الرفع</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استفادة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العقود والإيقاعات </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7940292_1051229030"/>
      <w:bookmarkStart w:id="137" w:name="_Toc50"/>
      <w:bookmarkEnd w:id="136"/>
      <w:r>
        <w:rPr/>
        <w:t>2</w:t>
      </w:r>
      <w:r>
        <w:rPr>
          <w:rtl w:val="true"/>
        </w:rPr>
        <w:t xml:space="preserve"> - </w:t>
      </w:r>
      <w:r>
        <w:rPr>
          <w:rtl w:val="true"/>
        </w:rPr>
        <w:t>حال التكاليف النفسية والغيرية</w:t>
      </w:r>
      <w:bookmarkEnd w:id="137"/>
    </w:p>
    <w:p>
      <w:pPr>
        <w:pStyle w:val="BookText"/>
        <w:rPr/>
      </w:pPr>
      <w:r>
        <w:rPr>
          <w:rFonts w:ascii="Amiri" w:hAnsi="Amiri" w:eastAsia="Amiri" w:cs="Amiri"/>
          <w:color w:val="111111"/>
          <w:sz w:val="28"/>
          <w:sz w:val="28"/>
          <w:szCs w:val="28"/>
          <w:rtl w:val="true"/>
          <w:lang w:bidi="ar-SA"/>
        </w:rPr>
        <w:t>وأمّا غيرهما كالوضوء وغيره ، فقد عرفت أنّ الظاهر من كثير من عمومات التقيّة وإطلاقاتها ، أنّ المأتيّ به تقيّةً مصداق للماهية المأمور بها ، ويسقط أمره بإتيانه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إلى التكاليف النفسية فظاهر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التكاليف الغيرية كالوضوء والغسل ، فقد يتوهّم عدم شمول الأدلّة لها واختصاصها بالنفسيات ، فإتيان الصلاة مع الوضوء الكذائي ممّا يضطرّ </w:t>
      </w:r>
    </w:p>
    <w:p>
      <w:pPr>
        <w:pStyle w:val="BookText"/>
        <w:rPr/>
      </w:pPr>
      <w:r>
        <w:rPr>
          <w:rFonts w:ascii="Amiri" w:hAnsi="Amiri" w:eastAsia="Amiri" w:cs="Amiri"/>
          <w:color w:val="111111"/>
          <w:sz w:val="28"/>
          <w:sz w:val="28"/>
          <w:szCs w:val="28"/>
          <w:rtl w:val="true"/>
          <w:lang w:bidi="ar-SA"/>
        </w:rPr>
        <w:t>إليه المكلّف ، فهو حلال جائز ، وأمّا بعد رفع التقيّة فلا تحلّ الصلاة مع الوضوء أو الغسل تقيّة ، كما لا يكون تجفيف محلّ البول تقيّة موجباً للتطهير ، فكما لا يرفع ذاك الخبث لا يرفع ذلك الحدث ، فالرخصة المستفادة من العمومات ، لا تقتضي إلاّ رفع المنع عن الدخول في الصلاة بالوضوء مع غسل الرجلين ، أو الإتيان به مع النبيذ ومع نجاسة البدن ، لا صحّة الوضوء وطهارة البدن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الظاهر عدم قصور الأدلّة عن استفادة صحّة الوضوء تقيّة مع غسل الرجلين أو الإتيان بالنبيذ ؛ لأنّ الوضوء الكذائي شيء يضطرّ إليه ابن آدم ، فقد أحلّه اللّه ، والحلّية الوضعية بالنسبة إليه كونه ممضى ، كما أنّ الجواز كذلك ، فالحلّية والجواز الوضعي في الوضوء بالنبيذ صحّته وتماميته ، فإذا صحّ وتمّ يرفع به الحدث ، فلو دلّ دليل بالخصوص على جواز الوضوء بالنبيذ فلا يشكّ أحد في استفادة الصحّة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الدليل العامّ والخاصّ</w:t>
      </w:r>
      <w:r>
        <w:rPr>
          <w:rStyle w:val="FootnoteAnchor"/>
          <w:rtl w:val="true"/>
        </w:rPr>
        <w:footnoteReference w:id="196"/>
      </w:r>
      <w:r>
        <w:rPr>
          <w:rFonts w:ascii="Amiri" w:hAnsi="Amiri" w:eastAsia="Amiri" w:cs="Amiri"/>
          <w:color w:val="111111"/>
          <w:sz w:val="28"/>
          <w:sz w:val="28"/>
          <w:szCs w:val="28"/>
          <w:rtl w:val="true"/>
          <w:lang w:bidi="ar-SA"/>
        </w:rPr>
        <w:t xml:space="preserve">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صحّته وتماميته لا ريب في رفعه الحدث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والنقض بلزوم القول بطهارة رأس الحشفة إذا مسحه بالجدار</w:t>
      </w:r>
      <w:r>
        <w:rPr>
          <w:rStyle w:val="FootnoteAnchor"/>
          <w:rtl w:val="true"/>
        </w:rPr>
        <w:footnoteReference w:id="197"/>
      </w:r>
      <w:r>
        <w:rPr>
          <w:rFonts w:ascii="Amiri" w:hAnsi="Amiri" w:eastAsia="Amiri" w:cs="Amiri"/>
          <w:color w:val="111111"/>
          <w:sz w:val="28"/>
          <w:sz w:val="28"/>
          <w:szCs w:val="28"/>
          <w:rtl w:val="true"/>
          <w:lang w:bidi="ar-SA"/>
        </w:rPr>
        <w:t xml:space="preserve">غير وارد ؛ لإمكان الفرق بأنّ استفادة الطهارة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محتاجة إلى التكلّف ، بخلاف استفادة صحّة الوضوء والغسل التي يترتّب عليها </w:t>
      </w:r>
      <w:bookmarkStart w:id="138" w:name="pg8101_60469"/>
    </w:p>
    <w:p>
      <w:pPr>
        <w:pStyle w:val="BookText"/>
        <w:rPr/>
      </w:pPr>
      <w:bookmarkEnd w:id="138"/>
      <w:r>
        <w:rPr>
          <w:rFonts w:ascii="Amiri" w:hAnsi="Amiri" w:eastAsia="Amiri" w:cs="Amiri"/>
          <w:color w:val="111111"/>
          <w:sz w:val="28"/>
          <w:sz w:val="28"/>
          <w:szCs w:val="28"/>
          <w:rtl w:val="true"/>
          <w:lang w:bidi="ar-SA"/>
        </w:rPr>
        <w:t xml:space="preserve">رفع الحدث من غير لزوم انتساب الحلّية والجواز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وانتسابهما إلى أسباب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ممكناً ، لكن بعيد عن الفهم العرفي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الأدلّة العامّة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7940294_1051229030"/>
      <w:bookmarkStart w:id="140" w:name="_Toc51"/>
      <w:bookmarkEnd w:id="139"/>
      <w:r>
        <w:rPr>
          <w:rtl w:val="true"/>
        </w:rPr>
        <w:t xml:space="preserve">المقام الثاني </w:t>
      </w:r>
      <w:r>
        <w:rPr>
          <w:rtl w:val="true"/>
        </w:rPr>
        <w:t xml:space="preserve">: </w:t>
      </w:r>
      <w:r>
        <w:rPr>
          <w:rtl w:val="true"/>
        </w:rPr>
        <w:t>مقتضى الأدلّة الخاصّة</w:t>
      </w:r>
      <w:bookmarkEnd w:id="140"/>
    </w:p>
    <w:p>
      <w:pPr>
        <w:pStyle w:val="BookText"/>
        <w:rPr/>
      </w:pPr>
      <w:r>
        <w:rPr>
          <w:rFonts w:ascii="Amiri" w:hAnsi="Amiri" w:eastAsia="Amiri" w:cs="Amiri"/>
          <w:color w:val="111111"/>
          <w:sz w:val="28"/>
          <w:sz w:val="28"/>
          <w:szCs w:val="28"/>
          <w:rtl w:val="true"/>
          <w:lang w:bidi="ar-SA"/>
        </w:rPr>
        <w:t xml:space="preserve">وأمّا الأدلّة الخاصّة الواردة في باب الوضوء ، فلا إشكال في استفادة الصحّة منها ؛ وأنّ الوضوء تقيّة مصداق المأمور به ، ففي حسنة داود بن زربي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عن الوضوء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ثلاثاً ثلاثاً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ولا ريب في دلالتها على أنّ الوضوء كذلك مصداق للماهية المسؤول عنها ، ولم يكن جوابه أجنبيّاً عن السؤال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ما أجاب به عن عدّة الطهارة بعد سؤال داود بن زربي في رواية داود الرقّي ؛ حيث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 ثلاثاً ، من نقص عنه فلا صلاة له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ومثلهما ما ورد من أمر أبي الحسن علیه السلام علي بن يقطين بالتوضّي تقيّة</w:t>
      </w:r>
      <w:r>
        <w:rPr>
          <w:rStyle w:val="FootnoteAnchor"/>
          <w:rtl w:val="true"/>
        </w:rPr>
        <w:footnoteReference w:id="200"/>
      </w:r>
      <w:r>
        <w:rPr>
          <w:rFonts w:ascii="Amiri" w:hAnsi="Amiri" w:eastAsia="Amiri" w:cs="Amiri"/>
          <w:color w:val="111111"/>
          <w:sz w:val="28"/>
          <w:sz w:val="28"/>
          <w:szCs w:val="28"/>
          <w:rtl w:val="true"/>
          <w:lang w:bidi="ar-SA"/>
        </w:rPr>
        <w:t xml:space="preserve">، فلا إشكال في صحّة الوضوء ورفع الحدث به وعدم نقضه إلاّ بالحدث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في هذه الرسالة هو مقتضى أخبار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ضرب القاعدة ؛ من غير نظر إلى الموارد الخاصّة ، فلو فرض دلالة </w:t>
      </w:r>
    </w:p>
    <w:p>
      <w:pPr>
        <w:pStyle w:val="BookText"/>
        <w:rPr/>
      </w:pPr>
      <w:r>
        <w:rPr>
          <w:rFonts w:ascii="Amiri" w:hAnsi="Amiri" w:eastAsia="Amiri" w:cs="Amiri"/>
          <w:color w:val="111111"/>
          <w:sz w:val="28"/>
          <w:sz w:val="28"/>
          <w:szCs w:val="28"/>
          <w:rtl w:val="true"/>
          <w:lang w:bidi="ar-SA"/>
        </w:rPr>
        <w:t xml:space="preserve">دليل في مورد على خلاف مقتضاها فلا مضايقة فيها ، فالمتّبع في الموارد الخاصّة هو الدليل الوارد فيها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هاهنا تأسيس القاعدة الكلّية ؛ لتكون مرجعاً عند فقدان الدليل الخاصّ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 وظاهراً وباطناً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منها يوم السبت السابع والعشرين من شهر شعبان المعظّم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bookmarkStart w:id="141" w:name="pg8101_60471"/>
    </w:p>
    <w:p>
      <w:pPr>
        <w:pStyle w:val="Heading2"/>
        <w:numPr>
          <w:ilvl w:val="1"/>
          <w:numId w:val="1"/>
        </w:numPr>
        <w:rPr/>
      </w:pPr>
      <w:bookmarkStart w:id="142" w:name="__RefHeading___Toc7940296_1051229030"/>
      <w:bookmarkStart w:id="143" w:name="_Toc52"/>
      <w:bookmarkEnd w:id="141"/>
      <w:bookmarkEnd w:id="142"/>
      <w:r>
        <w:rPr>
          <w:rtl w:val="true"/>
        </w:rPr>
        <w:t>فروع العلم الإجمالي</w:t>
      </w:r>
      <w:bookmarkEnd w:id="143"/>
    </w:p>
    <w:p>
      <w:pPr>
        <w:pStyle w:val="Heading3"/>
        <w:numPr>
          <w:ilvl w:val="2"/>
          <w:numId w:val="1"/>
        </w:numPr>
        <w:rPr/>
      </w:pPr>
      <w:bookmarkStart w:id="144" w:name="__RefHeading___Toc7940298_1051229030"/>
      <w:bookmarkStart w:id="145" w:name="_Toc53"/>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فروع العلم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هنا سبع مسائل من مسائل فروع العلم الإجمالي على حسب ترتيب الفقيه اليزدي قدّس سرّه في العروة الوثقى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اللّه على أعدائهم أجمعين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8101_60475"/>
      <w:bookmarkStart w:id="147" w:name="pg8101_60475"/>
      <w:bookmarkEnd w:id="147"/>
    </w:p>
    <w:p>
      <w:pPr>
        <w:pStyle w:val="Heading3"/>
        <w:numPr>
          <w:ilvl w:val="2"/>
          <w:numId w:val="1"/>
        </w:numPr>
        <w:rPr/>
      </w:pPr>
      <w:bookmarkStart w:id="148" w:name="pg8101_60475"/>
      <w:bookmarkStart w:id="149" w:name="__RefHeading___Toc7940300_1051229030"/>
      <w:bookmarkStart w:id="150" w:name="_Toc54"/>
      <w:bookmarkEnd w:id="148"/>
      <w:bookmarkEnd w:id="149"/>
      <w:r>
        <w:rPr>
          <w:rtl w:val="true"/>
        </w:rPr>
        <w:t>المسألة الاُولى</w:t>
      </w:r>
      <w:r>
        <w:rPr>
          <w:rtl w:val="true"/>
        </w:rPr>
        <w:t xml:space="preserve">: </w:t>
      </w:r>
      <w:r>
        <w:rPr>
          <w:rtl w:val="true"/>
        </w:rPr>
        <w:t>فيما إذا شكّ في أنّ ما بيده ظهر أو عصر</w:t>
      </w:r>
      <w:bookmarkEnd w:id="150"/>
    </w:p>
    <w:p>
      <w:pPr>
        <w:pStyle w:val="Heading4"/>
        <w:numPr>
          <w:ilvl w:val="3"/>
          <w:numId w:val="1"/>
        </w:numPr>
        <w:rPr/>
      </w:pPr>
      <w:bookmarkStart w:id="151" w:name="__RefHeading___Toc7940302_1051229030"/>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إذا شكّ في أنّ ما بيده ظهر أو عصر ، فلا يخلو إمّا أن يعلم أ نّه صلّى الظهر ، أو يعلم أ نّه لم يصلّ ، أو يشكّ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يعلم أ نّه لم يصلّ العصر ، أو يعلم أ نّه صلّى ، أو يشكّ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يحدث الشكّ بأنّ ما بيده ظهر أو عصر في الوقت المختصّ بالظهر ، أو العصر ، أو في الوقت المشترك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الحدوث في المختصّ بالعصر ، إمّا يكون في وقت إذا ترك ما في يده يدرك ركعة من الوقت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ستّ وثلاثون صورة نتعرّض لمهمّاتها ؛ حتّى يظهر حال البقيّة </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940304_1051229030"/>
      <w:bookmarkStart w:id="154" w:name="_Toc56"/>
      <w:bookmarkEnd w:id="153"/>
      <w:r>
        <w:rPr>
          <w:rtl w:val="true"/>
        </w:rPr>
        <w:t xml:space="preserve">الاُولى </w:t>
      </w:r>
      <w:r>
        <w:rPr>
          <w:rtl w:val="true"/>
        </w:rPr>
        <w:t xml:space="preserve">: </w:t>
      </w:r>
      <w:r>
        <w:rPr>
          <w:rtl w:val="true"/>
        </w:rPr>
        <w:t>العلم بعدم إتيان العصر مع إتيان الظهر</w:t>
      </w:r>
      <w:bookmarkEnd w:id="1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بعدم إتيان العصر ، مع إتيان الظهر ، وكان في الوقت المشترك فالظاهر عدم إمكان تصحيح صلاته بعد كون العدول إلى اللاحقة غير جائز ، </w:t>
      </w:r>
    </w:p>
    <w:p>
      <w:pPr>
        <w:pStyle w:val="BookText"/>
        <w:rPr/>
      </w:pPr>
      <w:r>
        <w:rPr>
          <w:rFonts w:ascii="Amiri" w:hAnsi="Amiri" w:eastAsia="Amiri" w:cs="Amiri"/>
          <w:color w:val="111111"/>
          <w:sz w:val="28"/>
          <w:sz w:val="28"/>
          <w:szCs w:val="28"/>
          <w:rtl w:val="true"/>
          <w:lang w:bidi="ar-SA"/>
        </w:rPr>
        <w:t xml:space="preserve">خصوصاً فيما إذا كان الدخول في السابقة موجباً للبطلان من الأوّل ؛ فإنّ الآتي بالظهر يكون إتيانه الثاني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في وجه تصحيح الصلاة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الصحّة</w:t>
      </w:r>
      <w:r>
        <w:rPr>
          <w:rStyle w:val="FootnoteAnchor"/>
          <w:rtl w:val="true"/>
        </w:rPr>
        <w:footnoteReference w:id="201"/>
      </w:r>
      <w:r>
        <w:rPr>
          <w:rFonts w:ascii="Amiri" w:hAnsi="Amiri" w:eastAsia="Amiri" w:cs="Amiri"/>
          <w:color w:val="111111"/>
          <w:sz w:val="28"/>
          <w:sz w:val="28"/>
          <w:szCs w:val="28"/>
          <w:rtl w:val="true"/>
          <w:lang w:bidi="ar-SA"/>
        </w:rPr>
        <w:t>واستصحاب بقاء الداعي في بعض الصور</w:t>
      </w:r>
      <w:r>
        <w:rPr>
          <w:rStyle w:val="FootnoteAnchor"/>
          <w:rtl w:val="true"/>
        </w:rPr>
        <w:footnoteReference w:id="202"/>
      </w:r>
      <w:r>
        <w:rPr>
          <w:rFonts w:ascii="Amiri" w:hAnsi="Amiri" w:eastAsia="Amiri" w:cs="Amiri"/>
          <w:color w:val="111111"/>
          <w:sz w:val="28"/>
          <w:sz w:val="28"/>
          <w:szCs w:val="28"/>
          <w:rtl w:val="true"/>
          <w:lang w:bidi="ar-SA"/>
        </w:rPr>
        <w:t>أو كون المقام من قبيل الخطأ في التطبيق</w:t>
      </w:r>
      <w:r>
        <w:rPr>
          <w:rStyle w:val="FootnoteAnchor"/>
          <w:rtl w:val="true"/>
        </w:rPr>
        <w:footnoteReference w:id="203"/>
      </w:r>
      <w:r>
        <w:rPr>
          <w:rFonts w:ascii="Amiri" w:hAnsi="Amiri" w:eastAsia="Amiri" w:cs="Amiri"/>
          <w:color w:val="111111"/>
          <w:sz w:val="28"/>
          <w:sz w:val="28"/>
          <w:szCs w:val="28"/>
          <w:rtl w:val="true"/>
          <w:lang w:bidi="ar-SA"/>
        </w:rPr>
        <w:t xml:space="preserve">ليس بشيء ؛ لعدم الدليل على الاُولى ، ومثبتية الاستصحاب ، وكون الثالث خلاف مفروض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يتمسّك بقاعدة التجاوز</w:t>
      </w:r>
      <w:r>
        <w:rPr>
          <w:rStyle w:val="FootnoteAnchor"/>
          <w:rtl w:val="true"/>
        </w:rPr>
        <w:footnoteReference w:id="204"/>
      </w:r>
      <w:r>
        <w:rPr>
          <w:rFonts w:ascii="Amiri" w:hAnsi="Amiri" w:eastAsia="Amiri" w:cs="Amiri"/>
          <w:color w:val="111111"/>
          <w:sz w:val="28"/>
          <w:sz w:val="28"/>
          <w:szCs w:val="28"/>
          <w:rtl w:val="true"/>
          <w:lang w:bidi="ar-SA"/>
        </w:rPr>
        <w:t xml:space="preserve">فإنّ إطلاق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الأجزاء والشرائط من غير فرق بين شرط وجزء ، وقصد العصرية إمّا جزء أو شرط ، ومحلّه قبل الصلاة ، فإذا شكّ فيه وقد جاوز محلّه ، فشكّه 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استفادة الطريقية من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فإذا شكّ في أنّ صلاته هذه صحيحة أو باطلة وقامت الأمارة على صحّتها ، يثبت كونها صلاة عصر ، فإحراز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طريقيتها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الطريقية لا أقلّ من كونها من الاُصول المحرزة ، ومع إحراز قصد العصر يتحقّق العنوان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لو سلّم كونها أصلاً غير محرز يمكن تصحيحها عصراً بها ؛ لأجل أ نّه شكّ في أ نّه قصد العصر أم لا ، فشكّه ليس بشيء ، كما إذا شكّ في أ نّه كبّر أو لا ، أو كبّر لصلاته أو لأمر آخر ؛ بعد كونه داخلاً في الحمد ، فإنّه لا إشكال في عدم الاعتناء ، وهذا جارٍ بعينه في الشكّ في قصد العصرية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يقال في تطبيق القاعدة على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فرغنا في محلّه من عدم كون القاعدة طريقاً ، ولا أصلاً محرزاً مطلقاً ، بل أصل محرز حيثي</w:t>
      </w:r>
      <w:r>
        <w:rPr>
          <w:rStyle w:val="FootnoteAnchor"/>
          <w:rtl w:val="true"/>
        </w:rPr>
        <w:footnoteReference w:id="206"/>
      </w:r>
      <w:r>
        <w:rPr>
          <w:rFonts w:ascii="Amiri" w:hAnsi="Amiri" w:eastAsia="Amiri" w:cs="Amiri"/>
          <w:color w:val="111111"/>
          <w:sz w:val="28"/>
          <w:sz w:val="28"/>
          <w:szCs w:val="28"/>
          <w:rtl w:val="true"/>
          <w:lang w:bidi="ar-SA"/>
        </w:rPr>
        <w:t xml:space="preserve">ومعه لا مجال للتشبّث بها فيما نحن فيه ؛ للفرق الواضح بين سائر الأجزاء والشرائط وبين مثل قصد العنوان ، فإنّ سائر الأجزاء والشرائط لمّا كانت غير دخيلة في قوام الموضوع وتحقّق صدق العنوان ، فلا مانع من التمسّك بالقاعدة والمضيّ ، أو البناء على تحقّق المشكوك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قصد الظهرية والعصرية ، فإنّ صلاة العصر والظهر عنوانان لموضوعين يتقوّم تحقّق عنوانيهما بالقصد ، فإذا قصد المصلّي صلاة الظهر وترك التكبيرة أو الحمد أو قصْدَ التقرّب ، فقد أتى بصلاة الظهر باطلة ؛ فإنّ صلاة الظهر المتقوّمة بقصد العنوان قد تحقّقت ، ومع عدم التكبيرة فصلاة الظهر باطلة ، وأمّا لو لم يقصد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 الخلاف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ينطبق على الموجود عنوان صلاة الظهر الفاسدة ، فلا يكون ما بيده صلاة ظهر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فمع الشكّ في سائر الأجزاء والشرائط ، تكون صلاة الظهر محرزة بالوجدان ، ويشكّ في بعض أجزائها أو شرائطها ، فيصدق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شككت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قد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وأمّا مع عدم إحراز العنوان والشكّ في أنّ ما بيده صلاة ظهر أو عصر ، فلا تدلّ القاعدة على البناء على أ نّه صلاة ظهر أو عصر ؛ فإنّ المكلّف شاكّ في أ نّه صلاة ظهر باطلة ، أو عصر صحيحة ، لا شاكّ في صحّة صلاة العصر ، وفرق بين الشكّ في صحّة صلاة العصر ، وبين الشكّ في أ نّه صلاة عصر صحيحة أو ظهر باطلة ، والقاعدة ليست كفيلة إلاّ بالشكّ الذي من قبيل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كفيلة بعنوان الصحّة ؛ فإنّ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المذكور في محلّه</w:t>
      </w:r>
      <w:r>
        <w:rPr>
          <w:rStyle w:val="FootnoteAnchor"/>
          <w:rtl w:val="true"/>
        </w:rPr>
        <w:footnoteReference w:id="207"/>
      </w:r>
      <w:r>
        <w:rPr>
          <w:rFonts w:ascii="Amiri" w:hAnsi="Amiri" w:eastAsia="Amiri" w:cs="Amiri"/>
          <w:color w:val="111111"/>
          <w:sz w:val="28"/>
          <w:sz w:val="28"/>
          <w:szCs w:val="28"/>
          <w:rtl w:val="true"/>
          <w:lang w:bidi="ar-SA"/>
        </w:rPr>
        <w:t xml:space="preserve">أنّ الصحّة والفساد غير قابلين للجعل والبناء عليهما ، بل الشكّ في الصحّة والفساد ناشئ دائماً عن الشكّ في إتيان ما يعتبر في الطبيعة المأمور بها شرطاً أو جزءاً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يحرز عنوان العمل فلا معنى لإلغاء الشكّ فيه ، وإحرازه موقوف على إحراز قصد العنوان ، فجريان القاعدة موقوف على الإحراز ، فلا يمكن الإحراز بها إلاّ على وجهٍ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أحرز دخوله في أربع ركعات بلا إحراز عنوان ، ومع عدم الإحراز لا يكون شاكّاً في صلاته حتّى 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شككت في صلاتك وطهورك فشكّك ليس بشيء</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فإنّ مطلق الصلاة </w:t>
      </w:r>
    </w:p>
    <w:p>
      <w:pPr>
        <w:pStyle w:val="BookText"/>
        <w:rPr/>
      </w:pPr>
      <w:r>
        <w:rPr>
          <w:rFonts w:ascii="Amiri" w:hAnsi="Amiri" w:eastAsia="Amiri" w:cs="Amiri"/>
          <w:color w:val="111111"/>
          <w:sz w:val="28"/>
          <w:sz w:val="28"/>
          <w:szCs w:val="28"/>
          <w:rtl w:val="true"/>
          <w:lang w:bidi="ar-SA"/>
        </w:rPr>
        <w:t xml:space="preserve">ليس صلاته ، بل صلاته هو عنوان العصر فيما نحن فيه ، فلا يصدق الشكّ في صلاته إلاّ مع إحراز العصرية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لازم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إحراز الصحّة ، والشكّ في كونه مصداقاً للصحيح العصري والفاسد الظهري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رفع اليد عنه والإتيان بصلاة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لم يعلم إجمالاً بأ نّه إمّا يحرم عليه القطع ، أو يجب عليه الإعادة ، ومعه يجب الإتمام والإعادة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الإعادة بعنوانها ليست واجبة ، وأوامر الإعادة في مطلق ما ورد من الشرع ، محمولة على الإرشاد إلى فساد العمل أو نحوه ، 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بلا طهور فتعيد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الإرشاد إلى أنّ الصلاة المأمور بها ، لم تتحقّق بلا طهور ، وأمّا وجوب الإعادة فأمر عقلي لا شرعي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قبل تحقّق مصداق صحيح منها باقٍ ، وأمرها غير ساقط ، وهذا معلوم تفصيلاً ، وشكّ في أنّ ما بيده مصداق صحيح أو لا ، فهو من المصداق المشتبه لدليل حرمة القطع ؛ على فرض إطلاق أو عموم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دليلها لبّي يقتصر فيه على القدر المتيقّن ؛ وهو الصلاة التي يمكن الاجتزاء بها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في جواب العلم الإجمالي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جريان قاعدة الاشتغال في طرف والبراءة في آخر ، يوجب الانحلال ، وهو قاعدة كلّية في جميع موارد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انحلالها بالأصل المثبت في طرف ، والأصل النافي في آخر</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قاعدة الاشتغال ليس تعيّن الإعادة ، بل مقتضاها هو لزوم البراءة اليقينية ، وهي كما تحصل بترك ما في يده والإعادة تحصل بإتمامه وإعادته ، وهو مطابق لمقتضى العلم الإجمالي ، فلا منافاة بين مقتضيين حتّى يوجب الانحلال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إذا كان في الوقت المشترك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في الوقت المختصّ بالعصر فإن كان الوقت واسعاً بمقدار يمكن للمكلّف إدراك صلاة العصر ولو بركعة ، يجب عقلاً ترك ما في يده والإتيان بالصلاة لإدراك الصلاة الصحيحة ؛ فإنّ من أدرك ركعة من الوقت فقد أدرك الوقت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لو لم يسع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رفع اليد عن هذا المصداق المشكوك فيه أو لا ؟</w:t>
      </w:r>
    </w:p>
    <w:p>
      <w:pPr>
        <w:pStyle w:val="BookText"/>
        <w:rPr/>
      </w:pPr>
      <w:r>
        <w:rPr>
          <w:rFonts w:ascii="Amiri" w:hAnsi="Amiri" w:eastAsia="Amiri" w:cs="Amiri"/>
          <w:color w:val="111111"/>
          <w:sz w:val="28"/>
          <w:sz w:val="28"/>
          <w:szCs w:val="28"/>
          <w:rtl w:val="true"/>
          <w:lang w:bidi="ar-SA"/>
        </w:rPr>
        <w:t xml:space="preserve">مقتضى القاعدة جوازه ؛ لعدم إحراز كونه مصداقاً للصلاة الصحيحة ، فمقتضى البراءة جواز رفع اليد عنه ؛ وأ نّه في ترك الصلاة معذور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متعلّق بطبيعة صلاة في الوقت ، وقد اشتغلت ذمّة المكلّف بهذا العنوان ، فلا بدّ من البراءة اليقينية ، ومع عدم إمكانها يحكم العقل بلزوم البراءة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وجوب الصلاة مع الطهور ، وانحصار ما في يد المكلّف بشيء مشكوك الأرضية ، فإنّ العقل لا يعذر العبد مع إمكان الموافقة الاحتمالية للتكليف المنجّز ، ولا يبعد أن يكون أمثاله من قبيل الشكّ في القدرة ؛ ممّا يحكم العقل بلزوم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في المفروض يعلم إجمالاً بأ نّه إمّا يجب عليه إتمام ما في يده ، أو يجب القضاء عليه ؛ فإنّ ما في يده إمّا عصر ، فيجب إتمامه ؛ من غير توقّف على القول بحرمة القطع ؛ فإنّ المصداق الذي بعدمه يفوت الوقت لا يجوز رفع اليد عنه عقلاً ؛ حرم القطع أو لا ، وإمّا ظهر ، ففات وقت العصر بواسطة ضيق الوقت بمقدار عدم إدراك ركعة منه ، فيجب عليه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موجّه لو لم يمكن انحلاله بالأصل ، وذلك ممكن ؛ لأنّ أصالة عدم الإتيان في جميع الوقت المضروب لصلاة العصر ، محقّقة لموضوع وجوب القضاء ، فإذا وجب القضاء ينحلّ العلم بالأصل المثبت والنافي في الطرف الآخر ؛ وهو أصالة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القضاء هو الفوت ، وهو أمر بسيط لا يمكن إثباته بالأصل إلاّ على القول بالأصل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كون موضوع القضاء هو الفوت غير ظاهر ؛ لعدم الدليل عليه بحيث يمكن الاعتماد عليه ، وإن لم تخلُ الروايات من الإشعار بذلك</w:t>
      </w:r>
      <w:r>
        <w:rPr>
          <w:rStyle w:val="FootnoteAnchor"/>
          <w:rtl w:val="true"/>
        </w:rPr>
        <w:footnoteReference w:id="211"/>
      </w:r>
      <w:r>
        <w:rPr>
          <w:rFonts w:ascii="Amiri" w:hAnsi="Amiri" w:eastAsia="Amiri" w:cs="Amiri"/>
          <w:color w:val="111111"/>
          <w:sz w:val="28"/>
          <w:sz w:val="28"/>
          <w:szCs w:val="28"/>
          <w:rtl w:val="true"/>
          <w:lang w:bidi="ar-SA"/>
        </w:rPr>
        <w:t xml:space="preserve">لكن لم تصل إلى حدّ الدلالة والاحتجاج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دعوى ترتّب وجوب القضاء على ترك الصلاة في الوقت وعدم الإتيان بها فيه ؛ لاستفادة ذلك من مجموع الروايات الواردة في باب القضاء</w:t>
      </w:r>
      <w:r>
        <w:rPr>
          <w:rStyle w:val="FootnoteAnchor"/>
          <w:rtl w:val="true"/>
        </w:rPr>
        <w:footnoteReference w:id="212"/>
      </w:r>
      <w:bookmarkStart w:id="155" w:name="pg8101_60482"/>
    </w:p>
    <w:p>
      <w:pPr>
        <w:pStyle w:val="BookText"/>
        <w:rPr/>
      </w:pPr>
      <w:bookmarkEnd w:id="155"/>
      <w:r>
        <w:rPr>
          <w:rFonts w:ascii="Amiri" w:hAnsi="Amiri" w:eastAsia="Amiri" w:cs="Amiri"/>
          <w:color w:val="111111"/>
          <w:sz w:val="28"/>
          <w:sz w:val="28"/>
          <w:szCs w:val="28"/>
          <w:rtl w:val="true"/>
          <w:lang w:bidi="ar-SA"/>
        </w:rPr>
        <w:t xml:space="preserve">باختلاف التعبيرات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يشعر بأنّ المناط هو الفوت ، لا يستفاد منه إلاّ عدم الإتيان في الوقت ، لا أمر وجودي بسيط منتزع من الترك في الوقت ، فراجع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ترك الإتيان بالعمل في الوقت المضروب له ، لا أ نّه أمر وجودي انتزاعي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عدم إدراك ما فيه المصلحة ، فإذا لم يصل إلى مطلوب في وقته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 منّي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انحلال العلم الإجمالي بما ذكر ، فبقي حكم العقل بلزوم الموافقة الاحتمالية في أمثال المقام ، فإن تمّ يجب عقلاً إتيان ما في يده وقضاؤه خارج الوقت ؛ لما ذكرنا من إمكان إثبات موضوع القضاء بالأصل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7940306_1051229030"/>
      <w:bookmarkStart w:id="157" w:name="_Toc57"/>
      <w:bookmarkEnd w:id="156"/>
      <w:r>
        <w:rPr>
          <w:rtl w:val="true"/>
        </w:rPr>
        <w:t xml:space="preserve">الثانية </w:t>
      </w:r>
      <w:r>
        <w:rPr>
          <w:rtl w:val="true"/>
        </w:rPr>
        <w:t xml:space="preserve">: </w:t>
      </w:r>
      <w:r>
        <w:rPr>
          <w:rtl w:val="true"/>
        </w:rPr>
        <w:t>العلم بعدم إتيان الظهر والعصر</w:t>
      </w:r>
      <w:bookmarkEnd w:id="157"/>
    </w:p>
    <w:p>
      <w:pPr>
        <w:pStyle w:val="BookText"/>
        <w:rPr/>
      </w:pPr>
      <w:r>
        <w:rPr>
          <w:rFonts w:ascii="Amiri" w:hAnsi="Amiri" w:eastAsia="Amiri" w:cs="Amiri"/>
          <w:color w:val="111111"/>
          <w:sz w:val="28"/>
          <w:sz w:val="28"/>
          <w:szCs w:val="28"/>
          <w:rtl w:val="true"/>
          <w:lang w:bidi="ar-SA"/>
        </w:rPr>
        <w:t xml:space="preserve">ومن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بعدم إتيان الظهر ، مع العلم بعدم إتيان العصر ففي الوقت المشترك لا إشكال في لزوم العدول إلى الظهر وإتيان العصر بعده ، وتصحّ الصلاتان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المختصّ بالظهر ، تبتني صحّة العدول على صحّة وقوع الشريكة في الوقت المختصّ بالاُخرى ، أو أنّ حال الوقت المختصّ بالنسبة إلى الاُخرى كقبل الوقت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بالثاني لا يمكن تصحيح الصلاة بالعدول إلى الظهر ؛ لإمكان كون ما بيده عصراً ووقع باطلاً ، ومعه لا يجوز العدول ؛ لأنّ موضوع أدلّته هو </w:t>
      </w:r>
    </w:p>
    <w:p>
      <w:pPr>
        <w:pStyle w:val="BookText"/>
        <w:rPr/>
      </w:pPr>
      <w:r>
        <w:rPr>
          <w:rFonts w:ascii="Amiri" w:hAnsi="Amiri" w:eastAsia="Amiri" w:cs="Amiri"/>
          <w:color w:val="111111"/>
          <w:sz w:val="28"/>
          <w:sz w:val="28"/>
          <w:szCs w:val="28"/>
          <w:rtl w:val="true"/>
          <w:lang w:bidi="ar-SA"/>
        </w:rPr>
        <w:t xml:space="preserve">الصلاة الصحيحة من غير جهة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العدول ، وبه تصحّ صلاة الظهر ، وتبقى عليه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المختصّ بالعصر لا يجوز العدول بلا إشكال ؛ لتقدّم حقّ العصر على الظهر ، فحينئذٍ إن أمكن إدراك ركعة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 اليد عمّا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 وإلاّ يأتي فيه ما تقدّم من النقض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يعلم حال الشكّ في إتيان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شكّ فيه في الوقت المختصّ بالعصر لا يبعد جريان قاعدة التجاوز ، أو الشكّ بعد الوقت ؛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لو لم يصلّ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حال الشكّ في إتيانه ؛ فإنّه مع العلم بإتيان الظهر لا يمكن إحراز صحّة ما في يده ، فيحكم ببطلانه في الوقت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المختصّ بالعصر فمع إمكان إدراك ركعة من العصر ، يجب أن يرفع اليد عمّا في يده ، ويأتي بصلاة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الإدراك يأتي فيه ما تقدّم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العلم بعدم إتيان الظهر يعدل إليه ؛ لأنّ استصحاب عدم إتيان العصر يحقّق موضوع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ما بيده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العدول هو الدخول في العصر مع عدم الإتيان بالظهر والعصر ، فإذا كان ما بيده عصراً بحسب الواقع ، وعدم الإتيان بالظهر وجدانياً ، وعدم الإتيان بالعصر موافقاً للأصل ، يحرز موضوع صحّة العدول على الفرض ، وصحّة الظهر تصير محرزة بالوجدان والتعبّد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فيما إذا شكّ في إتيانهما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حال الوقت المختصّ والمشترك بالتأمّل فيما تقدّم </w:t>
      </w:r>
      <w:r>
        <w:rPr>
          <w:rFonts w:eastAsia="Amiri" w:cs="Amiri" w:ascii="Amiri" w:hAnsi="Amiri"/>
          <w:color w:val="111111"/>
          <w:sz w:val="28"/>
          <w:szCs w:val="28"/>
          <w:rtl w:val="true"/>
          <w:lang w:bidi="ar-SA"/>
        </w:rPr>
        <w:t xml:space="preserve">. </w:t>
      </w:r>
      <w:bookmarkStart w:id="158" w:name="pg8101_60484"/>
    </w:p>
    <w:p>
      <w:pPr>
        <w:pStyle w:val="Heading4"/>
        <w:numPr>
          <w:ilvl w:val="3"/>
          <w:numId w:val="1"/>
        </w:numPr>
        <w:rPr/>
      </w:pPr>
      <w:bookmarkStart w:id="159" w:name="__RefHeading___Toc7940308_1051229030"/>
      <w:bookmarkStart w:id="160" w:name="_Toc58"/>
      <w:bookmarkEnd w:id="158"/>
      <w:bookmarkEnd w:id="159"/>
      <w:r>
        <w:rPr>
          <w:rtl w:val="true"/>
        </w:rPr>
        <w:t xml:space="preserve">الثالثة </w:t>
      </w:r>
      <w:r>
        <w:rPr>
          <w:rtl w:val="true"/>
        </w:rPr>
        <w:t xml:space="preserve">: </w:t>
      </w:r>
      <w:r>
        <w:rPr>
          <w:rtl w:val="true"/>
        </w:rPr>
        <w:t>العلم بإتيان العصر والشكّ في أنّ ما بيده ظهر أو عصر باطل</w:t>
      </w:r>
      <w:bookmarkEnd w:id="160"/>
    </w:p>
    <w:p>
      <w:pPr>
        <w:pStyle w:val="BookText"/>
        <w:rPr/>
      </w:pPr>
      <w:r>
        <w:rPr>
          <w:rFonts w:ascii="Amiri" w:hAnsi="Amiri" w:eastAsia="Amiri" w:cs="Amiri"/>
          <w:color w:val="111111"/>
          <w:sz w:val="28"/>
          <w:sz w:val="28"/>
          <w:szCs w:val="28"/>
          <w:rtl w:val="true"/>
          <w:lang w:bidi="ar-SA"/>
        </w:rPr>
        <w:t xml:space="preserve">بقي فرض آخر وهو صورة العلم بإتيان العصر ، والشكّ في أنّ ما بيده ظهر أو عصر باطل؛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بفروضها المتصوّرة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إحراز الصحّة ؛ لأنّ موضوع العدول هو الورود في صلاة العصر الصحيحة ، ومع إتيان العصر لا يقع العصر صحيحاً ، ولا يمكن إحراز صحّة الظهر بشيء من القواعد ، فيحكم بالبطلان في جميع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يبق من الوقت حتّى الوقت الإدراكي ، يأتي فيه ما تقدّم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7940310_1051229030"/>
      <w:bookmarkStart w:id="162" w:name="_Toc59"/>
      <w:bookmarkEnd w:id="161"/>
      <w:r>
        <w:rPr>
          <w:rtl w:val="true"/>
        </w:rPr>
        <w:t>المسألة الثانية</w:t>
      </w:r>
      <w:r>
        <w:rPr>
          <w:rtl w:val="true"/>
        </w:rPr>
        <w:t xml:space="preserve">: </w:t>
      </w:r>
      <w:r>
        <w:rPr>
          <w:rtl w:val="true"/>
        </w:rPr>
        <w:t>في الشكّ في أنّ ما بيده مغرب أو عشاء</w:t>
      </w:r>
      <w:bookmarkEnd w:id="162"/>
    </w:p>
    <w:p>
      <w:pPr>
        <w:pStyle w:val="BookText"/>
        <w:rPr/>
      </w:pPr>
      <w:r>
        <w:rPr>
          <w:rFonts w:ascii="Amiri" w:hAnsi="Amiri" w:eastAsia="Amiri" w:cs="Amiri"/>
          <w:color w:val="111111"/>
          <w:sz w:val="28"/>
          <w:sz w:val="28"/>
          <w:szCs w:val="28"/>
          <w:rtl w:val="true"/>
          <w:lang w:bidi="ar-SA"/>
        </w:rPr>
        <w:t>وممّا تقدّم يظهر حال المسألة الثانية؛ أي الشكّ في أنّ ما بيده مغرب أو عشاء، والكلام فيها هو الكلام فيما إذا لم يدخل في ركوع الرابعة ، ومع الدخول فيه يحكم بالبطلان ؛ لعدم إمكان العدول وعدم إمكان إحراز صحّة ما في يده ؛ لما تقدّم</w:t>
      </w:r>
      <w:r>
        <w:rPr>
          <w:rStyle w:val="FootnoteAnchor"/>
          <w:rtl w:val="true"/>
        </w:rPr>
        <w:footnoteReference w:id="213"/>
      </w:r>
      <w:r>
        <w:rPr>
          <w:rFonts w:ascii="Amiri" w:hAnsi="Amiri" w:eastAsia="Amiri" w:cs="Amiri"/>
          <w:color w:val="111111"/>
          <w:sz w:val="28"/>
          <w:sz w:val="28"/>
          <w:szCs w:val="28"/>
          <w:rtl w:val="true"/>
          <w:lang w:bidi="ar-SA"/>
        </w:rPr>
        <w:t xml:space="preserve">من عدم صلاحية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وأصالة الصحّة وقاعدة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العمل عشاءً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الترتيب بعد الدخول في الرابعة ساقط ؛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 .»</w:t>
      </w:r>
      <w:r>
        <w:rPr>
          <w:rStyle w:val="FootnoteAnchor"/>
          <w:rtl w:val="true"/>
        </w:rPr>
        <w:footnoteReference w:id="214"/>
      </w:r>
      <w:r>
        <w:rPr>
          <w:rFonts w:ascii="IRNazanin" w:hAnsi="IRNazanin" w:eastAsia="IRNazanin"/>
          <w:color w:val="111111"/>
          <w:sz w:val="28"/>
          <w:sz w:val="28"/>
          <w:szCs w:val="28"/>
          <w:rtl w:val="true"/>
          <w:lang w:bidi="fa-IR"/>
        </w:rPr>
        <w:t xml:space="preserve">، </w:t>
      </w:r>
      <w:bookmarkStart w:id="163" w:name="pg8101_60485"/>
    </w:p>
    <w:p>
      <w:pPr>
        <w:pStyle w:val="BookText"/>
        <w:rPr/>
      </w:pPr>
      <w:bookmarkEnd w:id="163"/>
      <w:r>
        <w:rPr>
          <w:rFonts w:ascii="Amiri" w:hAnsi="Amiri" w:eastAsia="Amiri" w:cs="Amiri"/>
          <w:color w:val="111111"/>
          <w:sz w:val="28"/>
          <w:sz w:val="28"/>
          <w:szCs w:val="28"/>
          <w:rtl w:val="true"/>
          <w:lang w:bidi="ar-SA"/>
        </w:rPr>
        <w:t xml:space="preserve">كان له وجه ؛ وذلك لأنّ قوله في إفادة الترتيب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قبل هذه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ظاهر في أنّ الترتيب لوحظ بين الماهيتين لا أجزائهما ، ومع الدخول في المتأخّر سهواً يمضي زمان الإتيان بالترتيب ، ومع الشكّ فيه يكون من الشكّ في الشيء بعد خروج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أخبار العدول</w:t>
      </w:r>
      <w:r>
        <w:rPr>
          <w:rStyle w:val="FootnoteAnchor"/>
          <w:rtl w:val="true"/>
        </w:rPr>
        <w:footnoteReference w:id="216"/>
      </w:r>
      <w:r>
        <w:rPr>
          <w:rFonts w:ascii="Amiri" w:hAnsi="Amiri" w:eastAsia="Amiri" w:cs="Amiri"/>
          <w:color w:val="111111"/>
          <w:sz w:val="28"/>
          <w:sz w:val="28"/>
          <w:szCs w:val="28"/>
          <w:rtl w:val="true"/>
          <w:lang w:bidi="ar-SA"/>
        </w:rPr>
        <w:t xml:space="preserve">فهي وإن يستفاد منها الترتيب ، لكنّها ليست بصدد بيان الترتيب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جعل الترتيب بين الماهيتين أو أجزائهما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ظاهرها أيضاً أنّ الترتيب بين الماهيتين وهي بصدد تحصيل ذلك ؛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 في يده بتمامه ظهراً أو مغرباً ، فجعل المعدول إليه بتمامه ظهراً أو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الترتيب وبلحاظه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الترتيب بين الماهيتين،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فيما نحن فيه رفع اليد عمّا في يده ، وإتيان المغرب ، ثمّ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الوقت الاختصاصي هو الكلام السابق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940312_1051229030"/>
      <w:bookmarkStart w:id="165" w:name="_Toc60"/>
      <w:bookmarkEnd w:id="164"/>
      <w:r>
        <w:rPr>
          <w:rtl w:val="true"/>
        </w:rPr>
        <w:t>المسألة الثالثة</w:t>
      </w:r>
      <w:r>
        <w:rPr>
          <w:rtl w:val="true"/>
        </w:rPr>
        <w:t xml:space="preserve">: </w:t>
      </w:r>
      <w:r>
        <w:rPr>
          <w:rtl w:val="true"/>
        </w:rPr>
        <w:t>في حكم العلم بترك سجدتين من ركعتين</w:t>
      </w:r>
      <w:bookmarkEnd w:id="165"/>
    </w:p>
    <w:p>
      <w:pPr>
        <w:pStyle w:val="Heading4"/>
        <w:numPr>
          <w:ilvl w:val="3"/>
          <w:numId w:val="1"/>
        </w:numPr>
        <w:rPr/>
      </w:pPr>
      <w:bookmarkStart w:id="166" w:name="__RefHeading___Toc7940314_1051229030"/>
      <w:bookmarkStart w:id="167" w:name="_Toc61"/>
      <w:bookmarkEnd w:id="166"/>
      <w:r>
        <w:rPr>
          <w:rtl w:val="true"/>
        </w:rPr>
        <w:t>اشارة</w:t>
      </w:r>
      <w:bookmarkEnd w:id="16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علم أ نّه ترك سجدتين من ركعتين ، فإمّا أن يكون حدوث العلم بعد الصلاة ، وإمّا أن يكون في أثنائها </w:t>
      </w:r>
      <w:r>
        <w:rPr>
          <w:rFonts w:eastAsia="Amiri" w:cs="Amiri" w:ascii="Amiri" w:hAnsi="Amiri"/>
          <w:color w:val="111111"/>
          <w:sz w:val="28"/>
          <w:szCs w:val="28"/>
          <w:rtl w:val="true"/>
          <w:lang w:bidi="ar-SA"/>
        </w:rPr>
        <w:t xml:space="preserve">. </w:t>
      </w:r>
      <w:bookmarkStart w:id="168" w:name="pg8101_60486"/>
    </w:p>
    <w:p>
      <w:pPr>
        <w:pStyle w:val="BookText"/>
        <w:rPr/>
      </w:pPr>
      <w:bookmarkEnd w:id="168"/>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يعلم بأنّ إحداهما من الركعة الأخيرة ، أو يعلم بكونهما من غيرها ، أو يشكّ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بعد حدوث المنافي العمدي والسهوي ، أو قبله </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940316_1051229030"/>
      <w:bookmarkStart w:id="170" w:name="_Toc62"/>
      <w:bookmarkEnd w:id="169"/>
      <w:r>
        <w:rPr>
          <w:rtl w:val="true"/>
        </w:rPr>
        <w:t>حكم حدوث العلم بترك سجدتين بعد الصلاة</w:t>
      </w:r>
      <w:bookmarkEnd w:id="170"/>
    </w:p>
    <w:p>
      <w:pPr>
        <w:pStyle w:val="Heading5"/>
        <w:numPr>
          <w:ilvl w:val="4"/>
          <w:numId w:val="1"/>
        </w:numPr>
        <w:rPr/>
      </w:pPr>
      <w:bookmarkStart w:id="171" w:name="__RefHeading___Toc7940318_1051229030"/>
      <w:bookmarkStart w:id="172" w:name="_Toc63"/>
      <w:bookmarkEnd w:id="171"/>
      <w:r>
        <w:rPr>
          <w:rtl w:val="true"/>
        </w:rPr>
        <w:t>حكم العلم بترك سجدتين من الركعتين في غير الركعة الأخيرة</w:t>
      </w:r>
      <w:bookmarkEnd w:id="172"/>
    </w:p>
    <w:p>
      <w:pPr>
        <w:pStyle w:val="BookText"/>
        <w:rPr/>
      </w:pP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من غير الأخيرة لو لم يأتِ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صلاته ووجوب قضاء السجدتين وسجدتي السهو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فيما إذا أتى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المنافي في الصلاة ؛ لأنّ قضاء السجدة من تمامها ، فلا يكون السلام تحليلاً مع ترك السجدة ، بل يسقط الترتيب ، ويأتي بالسجدة بعد السلام ، وتكون السجدة محلّلة ، في غاية الضعف يدفعه إطلاق أدلّة كون السلام تحليلاً</w:t>
      </w:r>
      <w:r>
        <w:rPr>
          <w:rStyle w:val="FootnoteAnchor"/>
          <w:rtl w:val="true"/>
        </w:rPr>
        <w:footnoteReference w:id="217"/>
      </w:r>
      <w:r>
        <w:rPr>
          <w:rFonts w:ascii="Amiri" w:hAnsi="Amiri" w:eastAsia="Amiri" w:cs="Amiri"/>
          <w:color w:val="111111"/>
          <w:sz w:val="28"/>
          <w:sz w:val="28"/>
          <w:szCs w:val="28"/>
          <w:rtl w:val="true"/>
          <w:lang w:bidi="ar-SA"/>
        </w:rPr>
        <w:t xml:space="preserve">، وظهور الأدلّة في كون السجدة قضاءً يأتي بها بعد الصلاة ؛ ففي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الصدوق </w:t>
      </w:r>
      <w:r>
        <w:rPr>
          <w:rStyle w:val="FootnoteAnchor"/>
          <w:rtl w:val="true"/>
        </w:rPr>
        <w:footnoteReference w:id="2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عمّن نسي أن يسجد سجدة واحدة ، فذكرها وهو قائم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يسجدها </w:t>
      </w:r>
      <w:bookmarkStart w:id="173" w:name="pg8101_60487"/>
    </w:p>
    <w:p>
      <w:pPr>
        <w:pStyle w:val="BookText"/>
        <w:rPr/>
      </w:pPr>
      <w:bookmarkEnd w:id="173"/>
      <w:r>
        <w:rPr>
          <w:rFonts w:ascii="Amiri" w:hAnsi="Amiri" w:eastAsia="Amiri" w:cs="Amiri"/>
          <w:color w:val="111111"/>
          <w:sz w:val="28"/>
          <w:sz w:val="28"/>
          <w:szCs w:val="28"/>
          <w:rtl w:val="true"/>
          <w:lang w:bidi="ar-SA"/>
        </w:rPr>
        <w:t>إذا ذكرها ما لم يركع ، فإن كان قد ركع فليمض على صلاته ، فإذا انصرف قضاها ، وليس عليه سهو</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سلّم وتمّت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المسألة نصّاً وفتوى </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7940320_1051229030"/>
      <w:bookmarkStart w:id="175" w:name="_Toc64"/>
      <w:bookmarkEnd w:id="174"/>
      <w:r>
        <w:rPr>
          <w:rtl w:val="true"/>
        </w:rPr>
        <w:t>حكم العلم بترك إحدى السجدتين من الركعة الأخيرة</w:t>
      </w:r>
      <w:bookmarkEnd w:id="175"/>
    </w:p>
    <w:p>
      <w:pPr>
        <w:pStyle w:val="BookText"/>
        <w:rPr/>
      </w:pPr>
      <w:r>
        <w:rPr>
          <w:rFonts w:ascii="Amiri" w:hAnsi="Amiri" w:eastAsia="Amiri" w:cs="Amiri"/>
          <w:color w:val="111111"/>
          <w:sz w:val="28"/>
          <w:sz w:val="28"/>
          <w:szCs w:val="28"/>
          <w:rtl w:val="true"/>
          <w:lang w:bidi="ar-SA"/>
        </w:rPr>
        <w:t xml:space="preserve">وأمّا إذا علم أنّ إحداهما كانت من الأخيرة أو شكّ ، فقد يفصّل بين الإتيان بالمنافي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على الثاني يرجع ويتدارك السجدة ؛ فإنّ السلام وقع في غير محلّه ، وليس محلّلاً</w:t>
      </w:r>
      <w:r>
        <w:rPr>
          <w:rStyle w:val="FootnoteAnchor"/>
          <w:rtl w:val="true"/>
        </w:rPr>
        <w:footnoteReference w:id="220"/>
      </w:r>
      <w:r>
        <w:rPr>
          <w:rFonts w:ascii="Amiri" w:hAnsi="Amiri" w:eastAsia="Amiri" w:cs="Amiri"/>
          <w:color w:val="111111"/>
          <w:sz w:val="28"/>
          <w:sz w:val="28"/>
          <w:szCs w:val="28"/>
          <w:rtl w:val="true"/>
          <w:lang w:bidi="ar-SA"/>
        </w:rPr>
        <w:t>، وعلى الأوّل بين قائل بالبطلان ؛ وأنّ المنافي وقع في الصلاة</w:t>
      </w:r>
      <w:r>
        <w:rPr>
          <w:rStyle w:val="FootnoteAnchor"/>
          <w:rtl w:val="true"/>
        </w:rPr>
        <w:footnoteReference w:id="221"/>
      </w:r>
      <w:r>
        <w:rPr>
          <w:rFonts w:ascii="Amiri" w:hAnsi="Amiri" w:eastAsia="Amiri" w:cs="Amiri"/>
          <w:color w:val="111111"/>
          <w:sz w:val="28"/>
          <w:sz w:val="28"/>
          <w:szCs w:val="28"/>
          <w:rtl w:val="true"/>
          <w:lang w:bidi="ar-SA"/>
        </w:rPr>
        <w:t>وقائل بالصحّة ووجوب قضاء السجدتين ، كما هو الظاهر من شيخنا العلاّمة قدّس سرّه في صلاته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فالمسألة لمّا كانت مبنيّة على أنّ السلام هاهنا انصراف أو لا، فلا بدّ من تنقيحها</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7940322_1051229030"/>
      <w:bookmarkStart w:id="177" w:name="_Toc65"/>
      <w:bookmarkEnd w:id="176"/>
      <w:r>
        <w:rPr>
          <w:rtl w:val="true"/>
        </w:rPr>
        <w:t>بحث حول كون السلام انصرافاً</w:t>
      </w:r>
      <w:bookmarkEnd w:id="1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انصراف مطلقاً ؛ لصحيح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ذكرت اللّه عزّ وجلّ به والنبي صلی الله علیه و آله وسلم فهو من الصلاة ، </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 فقد انصرفت</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فإطلاقه يقتضي أن يكون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وقع ، وبأيّ وجه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انصرافاً ، خرج منه ما وقع عقيب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بالأدلّة الدالّة على البناء على الصلاة وتتميمها </w:t>
      </w:r>
      <w:r>
        <w:rPr>
          <w:rStyle w:val="FootnoteAnchor"/>
          <w:rtl w:val="true"/>
        </w:rPr>
        <w:footnoteReference w:id="224"/>
      </w:r>
      <w:r>
        <w:rPr>
          <w:rFonts w:ascii="Amiri" w:hAnsi="Amiri" w:eastAsia="Amiri" w:cs="Amiri"/>
          <w:color w:val="111111"/>
          <w:sz w:val="28"/>
          <w:sz w:val="28"/>
          <w:szCs w:val="28"/>
          <w:rtl w:val="true"/>
          <w:lang w:bidi="ar-SA"/>
        </w:rPr>
        <w:t xml:space="preserve">، وبقي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يجمع بين هذه الرواية وتلك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السلام السهوي مطلقاً ليس انصرافاً ، بخلاف العمدي</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الحلبي ناظرة إلى ما لدى العامّة من بنائهم على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الأوّل</w:t>
      </w:r>
      <w:r>
        <w:rPr>
          <w:rStyle w:val="FootnoteAnchor"/>
          <w:rtl w:val="true"/>
        </w:rPr>
        <w:footnoteReference w:id="226"/>
      </w:r>
      <w:r>
        <w:rPr>
          <w:rFonts w:ascii="Amiri" w:hAnsi="Amiri" w:eastAsia="Amiri" w:cs="Amiri"/>
          <w:color w:val="111111"/>
          <w:sz w:val="28"/>
          <w:sz w:val="28"/>
          <w:szCs w:val="28"/>
          <w:rtl w:val="true"/>
          <w:lang w:bidi="ar-SA"/>
        </w:rPr>
        <w:t xml:space="preserve">، فالرواية ناظرة إلى أنّ كلّما ذكرت اللّه ونبيّه في التشهّد الأوّل ، فهو من الصلاة ، وأمّا 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عمداً فهو 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عليه الاقتصار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الانصراف بلا إشكال ، فغضّ النظر عنه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 نّه لنكتة ؛ وهي ما ذكرنا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رواية أبي كهمس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الركعتين </w:t>
      </w:r>
    </w:p>
    <w:p>
      <w:pPr>
        <w:pStyle w:val="BookText"/>
        <w:rPr/>
      </w:pPr>
      <w:r>
        <w:rPr>
          <w:rFonts w:ascii="Amiri" w:hAnsi="Amiri" w:eastAsia="Amiri" w:cs="Amiri"/>
          <w:color w:val="111111"/>
          <w:sz w:val="28"/>
          <w:sz w:val="28"/>
          <w:szCs w:val="28"/>
          <w:rtl w:val="true"/>
          <w:lang w:bidi="ar-SA"/>
        </w:rPr>
        <w:t xml:space="preserve">الأوّلتين إذا جلست فيهما للتشهّد ؛ فقلت وأنا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 انصراف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ولكن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 فهو الانصراف</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فتخصيص هذه الصيغة بالذكر ؛ إنّما هو لأجل ما هو لدى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ميسر بن عبدالعزيز عن أبي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شيئان يفسد الناس بهما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اسمك ، وتعالى جدّك ، ولا إله غيرك ، وإنّما شيء قالته الجنّ بجهالة ، فحكى اللّه عنهم ، وقول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أفسد ابن مسعود على الناس صلاتهم بشيئين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وذكر ما في الصحيحة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التشهّد الأوّل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الفضل ، عن الرضا علیه السلام في كتابه إلى المأمون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يجوز أن تقول في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وعلى عباد اللّه الصالحين ؛ لأنّ تحليل الصلاة التسليم ، فإذا قلت هذا فقد سلّمت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يبقى مع ما ذكر وثوق بإطلاق صحيحة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يخلو تعليل رواية الفضل من دلالة على أنّ السلام مطلقاً تحليل ، ولأجله إذا وقع في الاُوليين فهو انصراف ومخرج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الشأن في مخرجيته ولو سهواً ، وإثبات ذلك بهذا المقدار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الأظهر مع ذلك كون السلام في الركعة الأخيرة مع نسيان التشهّد أو السجدة الواحدة انصرافاً ، ويكون ترك التشهّد أو السجدة تركاً سهوياً ، مع وقوع السلام انصرافاً وفي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موافقته لارتكاز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يفرغ من صلاته وقد نسي التشهّد حتّى ينصرف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قريباً رجع إلى مكانه فتشهّد ، وإلاّ طلب مكاناً نظيفاً فتشهّد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التشهّد سنّة في الصلاة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هذا التشهّد الذي أمر بإتيانه قضاء التشهّد ؛ ضرورة أنّ التشهّد في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 قريباً ، وإذا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واحد ، ولا إشكال في أنّ الثاني قضاء ، فكذا الأوّل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عدم ذكر تتميم الصلاة ، يدلّ على أنّ التكليف ليس إلاّ بالتشهّد ، فإطلاق الكلام يقتضي قضاء التشهّد ولو لم يبرح من مكانه ، أو برح ولم يأتِ بالمنافي ، كالاستدبار والحدث ، فظهر منه كون السلام انصرافاً مع نسيان التشهّد ، </w:t>
      </w:r>
    </w:p>
    <w:p>
      <w:pPr>
        <w:pStyle w:val="BookText"/>
        <w:rPr/>
      </w:pPr>
      <w:r>
        <w:rPr>
          <w:rFonts w:ascii="Amiri" w:hAnsi="Amiri" w:eastAsia="Amiri" w:cs="Amiri"/>
          <w:color w:val="111111"/>
          <w:sz w:val="28"/>
          <w:sz w:val="28"/>
          <w:szCs w:val="28"/>
          <w:rtl w:val="true"/>
          <w:lang w:bidi="ar-SA"/>
        </w:rPr>
        <w:t xml:space="preserve">والعرف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التشهّد والسجدة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دلالة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 .»</w:t>
      </w:r>
      <w:r>
        <w:rPr>
          <w:rStyle w:val="FootnoteAnchor"/>
          <w:rtl w:val="true"/>
        </w:rPr>
        <w:footnoteReference w:id="232"/>
      </w:r>
      <w:r>
        <w:rPr>
          <w:rFonts w:ascii="Amiri" w:hAnsi="Amiri" w:eastAsia="Amiri" w:cs="Amiri"/>
          <w:color w:val="111111"/>
          <w:sz w:val="28"/>
          <w:sz w:val="28"/>
          <w:szCs w:val="28"/>
          <w:rtl w:val="true"/>
          <w:lang w:bidi="ar-SA"/>
        </w:rPr>
        <w:t xml:space="preserve">على ذلك ؛ لأنّ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مشفوعاً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سنّة ، والتشهّد سنّة ، ولا تنقض السنّة الفريضة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معهودية كون ابتداء الصلاة التكبير ، واختتامها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العرف أنّ التشهّد إذا ترك سهواً في الصلاة لا يضرّ بها ، ولا إشكال في أنّ التارك للتشهّد بعد السلام ، يكون بنظر العرف مع هذه الدلالة غيرَ آتٍ بالتشهّد ، لا به وبالسلام ، كما أ نّه لو أحدث بعد السلام وقيل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منافاته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ينقدح في ذهنه أنّه تارك للطهور ، أو آتٍ بالمنافي ، بل يرى أنّ المنافي حصل بعد الصلاة ، ويكون نقص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التشهّد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r>
        <w:rPr>
          <w:rStyle w:val="FootnoteAnchor"/>
          <w:rtl w:val="true"/>
        </w:rPr>
        <w:footnoteReference w:id="233"/>
      </w:r>
      <w:r>
        <w:rPr>
          <w:rFonts w:ascii="Amiri" w:hAnsi="Amiri" w:eastAsia="Amiri" w:cs="Amiri"/>
          <w:color w:val="111111"/>
          <w:sz w:val="28"/>
          <w:sz w:val="28"/>
          <w:szCs w:val="28"/>
          <w:rtl w:val="true"/>
          <w:lang w:bidi="ar-SA"/>
        </w:rPr>
        <w:t xml:space="preserve">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ينسى أن يتشهّد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بإطلاقها على أنّ التارك للتشهّد الأخير ، ليس عليه الرجوع إلى التشهّد </w:t>
      </w:r>
    </w:p>
    <w:p>
      <w:pPr>
        <w:pStyle w:val="BookText"/>
        <w:rPr/>
      </w:pPr>
      <w:r>
        <w:rPr>
          <w:rFonts w:ascii="Amiri" w:hAnsi="Amiri" w:eastAsia="Amiri" w:cs="Amiri"/>
          <w:color w:val="111111"/>
          <w:sz w:val="28"/>
          <w:sz w:val="28"/>
          <w:szCs w:val="28"/>
          <w:rtl w:val="true"/>
          <w:lang w:bidi="ar-SA"/>
        </w:rPr>
        <w:t xml:space="preserve">وتتميم الصلاة ، بل يكون عليه سجدتا السهو ، فلا محالة يكون السلام انصرافاً ؛ سواء بقي وقت التدارك أم لا ، أتى بالمنافي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حكم بن حكيم،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ينسى من صلاته ركعة أو سجدة أو الشيء منها ، ثمّ يذكر بعد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ذلك بعينه</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أيعيد الصلاة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 على قضاء ما ترك بعينه ، ومقتضى إطلاقها عدم الفرق بين الركعة الأخيرة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واشتمالها على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لا بدّ من رفع اليد عنها ، أو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بالمقصود ، كما لا يخفى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الاستشهاد له بما دلّ على أ نّه لا يعيد الصلاة لسجدة ، مثل صحيحة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w:t>
      </w:r>
      <w:r>
        <w:rPr>
          <w:rStyle w:val="FootnoteAnchor"/>
          <w:rtl w:val="true"/>
        </w:rPr>
        <w:footnoteReference w:id="237"/>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صلّى ، فذكر أ نّه زاد سجدة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صلاة من سجدة ، ويعيدها من ركعة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السؤال وإن كان عن الزيادة ، لكنّ الجواب بصدد بيان قاعدة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الصلاة لا تعاد من قِبل سجدة واحدة ؛ زادت أو نقصت ، وهي تدلّ على أنّ الآتي بالمنافي بعد السلام لا يعيد الصلاة ؛ فإنّ الإعادة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لأجل السجدة ، لا لفقد الطهور ، ولا تعاد الصلاة لسجدة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السلام إذا وقع في الركعة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التشهّد أو قبل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السجدة الواحدة أو التشهّد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وقع السلام قبل سجدتين ، فمع فعل المنافي سهواً لا إشكال في وجوب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المنافي ، فلا تخلو المسألة من غموض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كون السلام انصرافاً أو كونه في غير محلّه ويجب التدارك ، من تلك الأدلّة</w:t>
      </w:r>
      <w:r>
        <w:rPr>
          <w:rStyle w:val="FootnoteAnchor"/>
          <w:rtl w:val="true"/>
        </w:rPr>
        <w:footnoteReference w:id="239"/>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بإطلاق صحيحة الحلبي المتقدّمة في صدر البحث</w:t>
      </w:r>
      <w:r>
        <w:rPr>
          <w:rStyle w:val="FootnoteAnchor"/>
          <w:rtl w:val="true"/>
        </w:rPr>
        <w:footnoteReference w:id="240"/>
      </w:r>
      <w:r>
        <w:rPr>
          <w:rFonts w:ascii="Amiri" w:hAnsi="Amiri" w:eastAsia="Amiri" w:cs="Amiri"/>
          <w:color w:val="111111"/>
          <w:sz w:val="28"/>
          <w:sz w:val="28"/>
          <w:szCs w:val="28"/>
          <w:rtl w:val="true"/>
          <w:lang w:bidi="ar-SA"/>
        </w:rPr>
        <w:t xml:space="preserve">، يكون معه انصرافاً ، لكن قد عرفت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ذلك من صحيحة حكم بن حكيم</w:t>
      </w:r>
      <w:r>
        <w:rPr>
          <w:rStyle w:val="FootnoteAnchor"/>
          <w:rtl w:val="true"/>
        </w:rPr>
        <w:footnoteReference w:id="241"/>
      </w:r>
      <w:r>
        <w:rPr>
          <w:rFonts w:ascii="Amiri" w:hAnsi="Amiri" w:eastAsia="Amiri" w:cs="Amiri"/>
          <w:color w:val="111111"/>
          <w:sz w:val="28"/>
          <w:sz w:val="28"/>
          <w:szCs w:val="28"/>
          <w:rtl w:val="true"/>
          <w:lang w:bidi="ar-SA"/>
        </w:rPr>
        <w:t xml:space="preserve">مشكلة ، بل ممنوعة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منافيان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فالمسألة محلّ إشكال ؛ وإن كان القول ببقاء محلّ تداركهما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الدليل على كون السلام انصرافاً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ما عرفت من أنّ السلام في الركعة الأخيرة قبل سجدة انصراف ، </w:t>
      </w:r>
      <w:bookmarkStart w:id="178" w:name="pg8101_60494"/>
    </w:p>
    <w:p>
      <w:pPr>
        <w:pStyle w:val="BookText"/>
        <w:rPr/>
      </w:pPr>
      <w:bookmarkEnd w:id="178"/>
      <w:r>
        <w:rPr>
          <w:rFonts w:ascii="Amiri" w:hAnsi="Amiri" w:eastAsia="Amiri" w:cs="Amiri"/>
          <w:color w:val="111111"/>
          <w:sz w:val="28"/>
          <w:sz w:val="28"/>
          <w:szCs w:val="28"/>
          <w:rtl w:val="true"/>
          <w:lang w:bidi="ar-SA"/>
        </w:rPr>
        <w:t xml:space="preserve">يظهر حال جميع الفروع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الصلاة ، وقضاء السجدتين وسجدتي السهو مرّتين ؛ سواء علم بترك السجدة الثانية من الأخيرة ، أو من غيرها ، أو لا يعلم </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7940324_1051229030"/>
      <w:bookmarkStart w:id="180" w:name="_Toc66"/>
      <w:bookmarkEnd w:id="179"/>
      <w:r>
        <w:rPr>
          <w:rtl w:val="true"/>
        </w:rPr>
        <w:t xml:space="preserve">تنبيه </w:t>
      </w:r>
      <w:r>
        <w:rPr>
          <w:rtl w:val="true"/>
        </w:rPr>
        <w:t xml:space="preserve">: </w:t>
      </w:r>
      <w:r>
        <w:rPr>
          <w:rtl w:val="true"/>
        </w:rPr>
        <w:t>حول تفصيل المحقّق العراقي في المسألة</w:t>
      </w:r>
      <w:bookmarkEnd w:id="180"/>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المحقّقين قدّس سرّه قد تشبّث بإطلاق موثّقة إسحاق بن عمّار</w:t>
      </w:r>
      <w:r>
        <w:rPr>
          <w:rStyle w:val="FootnoteAnchor"/>
          <w:rtl w:val="true"/>
        </w:rPr>
        <w:footnoteReference w:id="242"/>
      </w:r>
      <w:r>
        <w:rPr>
          <w:rFonts w:ascii="Amiri" w:hAnsi="Amiri" w:eastAsia="Amiri" w:cs="Amiri"/>
          <w:color w:val="111111"/>
          <w:sz w:val="28"/>
          <w:sz w:val="28"/>
          <w:szCs w:val="28"/>
          <w:rtl w:val="true"/>
          <w:lang w:bidi="ar-SA"/>
        </w:rPr>
        <w:t>واستكشف من إطلاقها أنّ السلام وقع في غير محلّه ؛ وأنّ المصلّي بعد السلام في الصلاة ، وأ نّه بالمنافي يخرج منها ، ولأجله حكم ببطلان الصلاة مع وقوع المنافي ، وبالرجوع والتدارك مع عدمه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التعليقة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بتصحيح الصلاة مع تركه السجدة الواحدة لو أتى بالمنافي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مقام تصحيح الصلاة ، فلا يكاد يجري في المقام ؛ لأ نّه يلزم من تطبيقه إفساد الصلاة ، ومعه يسقط الجزء عن الجزئية ، ولازمه وقوع السلام في محلّه</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هي موثّقة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عن الرجل ينسى أن يركع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 حتّى يضع كلّ شيء من ذلك موضعه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81" w:name="pg8101_60495"/>
    </w:p>
    <w:p>
      <w:pPr>
        <w:pStyle w:val="BookText"/>
        <w:rPr/>
      </w:pPr>
      <w:bookmarkEnd w:id="181"/>
      <w:r>
        <w:rPr>
          <w:rFonts w:ascii="Amiri" w:hAnsi="Amiri" w:eastAsia="Amiri" w:cs="Amiri"/>
          <w:color w:val="111111"/>
          <w:sz w:val="28"/>
          <w:sz w:val="28"/>
          <w:szCs w:val="28"/>
          <w:rtl w:val="true"/>
          <w:lang w:bidi="ar-SA"/>
        </w:rPr>
        <w:t xml:space="preserve">فهل يستفاد منها أنّ السلام وقع في غير محلّه ، أو يستفاد منها أ نّها بصدد تصحيح الصلاة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الظاهر منها أنّ السؤال عن نسيان الركوع والتذكّر بعد الصلاة ، أو بعد الدخول فيما يترتّب على الركوع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يستقبل الصلاة لا الركوع ؟</w:t>
      </w:r>
    </w:p>
    <w:p>
      <w:pPr>
        <w:pStyle w:val="BookText"/>
        <w:rPr/>
      </w:pPr>
      <w:r>
        <w:rPr>
          <w:rFonts w:ascii="Amiri" w:hAnsi="Amiri" w:eastAsia="Amiri" w:cs="Amiri"/>
          <w:color w:val="111111"/>
          <w:sz w:val="28"/>
          <w:sz w:val="28"/>
          <w:szCs w:val="28"/>
          <w:rtl w:val="true"/>
          <w:lang w:bidi="ar-SA"/>
        </w:rPr>
        <w:t xml:space="preserve">فهي بصدد إبطال الصلاة لا تصحيحها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لسانها إلاّ كرواية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رجل نسي أن يركع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يستفاد منها أنّ الترتيب معتبر في الأجزاء في الجملة ، وأمّا أنّ السلام مخرج أو ليس بمخرج ، فلا يستفاد منها ، ولا إطلاق لها من هذه الجهة ؛ لأ نّها بصدد بيان استقبال الصلاة ، لا بيان الترتيب حتّى يؤخذ بإطلاقها ، فلا ما أفاده أوّلاً ممكن التصديق ، ولا ما ذكره ثانياً رجوع عن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ما إذا حدث العلم بعد الصلاة </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7940326_1051229030"/>
      <w:bookmarkStart w:id="183" w:name="_Toc67"/>
      <w:bookmarkEnd w:id="182"/>
      <w:r>
        <w:rPr>
          <w:rtl w:val="true"/>
        </w:rPr>
        <w:t>حكم حدوث العلم بترك سجدتين في أثناء الصلاة</w:t>
      </w:r>
      <w:bookmarkEnd w:id="183"/>
    </w:p>
    <w:p>
      <w:pPr>
        <w:pStyle w:val="BookText"/>
        <w:rPr/>
      </w:pPr>
      <w:r>
        <w:rPr>
          <w:rFonts w:ascii="Amiri" w:hAnsi="Amiri" w:eastAsia="Amiri" w:cs="Amiri"/>
          <w:color w:val="111111"/>
          <w:sz w:val="28"/>
          <w:sz w:val="28"/>
          <w:szCs w:val="28"/>
          <w:rtl w:val="true"/>
          <w:lang w:bidi="ar-SA"/>
        </w:rPr>
        <w:t xml:space="preserve">وأمّا إذا حدث في أثنائها ، فإمّا أن يعلم أنّ السجدة الثانية المنسيّة من أيّة الركعات أو لا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في الركن ، فلا إشكال في وجوب قضائهما وسجدتي السهو مرّتين ، وإن لم يدخل رجع فأتى بها ، وقضى السجدة </w:t>
      </w:r>
    </w:p>
    <w:p>
      <w:pPr>
        <w:pStyle w:val="BookText"/>
        <w:rPr/>
      </w:pPr>
      <w:r>
        <w:rPr>
          <w:rFonts w:ascii="Amiri" w:hAnsi="Amiri" w:eastAsia="Amiri" w:cs="Amiri"/>
          <w:color w:val="111111"/>
          <w:sz w:val="28"/>
          <w:sz w:val="28"/>
          <w:szCs w:val="28"/>
          <w:rtl w:val="true"/>
          <w:lang w:bidi="ar-SA"/>
        </w:rPr>
        <w:t xml:space="preserve">الاُولى ، وأتى بسجدتي السهو لنسيانها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كونها من الركعة التي بيده ، فإن كان في المحلّ الشكّي ، فالظاهر انحلال العلم بواسطة الأدلّة الدالّة على لزوم إتيان ما شكّ فيه في المحلّ</w:t>
      </w:r>
      <w:r>
        <w:rPr>
          <w:rStyle w:val="FootnoteAnchor"/>
          <w:rtl w:val="true"/>
        </w:rPr>
        <w:footnoteReference w:id="247"/>
      </w:r>
      <w:r>
        <w:rPr>
          <w:rFonts w:ascii="Amiri" w:hAnsi="Amiri" w:eastAsia="Amiri" w:cs="Amiri"/>
          <w:color w:val="111111"/>
          <w:sz w:val="28"/>
          <w:sz w:val="28"/>
          <w:szCs w:val="28"/>
          <w:rtl w:val="true"/>
          <w:lang w:bidi="ar-SA"/>
        </w:rPr>
        <w:t>وأدلّة التجاوز</w:t>
      </w:r>
      <w:r>
        <w:rPr>
          <w:rStyle w:val="FootnoteAnchor"/>
          <w:rtl w:val="true"/>
        </w:rPr>
        <w:footnoteReference w:id="248"/>
      </w:r>
      <w:r>
        <w:rPr>
          <w:rFonts w:ascii="Amiri" w:hAnsi="Amiri" w:eastAsia="Amiri" w:cs="Amiri"/>
          <w:color w:val="111111"/>
          <w:sz w:val="28"/>
          <w:sz w:val="28"/>
          <w:szCs w:val="28"/>
          <w:rtl w:val="true"/>
          <w:lang w:bidi="ar-SA"/>
        </w:rPr>
        <w:t xml:space="preserve">فلا محالة يجب عليه إتيانها وقضاء سجدة واحدة متروكة مع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لزوم قضائهما وسجدتي السهو مرّتين فيما إذا دخل في الركن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فيما إذا كان في المحلّ الذكري وتجاوز عن المحلّ الشكّي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مقتضى أصالة عدم الإتيان بالسجدة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قاعدة التجاوز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رجوعه لتدارك السجدة المحتملة الفوت ، وعليه قضاء السجدتين ؛ للعلم بفوت إحداهما ، وأصالة عدم إتيان الاُخرى في الركعة السابقة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إذا كان الأثر مترتّباً على الترك في الصلاة الصحيحة ، أو على الترك المقيّد بكونه</w:t>
      </w:r>
      <w:r>
        <w:rPr>
          <w:rStyle w:val="FootnoteAnchor"/>
          <w:rtl w:val="true"/>
        </w:rPr>
        <w:footnoteReference w:id="250"/>
      </w:r>
      <w:r>
        <w:rPr>
          <w:rFonts w:ascii="Amiri" w:hAnsi="Amiri" w:eastAsia="Amiri" w:cs="Amiri"/>
          <w:color w:val="111111"/>
          <w:sz w:val="28"/>
          <w:sz w:val="28"/>
          <w:szCs w:val="28"/>
          <w:rtl w:val="true"/>
          <w:lang w:bidi="ar-SA"/>
        </w:rPr>
        <w:t>عمدياً ، وبين ما إذا كان مترتّباً على الترك بكونه</w:t>
      </w:r>
      <w:r>
        <w:rPr>
          <w:rStyle w:val="FootnoteAnchor"/>
          <w:rtl w:val="true"/>
        </w:rPr>
        <w:footnoteReference w:id="251"/>
      </w:r>
      <w:bookmarkStart w:id="184" w:name="pg8101_60497"/>
    </w:p>
    <w:p>
      <w:pPr>
        <w:pStyle w:val="BookText"/>
        <w:rPr/>
      </w:pPr>
      <w:bookmarkEnd w:id="184"/>
      <w:r>
        <w:rPr>
          <w:rFonts w:ascii="Amiri" w:hAnsi="Amiri" w:eastAsia="Amiri" w:cs="Amiri"/>
          <w:color w:val="111111"/>
          <w:sz w:val="28"/>
          <w:sz w:val="28"/>
          <w:szCs w:val="28"/>
          <w:rtl w:val="true"/>
          <w:lang w:bidi="ar-SA"/>
        </w:rPr>
        <w:t xml:space="preserve">سهوياً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الأصل لتنقيح الموضوع في الأوّلين ، وعدم جريانه في الأخير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الأثر غير مترتّب على الترك المطلق ، أو الترك في الصلاة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فواضح ، وأمّا الثاني فلمخالفته للأدلّة </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940328_1051229030"/>
      <w:bookmarkStart w:id="186" w:name="_Toc68"/>
      <w:bookmarkEnd w:id="185"/>
      <w:r>
        <w:rPr>
          <w:rtl w:val="true"/>
        </w:rPr>
        <w:t>عدم إمكان إحراز الموضوع بالأصل وإشارة إلى اعتبارات القضايا</w:t>
      </w:r>
      <w:bookmarkEnd w:id="186"/>
    </w:p>
    <w:p>
      <w:pPr>
        <w:pStyle w:val="BookText"/>
        <w:rPr/>
      </w:pPr>
      <w:r>
        <w:rPr>
          <w:rFonts w:ascii="Amiri" w:hAnsi="Amiri" w:eastAsia="Amiri" w:cs="Amiri"/>
          <w:color w:val="111111"/>
          <w:sz w:val="28"/>
          <w:sz w:val="28"/>
          <w:szCs w:val="28"/>
          <w:rtl w:val="true"/>
          <w:lang w:bidi="ar-SA"/>
        </w:rPr>
        <w:t xml:space="preserve">وظاهر الأدلّة هو الترتّب على الترك السهوي ، وغاية ما يمكن أن يدّعى هو ترتّبه على عنوان أعمّ منه ؛ وهو الترك الغير العمدي بنحو الإيجاب العدولي ، أو الترك الذي ليس بعمد بنحو الموجبة السالبة المحمول ، وعلى أيّ تقدير لا يمكن إحراز الموضوع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مترتّباً على الترك السهوي فواضح ؛ لأنّ أصالة 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بكون العدم على فرضه يكون سهوياً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كون الترك سهوياً إلاّ بالأصل المثبت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الترك الغير العمدي أو الذي ليس بعمد ؛ فلأنّ في كلّ منهما يكون الاعتبار بتوصيف الموضوع بالمعنى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المعدولة فواضح ، وأمّا الموجبة السالبة المحمول ؛ فلأنّ الفرق بينها وبين السالبة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الثانية مفادها سلب الصفة عن الموضوع ، ولهذا يصدق مع عدم الموضوع في ظرف السلب ، ومفاد الاُولى إثبات قضيّة سلبية للموضوع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بينها وبين المعدولة ؛ بعد اشتراكهما في توصيف الموضوع بمعنى سلبي بنحو من الاعتبار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القطع بأنّ الموضوع في أدلّة السهو ، ليس عدم كون الترك عمدياً بنحو السلب البسيط الصادق مع عدم السهو وعدم الصلاة ، لا بدّ وأن يكون بنحو الإيجاب العدولي أو الموجبة السالبة المحمول الغير الصادقين إلاّ مع وجود الموضوع ، فالموضوع هو الترك المتّصف ، ولم تكن له حالة سابقة ، فما كان له حالة سابقة هو عدم الترك المتّصف بنحو السلب التحصيلي ، لا الترك المتّصف بالعدم ؛ لعدم إمكان الاتّصاف في الأزل ولو بمعنى عدمي ؛ لأنّ الاتّصاف نحو ثبوت شيء لشيء ، وهو فرع نحو ثبوت للمثبت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العدم الأزلي بنحو السلب التحصيلي المنطبق على الإيجاب العدولي أو الموجبة السالبة المحمول في ظرف الوجود ، فهو من الاُصول المثبتة ؛ لأنّ استصحاب الأعمّ لإثبات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ولعدم التفريق بين اعتبارات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أشرنا إليه وفصّلناه في مقامات من الاُصول</w:t>
      </w:r>
      <w:r>
        <w:rPr>
          <w:rStyle w:val="FootnoteAnchor"/>
          <w:rtl w:val="true"/>
        </w:rPr>
        <w:footnoteReference w:id="253"/>
      </w:r>
      <w:r>
        <w:rPr>
          <w:rFonts w:ascii="Amiri" w:hAnsi="Amiri" w:eastAsia="Amiri" w:cs="Amiri"/>
          <w:color w:val="111111"/>
          <w:sz w:val="28"/>
          <w:sz w:val="28"/>
          <w:szCs w:val="28"/>
          <w:rtl w:val="true"/>
          <w:lang w:bidi="ar-SA"/>
        </w:rPr>
        <w:t xml:space="preserve">وقع الخلط والاشتباه في كثير من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أصالة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اللباس المشكوك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عدم القرشية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أصالة عدم السجدة لإثبات القضاء ، ولا لوجوب الرجوع والتدارك ، فلا بدّ من العمل على العلم الإجمالي بعد سقوط </w:t>
      </w:r>
      <w:bookmarkStart w:id="187" w:name="pg8101_60499"/>
    </w:p>
    <w:p>
      <w:pPr>
        <w:pStyle w:val="BookText"/>
        <w:rPr/>
      </w:pPr>
      <w:bookmarkEnd w:id="187"/>
      <w:r>
        <w:rPr>
          <w:rFonts w:ascii="Amiri" w:hAnsi="Amiri" w:eastAsia="Amiri" w:cs="Amiri"/>
          <w:color w:val="111111"/>
          <w:sz w:val="28"/>
          <w:sz w:val="28"/>
          <w:szCs w:val="28"/>
          <w:rtl w:val="true"/>
          <w:lang w:bidi="ar-SA"/>
        </w:rPr>
        <w:t xml:space="preserve">قاعدة التجاوز ، ومقتضاه الرجوع والإتيان بالسجدة وقضاؤها وسجدتي السهو لأجله ؛ للعلم الإجمالي بأ نّه إمّا يجب عليه الرجوع والتدارك ، أو يجب عليه المضيّ والقضاء وسجدتا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كان من قبيل الدوران بين المحذورين ؛ لأنّ وجوب المضيّ ووجوب الرجوع للتدارك لا يمكن الجمع بينهما ، لكنّ الأدلّة الدالّة على الرجوع ، يستفاد منها أنّ تلك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لأجل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بطلان الصلاة ، بل ما يكون موجباً للبطلان هو الزيادة العمدية ، وما أتى به لأجل التدارك لا يوجب البطلان ، فالرجوع إلى التدارك هاهنا لا يوجب البطلان ؛ للشكّ في عروض المبطل لو سلّم كون تلك الزيادات الاحتياطية مبطلة ، وإلاّ فلا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يحصل بالرجوع والتدارك وقضاء السجدة وسجدتي السهو ، ولا تلزم إعادة الصلاة </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7940330_1051229030"/>
      <w:bookmarkStart w:id="189" w:name="_Toc69"/>
      <w:bookmarkEnd w:id="188"/>
      <w:r>
        <w:rPr>
          <w:rtl w:val="true"/>
        </w:rPr>
        <w:t>المسألة الرابعة</w:t>
      </w:r>
      <w:r>
        <w:rPr>
          <w:rtl w:val="true"/>
        </w:rPr>
        <w:t xml:space="preserve">: </w:t>
      </w:r>
      <w:r>
        <w:rPr>
          <w:rtl w:val="true"/>
        </w:rPr>
        <w:t>في حكم الشكّ حال الركعة البنائية</w:t>
      </w:r>
      <w:bookmarkEnd w:id="189"/>
    </w:p>
    <w:p>
      <w:pPr>
        <w:pStyle w:val="Heading4"/>
        <w:numPr>
          <w:ilvl w:val="3"/>
          <w:numId w:val="1"/>
        </w:numPr>
        <w:rPr/>
      </w:pPr>
      <w:bookmarkStart w:id="190" w:name="__RefHeading___Toc7940332_1051229030"/>
      <w:bookmarkStart w:id="191" w:name="_Toc70"/>
      <w:bookmarkEnd w:id="190"/>
      <w:r>
        <w:rPr>
          <w:rtl w:val="true"/>
        </w:rPr>
        <w:t>اشارة</w:t>
      </w:r>
      <w:bookmarkEnd w:id="19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في الركعة الرابعة البنائية مثلاً ، وشكّ في أنّ شكّه السابق بين الاثنتين والثلاث ، كان قبل إكمال السجدتين أو بعدهما ، فبمقتضى العلم الإجمالي بأ نّه إمّا يجب عليه البناء والعمل بالشكّ إذا كان بعد الإكمال ، أو يجب عليه الإعادة إذا كان قبل الإكمال ، يجب عليه الجمع بين الوظيفتين </w:t>
      </w:r>
      <w:r>
        <w:rPr>
          <w:rFonts w:eastAsia="Amiri" w:cs="Amiri" w:ascii="Amiri" w:hAnsi="Amiri"/>
          <w:color w:val="111111"/>
          <w:sz w:val="28"/>
          <w:szCs w:val="28"/>
          <w:rtl w:val="true"/>
          <w:lang w:bidi="ar-SA"/>
        </w:rPr>
        <w:t xml:space="preserve">. </w:t>
      </w:r>
      <w:bookmarkStart w:id="192" w:name="pg8101_60500"/>
    </w:p>
    <w:p>
      <w:pPr>
        <w:pStyle w:val="BookText"/>
        <w:rPr/>
      </w:pPr>
      <w:bookmarkEnd w:id="192"/>
      <w:r>
        <w:rPr>
          <w:rFonts w:ascii="Amiri" w:hAnsi="Amiri" w:eastAsia="Amiri" w:cs="Amiri"/>
          <w:color w:val="111111"/>
          <w:sz w:val="28"/>
          <w:sz w:val="28"/>
          <w:szCs w:val="28"/>
          <w:rtl w:val="true"/>
          <w:lang w:bidi="ar-SA"/>
        </w:rPr>
        <w:t xml:space="preserve">وقد يقال بالبناء على الثاني ؛ 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على الأكثر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المقتضية للبناء عليه في جميع الركعات ، غاية الأمر خرج الشكّ في الاُوليين ، فأصالة عدم كون شكّه هذا شكّاً حادثاً في الاُوليين ، يثبت موضوع البناء</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البناء هو الشكّ الفعلي مع حفظ الركعتين الأوّلتين ، وهو 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المسألة مبتنية على تنقيح موضوع البناء ، فلا بدّ من الإشارة الإجمالية إليه </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7940334_1051229030"/>
      <w:bookmarkStart w:id="194" w:name="_Toc71"/>
      <w:bookmarkEnd w:id="193"/>
      <w:r>
        <w:rPr>
          <w:rtl w:val="true"/>
        </w:rPr>
        <w:t>حول موضوع البناء على الأكثر</w:t>
      </w:r>
      <w:bookmarkEnd w:id="19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أنّ عمومات البناء على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موثّقة عمّار بن موسى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عمّار ، أجمع لك السهو كلّه في كلمتين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شككت فخذ بالأكثر ، فإذا سلّمت فأتمّ ما ظننت أنّك قد نقصت</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وغيرها ممّا هو قريب بهذا المضمون</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محكومة بالنسبة إلى ما دلّ على أنّ السهو ليس في الاُوليين ، مثل 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الذي فرض اللّه تعالى على العباد عشر ركعات ، وفيهنّ القراءة ، وليس فيهنّ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فزاد رسول اللّه صلی الله علیه و آله وسلم سبعاً ، وفيهنّ الوهم ، وليس فيهنّ </w:t>
      </w:r>
    </w:p>
    <w:p>
      <w:pPr>
        <w:pStyle w:val="BookText"/>
        <w:rPr/>
      </w:pPr>
      <w:r>
        <w:rPr>
          <w:rFonts w:ascii="Amiri" w:hAnsi="Amiri" w:eastAsia="Amiri" w:cs="Amiri"/>
          <w:color w:val="111111"/>
          <w:sz w:val="28"/>
          <w:sz w:val="28"/>
          <w:szCs w:val="28"/>
          <w:rtl w:val="true"/>
          <w:lang w:bidi="ar-SA"/>
        </w:rPr>
        <w:t>قراءة ، فمن شكّ في الاُوليين أعاد حتّى يحفظ ويكون على يقين ، ومن شكّ في الأخيرتين عمل بالوهم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بلسانها تنقّح موضوع السهو ؛ وأنّ موضوعه هو الأخيرتان ، فالشكّ الحادث في الأخيرتين بعنوانه موضوع للبناء ، لا عدم حدوث الشكّ في الاُوليين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ومثلها غيرها ، كرواية عبداللّه بن سليمان العامري عن أبي جعفر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يجب السهو فيما زاد رسول اللّه صلی الله علیه و آله وسلم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الحسن بن علي الوشّاء أو حسنته</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الإعادة في الركعتين الأوّلتين، والسهو في الركعتين الأخيرتين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الروايات بلسانها تفسّر تلك العمومات ، فيكون مفادها بعد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متى شككت في الركعتين الأخيرتين ابنِ على الأكثر ، ولا إشكال في أنّ المناط بحدوث الشكّ لا بقائه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الشكّ حين حدوثه في الركعتين الأخيرتين يبنى على الأكثر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صحيحة زرارة ،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يدرِ اثنتين صلّى أم ثلاثاً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دخله الشكّ بعد دخوله في الثالثة مضى في الثالثة ، ثمّ صلّى الاُخرى ، ولا شيء عليه ويسلّم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الركعة التي يشكّ في أنّه ثالثة أو رابعة ، والمراد بالمضيّ فيها هو إتمامها بالبناء على الثالثة ؛ أي فيما يشكّ فيه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يوجبان ظهورها في الصلاة المستقلّة المفصولة ، فهي وإن لم يبعد أن يكون بناؤها على الإجمال وبيان الحكم بنحو الإبهام ، لكن يفهم منها أنّ الميزان في البناء هو حدوث الشكّ بعد الدخول في الركعة التالية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كون الموضوع للبناء هو الشكّ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شكّاً في الأوّلتين ، أو مع عدم حدوثه قبل الإكمال ، أو مع حفظ الاُوليين مطلقاً ، أو مع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تخرّص مخالف لظواهر النصوص ، فيكون الموضوع هو الشكّ في الأخيرتين حين حدوثه مع تمامية الركعتين الأوّلتين ، أو حدوث الشكّ في حال حفظ الأوّلتين ، أو حدوثه حين دخل </w:t>
      </w:r>
      <w:bookmarkStart w:id="195" w:name="pg8101_60503"/>
    </w:p>
    <w:p>
      <w:pPr>
        <w:pStyle w:val="BookText"/>
        <w:rPr/>
      </w:pPr>
      <w:bookmarkEnd w:id="195"/>
      <w:r>
        <w:rPr>
          <w:rFonts w:ascii="Amiri" w:hAnsi="Amiri" w:eastAsia="Amiri" w:cs="Amiri"/>
          <w:color w:val="111111"/>
          <w:sz w:val="28"/>
          <w:sz w:val="28"/>
          <w:szCs w:val="28"/>
          <w:rtl w:val="true"/>
          <w:lang w:bidi="ar-SA"/>
        </w:rPr>
        <w:t xml:space="preserve">في الثالثة ، ولا يمكن إثبات هذه العناوين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سلّم كون الموضوع هو كون الشكّ في الأخيرتين مع عدم حدوثه في الأوّلتين ، فلا يمكن إثباته بالأصل والوجدان ؛ لأنّ الموضوع هو كون الشكّ الذي في الأخيرتين غير حادث في الأوّلتين ، أو لم يكن حادثاً فيهما ، لا عدم حدوث شكّه في الأوّلتين على نعت السلب التحصيلي ؛ لعدم كون هذا السلب الأعمّ من سلب الموضوع موضوعاً لحكم ، فما يمكن إحرازه بالأصل هو هذا السلب المطلق ، وهو ليس بموضوع ، وما هو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الذي لم يحدث في الأوّلتين ، أو الشكّ الغير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إثباته بالأصل ؛ لعدم الحالة السابقة على فرض ، ومثبتية الأصل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 الموضوع هو الشكّ في الأخيرتين مع حفظ الأوّلتين ، والشكّ الفعلي كذلك ، غير سديد ؛ لأنّ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 الشكّ لا بقائه ، فالشكّ الفعلي مع حفظ الركعتين لا أثر له ، ولا يكون مشمولاً للأدلّة ، بل لا بدّ من إثبات أنّ الركعتين محفوظة حين حدوث الشكّ ، وأصالة عدم حدوث الشكّ إلى زمان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معارضتها بأصالة عدم حفظ الركعتين إلى زمان حدوث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أنّ الشكّ حادث في زمان الحفظ </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940336_1051229030"/>
      <w:bookmarkStart w:id="197" w:name="_Toc72"/>
      <w:bookmarkEnd w:id="196"/>
      <w:r>
        <w:rPr>
          <w:rtl w:val="true"/>
        </w:rPr>
        <w:t>مختار شيخنا العلاّمة الحائري ونقده</w:t>
      </w:r>
      <w:bookmarkEnd w:id="1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التمسّك بقاعدة التجاوز ، أو أصالة عدم الخطأ أو السهو ، والتفصيل بين ما علم حكم الشكّ واحتمل المضيّ والبناء على الثلاث قبل إكمال السجدتين سهواً ، وما لم يعلم ، فحكم بعدم الاعتناء في الأوّل ؛ سواء حدث الشكّ في </w:t>
      </w:r>
      <w:bookmarkStart w:id="198" w:name="pg8101_60504"/>
    </w:p>
    <w:p>
      <w:pPr>
        <w:pStyle w:val="BookText"/>
        <w:rPr/>
      </w:pPr>
      <w:bookmarkEnd w:id="198"/>
      <w:r>
        <w:rPr>
          <w:rFonts w:ascii="Amiri" w:hAnsi="Amiri" w:eastAsia="Amiri" w:cs="Amiri"/>
          <w:color w:val="111111"/>
          <w:sz w:val="28"/>
          <w:sz w:val="28"/>
          <w:szCs w:val="28"/>
          <w:rtl w:val="true"/>
          <w:lang w:bidi="ar-SA"/>
        </w:rPr>
        <w:t>الأثناء ، أو بعد الصلاة</w:t>
      </w:r>
      <w:r>
        <w:rPr>
          <w:rStyle w:val="FootnoteAnchor"/>
          <w:rtl w:val="true"/>
        </w:rPr>
        <w:footnoteReference w:id="262"/>
      </w:r>
      <w:r>
        <w:rPr>
          <w:rFonts w:ascii="Amiri" w:hAnsi="Amiri" w:eastAsia="Amiri" w:cs="Amiri"/>
          <w:color w:val="111111"/>
          <w:sz w:val="28"/>
          <w:sz w:val="28"/>
          <w:szCs w:val="28"/>
          <w:rtl w:val="true"/>
          <w:lang w:bidi="ar-SA"/>
        </w:rPr>
        <w:t xml:space="preserve">، فغير وجيه وإن قرّبه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التعبّد بالبناء على عدم كون الشكّ قبل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حادثاً بعده ، أو كونه حادثاً في زمان حفظ الركعتين ، أو حدوث الشكّ في الركعتين الأخيرتين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العناوين التي يمكن أن تكون موضوعة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فرض أنّ الموضوع الشكّ في الأخيرتين مع عدم حدوث الشكّ قبل إكمال الركعتين فلا يفيد ؛ لأنّ القاعدة لو كانت أصلاً محرزاً فلا تكون إلاّ أصلاً محرزاً حيثياً لا محرزاً مطلقاً ، ولهذا لا يفيد البناء على تحقّق الطهارة في صلاة بعد فراغها لإحرازها لصلاة اُخرى ؛ لأنّ التعبّد بالوجود من حيث الصلاة التي فرغ منها لا مطلقاً ، ففيما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التعبّد بعدم الشكّ قبل الإكمال من حيث الأصالة في صحّة الصلاة ، لا من حيثيات اُخر ، ككونه موضوعاً للبناء على الأكثر ،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السهو والنسيان ، فلا دليل على حجّيتها شرعاً أو ثبوتها عند العقلاء ؛ بحيث يمكن التمسّك بها لإثبات مثل ذلك ؛ أي إثبات كون الشكّ حادثاً في الركعتين الأخيرتين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محيص عن العمل بالعلم الإجمالي </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940338_1051229030"/>
      <w:bookmarkStart w:id="200" w:name="_Toc73"/>
      <w:bookmarkEnd w:id="199"/>
      <w:r>
        <w:rPr>
          <w:rtl w:val="true"/>
        </w:rPr>
        <w:t>إشكال ودفع</w:t>
      </w:r>
      <w:bookmarkEnd w:id="20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حرمة قطع الصلاة ليس إلاّ الإجماع</w:t>
      </w:r>
      <w:r>
        <w:rPr>
          <w:rStyle w:val="FootnoteAnchor"/>
          <w:rtl w:val="true"/>
        </w:rPr>
        <w:footnoteReference w:id="263"/>
      </w:r>
      <w:r>
        <w:rPr>
          <w:rFonts w:ascii="Amiri" w:hAnsi="Amiri" w:eastAsia="Amiri" w:cs="Amiri"/>
          <w:color w:val="111111"/>
          <w:sz w:val="28"/>
          <w:sz w:val="28"/>
          <w:szCs w:val="28"/>
          <w:rtl w:val="true"/>
          <w:lang w:bidi="ar-SA"/>
        </w:rPr>
        <w:t xml:space="preserve">والقدر المتيقّن </w:t>
      </w:r>
      <w:bookmarkStart w:id="201" w:name="pg8101_60505"/>
    </w:p>
    <w:p>
      <w:pPr>
        <w:pStyle w:val="BookText"/>
        <w:rPr/>
      </w:pPr>
      <w:bookmarkEnd w:id="201"/>
      <w:r>
        <w:rPr>
          <w:rFonts w:ascii="Amiri" w:hAnsi="Amiri" w:eastAsia="Amiri" w:cs="Amiri"/>
          <w:color w:val="111111"/>
          <w:sz w:val="28"/>
          <w:sz w:val="28"/>
          <w:szCs w:val="28"/>
          <w:rtl w:val="true"/>
          <w:lang w:bidi="ar-SA"/>
        </w:rPr>
        <w:t xml:space="preserve">منه هو الصلاة التي يجوز الاكتفاء بها ؛ أي ما علم تفصيلاً أ نّه صلاة ، ومعه يجوز رفع اليد عن صلاته وإتيان مصداق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لزوم البناء على الشكوك الصحيحة ، دالّة على انقلاب التكليف في زمان عروض الشكّ من الركعة المتّصلة إلى المنفصلة ، وهذا عزيمة لا رخصة ، فمع العلم التفصيلي بالشكوك الصحيحة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Style w:val="FootnoteAnchor"/>
          <w:rtl w:val="true"/>
        </w:rPr>
        <w:footnoteReference w:id="264"/>
      </w:r>
      <w:r>
        <w:rPr>
          <w:rFonts w:ascii="IRNazanin" w:hAnsi="IRNazanin" w:eastAsia="IRNazanin"/>
          <w:color w:val="111111"/>
          <w:sz w:val="28"/>
          <w:sz w:val="28"/>
          <w:szCs w:val="28"/>
          <w:rtl w:val="true"/>
          <w:lang w:bidi="fa-IR"/>
        </w:rPr>
        <w:t>وفتوى</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الصلاة التي بيده وإتيان فرد آخر ، والعلم الإجمالي كالتفصيلي في لزوم الخروج عن عهدة التكليف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7940340_1051229030"/>
      <w:bookmarkStart w:id="203" w:name="_Toc74"/>
      <w:bookmarkEnd w:id="202"/>
      <w:r>
        <w:rPr>
          <w:rtl w:val="true"/>
        </w:rPr>
        <w:t>المسألة الخامسة</w:t>
      </w:r>
      <w:r>
        <w:rPr>
          <w:rtl w:val="true"/>
        </w:rPr>
        <w:t xml:space="preserve">: </w:t>
      </w:r>
      <w:r>
        <w:rPr>
          <w:rtl w:val="true"/>
        </w:rPr>
        <w:t>في حكم دوران الركعة بين آخر الظهر وأوّل العصر</w:t>
      </w:r>
      <w:bookmarkEnd w:id="203"/>
    </w:p>
    <w:p>
      <w:pPr>
        <w:pStyle w:val="Heading4"/>
        <w:numPr>
          <w:ilvl w:val="3"/>
          <w:numId w:val="1"/>
        </w:numPr>
        <w:rPr/>
      </w:pPr>
      <w:bookmarkStart w:id="204" w:name="__RefHeading___Toc7940342_1051229030"/>
      <w:bookmarkStart w:id="205" w:name="_Toc75"/>
      <w:bookmarkEnd w:id="204"/>
      <w:r>
        <w:rPr/>
        <w:t>1</w:t>
      </w:r>
      <w:r>
        <w:rPr>
          <w:rtl w:val="true"/>
        </w:rPr>
        <w:t xml:space="preserve"> - </w:t>
      </w:r>
      <w:r>
        <w:rPr>
          <w:rtl w:val="true"/>
        </w:rPr>
        <w:t>حكم ما إذا كان في الوقت المشترك</w:t>
      </w:r>
      <w:bookmarkEnd w:id="205"/>
    </w:p>
    <w:p>
      <w:pPr>
        <w:pStyle w:val="BookText"/>
        <w:rPr/>
      </w:pPr>
      <w:r>
        <w:rPr>
          <w:rFonts w:ascii="Amiri" w:hAnsi="Amiri" w:eastAsia="Amiri" w:cs="Amiri"/>
          <w:color w:val="111111"/>
          <w:sz w:val="28"/>
          <w:sz w:val="28"/>
          <w:szCs w:val="28"/>
          <w:rtl w:val="true"/>
          <w:lang w:bidi="ar-SA"/>
        </w:rPr>
        <w:t xml:space="preserve">إذا شكّ في أنّ الركعة التي بيده آخر الظهر ، أو أ نّه أتمّها وهذه أوّل العصر ، فإن كان في الوقت المشترك أتمّها ظهراً ، وصحّت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يأتِ بعنوان العصر بشيء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أتى بعنوانه بذكر وقراءة ، فلا إشكال في عدم الإبطال ، إنّما الكلام في وجوب الرجوع والإتيان بهما بعنوان الظهر ، أو يكتفى بهما ؟ </w:t>
      </w:r>
    </w:p>
    <w:p>
      <w:pPr>
        <w:pStyle w:val="BookText"/>
        <w:rPr/>
      </w:pPr>
      <w:r>
        <w:rPr>
          <w:rFonts w:ascii="Amiri" w:hAnsi="Amiri" w:eastAsia="Amiri" w:cs="Amiri"/>
          <w:color w:val="111111"/>
          <w:sz w:val="28"/>
          <w:sz w:val="28"/>
          <w:szCs w:val="28"/>
          <w:rtl w:val="true"/>
          <w:lang w:bidi="ar-SA"/>
        </w:rPr>
        <w:t xml:space="preserve">لا يبعد الاكتفاء ؛ إمّا لأجل أنّ المأتيّ به بعنوان العصر من باب الخطأ في التطبيق ؛ لأنّ المصلّي إذا دخل في صلاة الظهر ، ففي ارتكازه إتمام المأمور به فعلاً ، وتوهّم كونه عصراً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من باب الأدلّة الخاصّة ، كصحيحة عبداللّه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نسيت أ نّي في صلاة فريضة ؛ حتّى ركعت وأنا أنويها تطوّعاً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التي قمت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قمت وأنت تنوي فريضة ثمّ دخلك الشكّ ، فأنت في الفريضة ، وإن كنت دخلت في نافلة فنويتها فريضة ، فأنت في النافلة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قام في الصلاة المكتوبة ، فسها فظنّ أ نّها نافلة ، أو قام في النافلة فظنّ أ نّها مكتوبة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على ما افتتح الصلاة عليه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أبي يعفور قريب من الاُولى ، وزاد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يحسب للعبد من صلاته التي ابتدأ في أوّل صلاته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تكون تلك الروايات على طبق القاعدة المتقدّمة </w:t>
      </w:r>
      <w:r>
        <w:rPr>
          <w:rFonts w:eastAsia="Amiri" w:cs="Amiri" w:ascii="Amiri" w:hAnsi="Amiri"/>
          <w:color w:val="111111"/>
          <w:sz w:val="28"/>
          <w:szCs w:val="28"/>
          <w:rtl w:val="true"/>
          <w:lang w:bidi="ar-SA"/>
        </w:rPr>
        <w:t xml:space="preserve">. </w:t>
      </w:r>
      <w:bookmarkStart w:id="206" w:name="pg8101_60507"/>
    </w:p>
    <w:p>
      <w:pPr>
        <w:pStyle w:val="BookText"/>
        <w:rPr/>
      </w:pPr>
      <w:bookmarkEnd w:id="206"/>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أنّ الصلاة على ما افتتح بها ، وأنّ قصد الخلاف نسياناً غير مضرّ ، وبإلغاء الخصوصية بل بإفادة القاعدة الكلّية يفهم حال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حال ما إذا ورد المصلّي في الركوع والسجود ، أو صلّى ركعة أو ركعتين ، فيحسب ما صلّى على ما افتتح عليه </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7940344_1051229030"/>
      <w:bookmarkStart w:id="208" w:name="_Toc76"/>
      <w:bookmarkEnd w:id="207"/>
      <w:r>
        <w:rPr/>
        <w:t>2</w:t>
      </w:r>
      <w:r>
        <w:rPr>
          <w:rtl w:val="true"/>
        </w:rPr>
        <w:t xml:space="preserve"> - </w:t>
      </w:r>
      <w:r>
        <w:rPr>
          <w:rtl w:val="true"/>
        </w:rPr>
        <w:t>حكم ما إذا كان في الوقت المختصّ بالعصر</w:t>
      </w:r>
      <w:bookmarkEnd w:id="208"/>
    </w:p>
    <w:p>
      <w:pPr>
        <w:pStyle w:val="BookText"/>
        <w:rPr/>
      </w:pPr>
      <w:r>
        <w:rPr>
          <w:rFonts w:ascii="Amiri" w:hAnsi="Amiri" w:eastAsia="Amiri" w:cs="Amiri"/>
          <w:color w:val="111111"/>
          <w:sz w:val="28"/>
          <w:sz w:val="28"/>
          <w:szCs w:val="28"/>
          <w:rtl w:val="true"/>
          <w:lang w:bidi="ar-SA"/>
        </w:rPr>
        <w:t xml:space="preserve">وأمّا إذا كان في الوقت المختصّ بالعصر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من الوقت بمقدار لو أتمّ ما في يده ظهراً ، يدرك ركعة من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بمقدار لو رفع اليد عنها أدرك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بمقدار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الشكّ في إتيان الظهر في الوقت المختصّ بالعصر ممّا لا يعتنى به ويكون كالشكّ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فيما إذا لم يصلّ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عليه رفع اليد عمّا في يده ، والشروع في العصر في الفرضين الأوّلين ؛ لأنّ صلاة الظهر محكومة بالإتيان ، ولا يجوز صرف الوقت المختصّ بالعصر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تصحيح ما بيده عصراً ؛ لما تقدّم في بعض المسائل المتقدّمة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الفرض الأخير ، فيأتي فيه ما تقدّم في بعض المسائل السابقة</w:t>
      </w:r>
      <w:r>
        <w:rPr>
          <w:rStyle w:val="FootnoteAnchor"/>
          <w:rtl w:val="true"/>
        </w:rPr>
        <w:footnoteReference w:id="270"/>
      </w:r>
      <w:r>
        <w:rPr>
          <w:rFonts w:ascii="Amiri" w:hAnsi="Amiri" w:eastAsia="Amiri" w:cs="Amiri"/>
          <w:color w:val="111111"/>
          <w:sz w:val="28"/>
          <w:sz w:val="28"/>
          <w:szCs w:val="28"/>
          <w:rtl w:val="true"/>
          <w:lang w:bidi="ar-SA"/>
        </w:rPr>
        <w:t xml:space="preserve">من احتمال لزوم الموافقة الاحتمالية لصلاة العصر ، فيجب عليه إتمامها عصراً ، والقضاء خارج الوقت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الشكّ بعد الوقت والشكّ بعد تجاوز المحلّ ، لا تشمل ما إذا علم إجمالاً أنّ ما بيده ظهر أو عصر ، وإنّما موردها ما إذا شكّ في إتيان الظهر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أنّ ما بيده ظهر أو عصر بعد وقت الظهر ، شكّ في إتيان الظهر وعدمه ، فيشمله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فشكّك ليس بشيء</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الشاكّ في أنّ ما بيده ظهر أو عصر ، شاكّ في إتيان الظهر وعدمه ، وشاكّ في الشروع في العصر وعدمه ، فلا مجال لإنكار شمول أدلّة الشكوك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بعدم شمولها ، فمع إمكان إتمام ما في يده ظهراً وإدراك ركعة من العصر ، يجب عليه جعلها ظهراً وإتيان العصر ؛ لأ نّه في ذلك يقطع بإتيان الصلاتين ورفع اشتغال الذمّة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قصور الوقت عن ذلك ، فإن كان الوقت بمقدار لو رفع اليد عمّا بيده يدرك ركعة من العصر ، يجب ذلك ، ولا يجوز جعله ظهراً ؛ لأنّ الوقت مختصّ بالعصر ، فمع العلم بعدم إتيان الظهر لا بدّ من الإتيان بالعصر ، ومع قصوره عن ذلك أيضاً يأتي فيه ما سبق </w:t>
      </w:r>
      <w:r>
        <w:rPr>
          <w:rFonts w:eastAsia="Amiri" w:cs="Amiri" w:ascii="Amiri" w:hAnsi="Amiri"/>
          <w:color w:val="111111"/>
          <w:sz w:val="28"/>
          <w:szCs w:val="28"/>
          <w:rtl w:val="true"/>
          <w:lang w:bidi="ar-SA"/>
        </w:rPr>
        <w:t xml:space="preserve">. </w:t>
      </w:r>
      <w:bookmarkStart w:id="209" w:name="pg8101_60509"/>
    </w:p>
    <w:p>
      <w:pPr>
        <w:pStyle w:val="Heading3"/>
        <w:numPr>
          <w:ilvl w:val="2"/>
          <w:numId w:val="1"/>
        </w:numPr>
        <w:rPr/>
      </w:pPr>
      <w:bookmarkStart w:id="210" w:name="__RefHeading___Toc7940346_1051229030"/>
      <w:bookmarkStart w:id="211" w:name="_Toc77"/>
      <w:bookmarkEnd w:id="209"/>
      <w:bookmarkEnd w:id="210"/>
      <w:r>
        <w:rPr>
          <w:rtl w:val="true"/>
        </w:rPr>
        <w:t>المسألة السادسة</w:t>
      </w:r>
      <w:r>
        <w:rPr>
          <w:rtl w:val="true"/>
        </w:rPr>
        <w:t xml:space="preserve">: </w:t>
      </w:r>
      <w:r>
        <w:rPr>
          <w:rtl w:val="true"/>
        </w:rPr>
        <w:t>في الشكّ بين الثلاث والأربع في العشاء وتذكّر نسيان المغرب</w:t>
      </w:r>
      <w:bookmarkEnd w:id="211"/>
    </w:p>
    <w:p>
      <w:pPr>
        <w:pStyle w:val="BookText"/>
        <w:rPr/>
      </w:pPr>
      <w:r>
        <w:rPr>
          <w:rFonts w:ascii="Amiri" w:hAnsi="Amiri" w:eastAsia="Amiri" w:cs="Amiri"/>
          <w:color w:val="111111"/>
          <w:sz w:val="28"/>
          <w:sz w:val="28"/>
          <w:szCs w:val="28"/>
          <w:rtl w:val="true"/>
          <w:lang w:bidi="ar-SA"/>
        </w:rPr>
        <w:t xml:space="preserve">إذا شكّ في العشاء بين الثلاث والأربع ، فتذكّر أ نّه سها عن المغرب صحّت عشاءً في الوقت المختصّ بالعشاء ، ويقضي المغرب خارج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الوقت المشترك ، فهل تصحّ مغرباً ؛ أي يجب العدول إلى المغرب ، ويبني على الثلاث ، وتتمّ صلاته ؟</w:t>
      </w:r>
    </w:p>
    <w:p>
      <w:pPr>
        <w:pStyle w:val="BookText"/>
        <w:rPr/>
      </w:pPr>
      <w:r>
        <w:rPr>
          <w:rFonts w:ascii="Amiri" w:hAnsi="Amiri" w:eastAsia="Amiri" w:cs="Amiri"/>
          <w:color w:val="111111"/>
          <w:sz w:val="28"/>
          <w:sz w:val="28"/>
          <w:szCs w:val="28"/>
          <w:rtl w:val="true"/>
          <w:lang w:bidi="ar-SA"/>
        </w:rPr>
        <w:t>أو تصحّ عشاءً مطلقاً ، ويبني على الأربع ويتمّها ، ويأتي بالمغرب بعدها ؟</w:t>
      </w:r>
    </w:p>
    <w:p>
      <w:pPr>
        <w:pStyle w:val="BookText"/>
        <w:rPr/>
      </w:pPr>
      <w:r>
        <w:rPr>
          <w:rFonts w:ascii="Amiri" w:hAnsi="Amiri" w:eastAsia="Amiri" w:cs="Amiri"/>
          <w:color w:val="111111"/>
          <w:sz w:val="28"/>
          <w:sz w:val="28"/>
          <w:szCs w:val="28"/>
          <w:rtl w:val="true"/>
          <w:lang w:bidi="ar-SA"/>
        </w:rPr>
        <w:t>أو يبطل ما في يده ، ويأتي بهما ؟</w:t>
      </w:r>
    </w:p>
    <w:p>
      <w:pPr>
        <w:pStyle w:val="BookText"/>
        <w:rPr/>
      </w:pPr>
      <w:r>
        <w:rPr>
          <w:rFonts w:ascii="Amiri" w:hAnsi="Amiri" w:eastAsia="Amiri" w:cs="Amiri"/>
          <w:color w:val="111111"/>
          <w:sz w:val="28"/>
          <w:sz w:val="28"/>
          <w:szCs w:val="28"/>
          <w:rtl w:val="true"/>
          <w:lang w:bidi="ar-SA"/>
        </w:rPr>
        <w:t>أو يفصّل بين عروض الشكّ بعد الدخول في الركوع ، فتصحّ عشاءً ، أو قبله ، فيبطل على إشكال ؟</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احتمال صحّة العدول إلى المغرب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أدلّة بطلان الشكّ في المغرب ، هو عروض الشكّ على المغرب ، وفي المقام عرضت المغربية على المشكوك فيه ، فلا دلالة لها على بطلانها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أدلّة البناء على الأكثر ، غير شاملة لهذه الصلاة ؛ لأ نّها مختصّة بالرباعية ، ومقتضى الأصل هو البناء على الأقلّ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غاية السقوط ؛ لظهور أدلّة إبطال الشكّ للمغرب ، في أنّ المعتبر في </w:t>
      </w:r>
    </w:p>
    <w:p>
      <w:pPr>
        <w:pStyle w:val="BookText"/>
        <w:rPr/>
      </w:pPr>
      <w:r>
        <w:rPr>
          <w:rFonts w:ascii="IRNazanin" w:hAnsi="IRNazanin" w:eastAsia="IRNazanin"/>
          <w:color w:val="111111"/>
          <w:sz w:val="28"/>
          <w:sz w:val="28"/>
          <w:szCs w:val="28"/>
          <w:rtl w:val="true"/>
          <w:lang w:bidi="fa-IR"/>
        </w:rPr>
        <w:t xml:space="preserve">المغرب هو حفظ ركعاته ؛ وأنّ المطلوب هو الاستيقان بالركعات ، ففي 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يصلّي ؛ ولا يدري واحدة صلّى أم ثنتين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 حتّى يستيقن أنّه قد أتمّ ، وفي الجمعة ، وفي المغرب ، وفي الصلاة في السفر</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صحيحته الاُخرى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السهو في المغرب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حتّى يحفظ ؛ إنّها ليست مثل الشفع</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الغضّ عنه لا مجال للأصل في إحراز الركعات ؛ لأنّ أصالة عدم الإتيان بالركعة ، أثرها العقلي أنّ مع ضمّ ركعة اُخرى مثلاً تتمّ الصلاة ، وفيما نحن فيه أصالة عدم الرابعة لا تثبت كون المغرب ثلاث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زيادة ونقيصة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صحّتها عشاءً ، فتبتني على أمرين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 .»</w:t>
      </w:r>
      <w:r>
        <w:rPr>
          <w:rStyle w:val="FootnoteAnchor"/>
          <w:rtl w:val="true"/>
        </w:rPr>
        <w:footnoteReference w:id="275"/>
      </w:r>
      <w:r>
        <w:rPr>
          <w:rFonts w:ascii="Amiri" w:hAnsi="Amiri" w:eastAsia="Amiri" w:cs="Amiri"/>
          <w:color w:val="111111"/>
          <w:sz w:val="28"/>
          <w:sz w:val="28"/>
          <w:szCs w:val="28"/>
          <w:rtl w:val="true"/>
          <w:lang w:bidi="ar-SA"/>
        </w:rPr>
        <w:t xml:space="preserve">لرفع الترتيب الغير العمدي في مثل المقام ، وهو الأصحّ ؛ لما عرفت سابقاً </w:t>
      </w:r>
      <w:r>
        <w:rPr>
          <w:rStyle w:val="FootnoteAnchor"/>
          <w:rtl w:val="true"/>
        </w:rPr>
        <w:footnoteReference w:id="276"/>
      </w:r>
      <w:r>
        <w:rPr>
          <w:rFonts w:ascii="Amiri" w:hAnsi="Amiri" w:eastAsia="Amiri" w:cs="Amiri"/>
          <w:color w:val="111111"/>
          <w:sz w:val="28"/>
          <w:sz w:val="28"/>
          <w:szCs w:val="28"/>
          <w:rtl w:val="true"/>
          <w:lang w:bidi="ar-SA"/>
        </w:rPr>
        <w:t xml:space="preserve">من ظهور أدلّة الترتيب في أ نّه معتبر بين ماهية الصلاتين لا أجزائهما ، ومحلّ تحصيله أوّل الشروع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أدلّة </w:t>
      </w:r>
    </w:p>
    <w:p>
      <w:pPr>
        <w:pStyle w:val="BookText"/>
        <w:rPr/>
      </w:pPr>
      <w:r>
        <w:rPr>
          <w:rFonts w:ascii="Amiri" w:hAnsi="Amiri" w:eastAsia="Amiri" w:cs="Amiri"/>
          <w:color w:val="111111"/>
          <w:sz w:val="28"/>
          <w:sz w:val="28"/>
          <w:szCs w:val="28"/>
          <w:rtl w:val="true"/>
          <w:lang w:bidi="ar-SA"/>
        </w:rPr>
        <w:t xml:space="preserve">العدول لقلنا بسقوط الترتيب بمجرّد الشروع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أدلّة العدول إلى السابقة لمثل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العدول مفسداً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مصبّ أدلّة العدول إنّما هو تصحيح الصلاة وعلاجها ، فلا تشمل ما يلزم من العدول الإفساد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تمامية المقدّمتين تتمّ صحّة ما بيده عشاءً ، فيبني على الأربع ويتمّ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المقدّمة الثانية لا تخلو من إشكال ؛ لأنّ ظاهر أدلّة العدول أنّ موضوعه هو عدم الإتيان بالسابقة ، مع الشروع في اللاحقة ، وبقاء محلّ العدول بحسب الواقع ؛ من غير لحاظ العوارض والطوارئ الخارجية ، ألا ترى أ نّه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الشروع في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بأ نّه سها عن المغرب ، وكان يصلّي في ملك الغير بإذنه ، ولم يأذن له في صلاة المغرب ، لما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العدول لا تشمل ما يلزم منه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فساد الصلاة في الملك الغير المأذون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أدلّة العدول لا تنظر إلى الطوارئ ، فمع عدم إمكان تصحيح الصلاة بالعدول ، لا بدّ من رفع اليد عن الصلاة ، لا إتمام العشاء ورفع اليد عن أدلّة العدول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أيضاً ، لمّا كانت أدلّة العدول غير ناظرة إلى الطوارئ ولزوم الفساد في بعض الأحيان ، فلا محالة مع لزوم ذلك لا بدّ من رفع اليد عن الصلاة ، لا البناء على الأربع بدعوى عدم شمول أدلّة العدول لما يلزم من تطبيقها الفساد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العدول أمر واقعي ؛ تعلّق علم المكلّف به أو لا ، صار موجباً للفساد أو لا ، غاية الأمر مع لزوم الفساد لا يمكن العدول ، ولا تصحيح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مع البناء على قصور أدلّة العدول عمّا نحن فيه ، لا إشكال في جواز البناء على الأكثر وتتميمها عشاءً من جهة الترتيب ؛ لما مرّ سابقاً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بين ما قبل الركوع وما بعده</w:t>
      </w:r>
      <w:r>
        <w:rPr>
          <w:rStyle w:val="FootnoteAnchor"/>
          <w:rtl w:val="true"/>
        </w:rPr>
        <w:footnoteReference w:id="278"/>
      </w:r>
      <w:r>
        <w:rPr>
          <w:rFonts w:ascii="Amiri" w:hAnsi="Amiri" w:eastAsia="Amiri" w:cs="Amiri"/>
          <w:color w:val="111111"/>
          <w:sz w:val="28"/>
          <w:sz w:val="28"/>
          <w:szCs w:val="28"/>
          <w:rtl w:val="true"/>
          <w:lang w:bidi="ar-SA"/>
        </w:rPr>
        <w:t xml:space="preserve">غير وجيه ؛ لأ نّه مع قصور أدلّة العدول عمّا يلزم منه الفساد ، لا إشكال في صحّتها عشاءً ؛ قبل الركوع أو بعده ، ومع عدم قصورها لا يمكن تصحيحها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البناء على الأكثر تحرز موضوع عدم صحّة العدول ؛ لأنّ موضوعه هو كون ما بيده الركعة الرابعة ، فمع الشكّ في الثلاث والأربع والبناء على الأربع ، يحرز موضوعه ، فمع عدم العدول تصحّ عشاءً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 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أدلّة البناء على الأربع ليس إلاّ البناء الحيثي ، لا إحراز الأربع مطلقاً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مفاد أدلّتها هو جعل الطريق إلى الأربع ، ولا التعبّد بتحقّق الأربع مطلقاً ؛ بحيث يترتّب عليه جميع الآثار ، بل مفادها هو البناء العملي على الأربع من حيث العلاج فقط ، وهذا مرادنا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الحيثي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موثّقة عمّار ،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 أجمع لك السهو كلّه في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شككت فخذ بالأكثر ، فإذا سلّمت فأتمّ ما ظننت أ نّك قد نقصت</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روايته الاُخرى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اُعلّمك شيئاً إذا فعلته ثمّ ذكرت أ نّك أتممت أو نقصت ، لم يكن عليك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سهوت فابنِ على الأكثر ، فإذا فرغت وسلّمت فقم فصلّ ما ظننت أ نّك نقصت </w:t>
      </w:r>
      <w:r>
        <w:rPr>
          <w:rFonts w:eastAsia="Amiri" w:cs="Amiri" w:ascii="Amiri" w:hAnsi="Amiri"/>
          <w:color w:val="111111"/>
          <w:sz w:val="28"/>
          <w:szCs w:val="28"/>
          <w:rtl w:val="true"/>
          <w:lang w:bidi="ar-SA"/>
        </w:rPr>
        <w:t>. . .»</w:t>
      </w:r>
      <w:r>
        <w:rPr>
          <w:rStyle w:val="FootnoteAnchor"/>
          <w:rtl w:val="true"/>
        </w:rPr>
        <w:footnoteReference w:id="280"/>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مفادهما ليس إلاّ البناء العملي على تصحيح الصلاة ، وأمّا التعبّد بالأربع فلا ، ومعه لا يجوز ترتيب آثار عدم صحّة العدول المترتّبة على تجاوز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لو فرض ثبوت جميع آثار الأربع بها ، للزم جواز العدول إلى المغرب قبل الركوع ؛ لأنّ موضوعه هو الدخول في صلاة العشاء ، وعدم التجاوز عن محلّ العدول ؛ أي عدم الدخول في ركوع الركعة الرابعة ، ومع البناء على الأربع قبل إتيان الركوع وجداناً ، يحرز موضوع العدول ، فلا بدّ من التفصيل بينهما بصحّتها عشاءً بعد الركوع ، وجواز العدول إلى المغرب وصحّتها مغرباً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إذا عرض قبل الدخول في الركوع ، يكون موضوع العدول محرزاً ، ولمّا كان العدول موجباً للفساد تصير المسألة محلّ الإشكال ، فلا بدّ من الاحتياط ، وأمّا بعد الركوع فتكون من الشبهة المصداقية لأدلّة العدول ، فلا يجوز التمسّك بها ، فلا بأس بالرجوع إلى أدلّة البناء على الأكثر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الدخول في ركوع الركعة الرابعة أو استصحاب بقاء الركعة الثالثة ، يحرز موضوع جواز العدول ، ويخرج عن الشبهة المصداقية بالتعبّد ، فلو تمّ جواز البناء على الأكثر معه يتمّ فيما نحن فيه أيضاً </w:t>
      </w:r>
      <w:r>
        <w:rPr>
          <w:rFonts w:eastAsia="Amiri" w:cs="Amiri" w:ascii="Amiri" w:hAnsi="Amiri"/>
          <w:color w:val="111111"/>
          <w:sz w:val="28"/>
          <w:szCs w:val="28"/>
          <w:rtl w:val="true"/>
          <w:lang w:bidi="ar-SA"/>
        </w:rPr>
        <w:t xml:space="preserve">. </w:t>
      </w:r>
      <w:bookmarkStart w:id="212" w:name="pg8101_60514"/>
    </w:p>
    <w:p>
      <w:pPr>
        <w:pStyle w:val="BookText"/>
        <w:rPr/>
      </w:pPr>
      <w:bookmarkEnd w:id="212"/>
      <w:r>
        <w:rPr>
          <w:rFonts w:ascii="Amiri" w:hAnsi="Amiri" w:eastAsia="Amiri" w:cs="Amiri"/>
          <w:color w:val="111111"/>
          <w:sz w:val="28"/>
          <w:sz w:val="28"/>
          <w:szCs w:val="28"/>
          <w:rtl w:val="true"/>
          <w:lang w:bidi="ar-SA"/>
        </w:rPr>
        <w:t xml:space="preserve">لكن يشكل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إمّا أن يكون في الركعة الثالثة ، فيلزم العدول ، أو الرابعة ، فتكون الصلاة تامّة غير محتاجة إلى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العلم التفصيلي بعدم جواز البناء على الأربع ولغوية صلاة الاحتياط ، فلا يمكن إحراز صحّة الصلاة مغرباً ولا عشاءً ، فلا بدّ من الحكم بالبطلان ورفع اليد عنها واستئناف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بانحلاله بالأصل فلا يمكن أيضاً تصحيح الصلاة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7940348_1051229030"/>
      <w:bookmarkStart w:id="214" w:name="_Toc78"/>
      <w:bookmarkEnd w:id="213"/>
      <w:r>
        <w:rPr>
          <w:rtl w:val="true"/>
        </w:rPr>
        <w:t>المسألة السابعة</w:t>
      </w:r>
      <w:r>
        <w:rPr>
          <w:rtl w:val="true"/>
        </w:rPr>
        <w:t xml:space="preserve">: </w:t>
      </w:r>
      <w:r>
        <w:rPr>
          <w:rtl w:val="true"/>
        </w:rPr>
        <w:t>فيما إذا تذكّر في أثناء العصر أ نّه ترك ركعة من الظهر</w:t>
      </w:r>
      <w:bookmarkEnd w:id="214"/>
    </w:p>
    <w:p>
      <w:pPr>
        <w:pStyle w:val="Heading4"/>
        <w:numPr>
          <w:ilvl w:val="3"/>
          <w:numId w:val="1"/>
        </w:numPr>
        <w:rPr/>
      </w:pPr>
      <w:bookmarkStart w:id="215" w:name="__RefHeading___Toc7940350_1051229030"/>
      <w:bookmarkStart w:id="216" w:name="_Toc79"/>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إذا تذكّر في أثناء العصر أ نّه ترك ركعة من الظهر ، فالظاهر صحّة الصلاتين وجواز تتميم صلاة الظهر ورفع اليد عن العصر، وتتميم العصر وإتيان الظهر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صحّتهما ، فلعدم الدليل على إبطال ما اُتي به بعنوان العصر للظهر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أدلّة إبطال الزيادة في الصلاة مطلقاً </w:t>
      </w:r>
      <w:r>
        <w:rPr>
          <w:rStyle w:val="FootnoteAnchor"/>
          <w:rtl w:val="true"/>
        </w:rPr>
        <w:footnoteReference w:id="281"/>
      </w:r>
      <w:r>
        <w:rPr>
          <w:rFonts w:ascii="Amiri" w:hAnsi="Amiri" w:eastAsia="Amiri" w:cs="Amiri"/>
          <w:color w:val="111111"/>
          <w:sz w:val="28"/>
          <w:sz w:val="28"/>
          <w:szCs w:val="28"/>
          <w:rtl w:val="true"/>
          <w:lang w:bidi="ar-SA"/>
        </w:rPr>
        <w:t>أو ركعة</w:t>
      </w:r>
      <w:r>
        <w:rPr>
          <w:rStyle w:val="FootnoteAnchor"/>
          <w:rtl w:val="true"/>
        </w:rPr>
        <w:footnoteReference w:id="282"/>
      </w:r>
      <w:r>
        <w:rPr>
          <w:rFonts w:ascii="Amiri" w:hAnsi="Amiri" w:eastAsia="Amiri" w:cs="Amiri"/>
          <w:color w:val="111111"/>
          <w:sz w:val="28"/>
          <w:sz w:val="28"/>
          <w:szCs w:val="28"/>
          <w:rtl w:val="true"/>
          <w:lang w:bidi="ar-SA"/>
        </w:rPr>
        <w:t xml:space="preserve">فلأنّ الزيادة في الصلاة </w:t>
      </w:r>
    </w:p>
    <w:p>
      <w:pPr>
        <w:pStyle w:val="BookText"/>
        <w:rPr/>
      </w:pP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إتيان شيء في الصلاة بعنوان جزئيته ، وأمّا إتيان شيء في خلال الصلاة لا بعنوانها فلا يعدّ زيادةً ، فلا يعدّ السعال وتسوية العمامة وأمثالهما في خلالها زيادةً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التكتّف عملاً فيها </w:t>
      </w:r>
      <w:r>
        <w:rPr>
          <w:rStyle w:val="FootnoteAnchor"/>
          <w:rtl w:val="true"/>
        </w:rPr>
        <w:footnoteReference w:id="283"/>
      </w:r>
      <w:r>
        <w:rPr>
          <w:rFonts w:ascii="Amiri" w:hAnsi="Amiri" w:eastAsia="Amiri" w:cs="Amiri"/>
          <w:color w:val="111111"/>
          <w:sz w:val="28"/>
          <w:sz w:val="28"/>
          <w:szCs w:val="28"/>
          <w:rtl w:val="true"/>
          <w:lang w:bidi="ar-SA"/>
        </w:rPr>
        <w:t xml:space="preserve">لأجل إتيانه فيها بعنوان آداب الصلاة ودخالته فيها ، ولهذا لو وضع يده على يده بلا قصد كونه للصلاة ، فلا يعدّ عملاً فيها ، ولا يكون مبطلاً بلا إشكال ، فالأفعال التي أتى بها بقصد صلاة العصر ، لا تعدّ زيادةً في الظهر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يبعد أن تكون حسنة بقاسم بن عروة</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في المكتوبة بشيء من العزائم ؛ فإنّ السجود زيادة في المكتوبة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بسجدة العزيمة لا يعدّ زيادة في المكتوبة ، لا بدّ من توجيهها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بالالتزام بأنّ التعليل تعبّدي ؛ لإفهام أنّ كلّ ما اُتي به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بقصدها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زيادة تعبّدية منهيّاً عنها ، وهو بهذا العموم لا يمكن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وإيراد التخصيص عليه مستهجن ؛ لكثرة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السجدة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هي شبيهة بأجزاء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بها ولو بغير نيّتها عدّت 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 السجود والركوع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 لسجدة العزيمة خصوصية ؛ لأجل أنّ الإتيان بالعزيمة في الصلاة لمّا كان بقصد الجزئية ، تكون سجدتها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تابعة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كالجزء ، فلذا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زيادة في المكتوبة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إنّ المكتوبة اُخذت بالنسبة إلى سجود العزيمة أو مطلق السجدة أو مع الركوع والركعة ، بشرط لا ، ولهذا يكون الإتيان بها زيادة فيها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احتمالات وتخرّصات ؛ لا يمكن أن يعوّل على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على الاحتمال الأخير تكون السجدة من قبيل النقيصة لا الزيادة ؛ وإن عوّل عليه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يرَ احتماله في كلام أحد</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ولعلّ عدم الاحتمال لأجل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لو اُخذت الصلاة بشرط لا بالنسبة إلى شيء ، يكون الإتيان به من قبيل النقيصة لا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يمكن الالتزام </w:t>
      </w:r>
    </w:p>
    <w:p>
      <w:pPr>
        <w:pStyle w:val="BookText"/>
        <w:rPr/>
      </w:pPr>
      <w:r>
        <w:rPr>
          <w:rFonts w:ascii="Amiri" w:hAnsi="Amiri" w:eastAsia="Amiri" w:cs="Amiri"/>
          <w:color w:val="111111"/>
          <w:sz w:val="28"/>
          <w:sz w:val="28"/>
          <w:szCs w:val="28"/>
          <w:rtl w:val="true"/>
          <w:lang w:bidi="ar-SA"/>
        </w:rPr>
        <w:t xml:space="preserve">بإبطال صلاة الظهر مع إتيان العصر في خلالها تمسّكاً بهذه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اعتبار الموالاة في الصلاة ؛ وأنّ المعتبر فيها هيئة اتّصالية وحدانية بحسب ارتكاز المتشرّعة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إقحام الصلاة في الصلاة ، موجب لمحو الصورة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الصلاة الثانية إذا اُتي منها بركعة أو أزيد ، يصير من قبيل الفعل الكثير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فشيء منها ممّا لا يمكن الاعتماد عليه ؛ فإنّ اعتبار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لزوم عدم الفصل بين أجزاء الصلاة ولو بذكر وفعل 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ارتكاز المتشرّعة غير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كون الصلاة ماحية لصورة الصلاة الاُولى ، في محلّ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بعضهم الجزم بعدم المحو</w:t>
      </w:r>
      <w:r>
        <w:rPr>
          <w:rStyle w:val="FootnoteAnchor"/>
          <w:rtl w:val="true"/>
        </w:rPr>
        <w:footnoteReference w:id="290"/>
      </w:r>
      <w:r>
        <w:rPr>
          <w:rFonts w:ascii="Amiri" w:hAnsi="Amiri" w:eastAsia="Amiri" w:cs="Amiri"/>
          <w:color w:val="111111"/>
          <w:sz w:val="28"/>
          <w:sz w:val="28"/>
          <w:szCs w:val="28"/>
          <w:rtl w:val="true"/>
          <w:lang w:bidi="ar-SA"/>
        </w:rPr>
        <w:t xml:space="preserve">، ولا أقلّ من الشكّ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مبطلية الفعل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بمثل الأذكار والأفعال الصلاتية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 ؛ إذ لا دليل على شيء من ذلك سوى دعوى الإجماع</w:t>
      </w:r>
      <w:r>
        <w:rPr>
          <w:rStyle w:val="FootnoteAnchor"/>
          <w:rtl w:val="true"/>
        </w:rPr>
        <w:footnoteReference w:id="291"/>
      </w:r>
      <w:r>
        <w:rPr>
          <w:rFonts w:ascii="IRNazanin" w:hAnsi="IRNazanin" w:eastAsia="IRNazanin"/>
          <w:color w:val="111111"/>
          <w:sz w:val="28"/>
          <w:sz w:val="28"/>
          <w:szCs w:val="28"/>
          <w:rtl w:val="true"/>
          <w:lang w:bidi="fa-IR"/>
        </w:rPr>
        <w:t xml:space="preserve">وبعض الإشعارات </w:t>
      </w:r>
    </w:p>
    <w:p>
      <w:pPr>
        <w:pStyle w:val="BookText"/>
        <w:rPr/>
      </w:pPr>
      <w:r>
        <w:rPr>
          <w:rFonts w:ascii="Amiri" w:hAnsi="Amiri" w:eastAsia="Amiri" w:cs="Amiri"/>
          <w:color w:val="111111"/>
          <w:sz w:val="28"/>
          <w:sz w:val="28"/>
          <w:szCs w:val="28"/>
          <w:rtl w:val="true"/>
          <w:lang w:bidi="ar-SA"/>
        </w:rPr>
        <w:t>في الروايات</w:t>
      </w:r>
      <w:r>
        <w:rPr>
          <w:rStyle w:val="FootnoteAnchor"/>
          <w:rtl w:val="true"/>
        </w:rPr>
        <w:footnoteReference w:id="292"/>
      </w:r>
      <w:r>
        <w:rPr>
          <w:rFonts w:ascii="Amiri" w:hAnsi="Amiri" w:eastAsia="Amiri" w:cs="Amiri"/>
          <w:color w:val="111111"/>
          <w:sz w:val="28"/>
          <w:sz w:val="28"/>
          <w:szCs w:val="28"/>
          <w:rtl w:val="true"/>
          <w:lang w:bidi="ar-SA"/>
        </w:rPr>
        <w:t xml:space="preserve">وشيء منهما لا يمكن الاتّكال عليه لإثبات الإبطال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بطلان الصلاة بواسطة السلام العمدي ولو لصلاة اُخرى ؛ بدعوى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الانصراف</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ظاهره الانصراف عمّا اُتي بالسلام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السلام كلام آدمي عرفاً ونصّاً </w:t>
      </w:r>
      <w:r>
        <w:rPr>
          <w:rStyle w:val="FootnoteAnchor"/>
          <w:rtl w:val="true"/>
        </w:rPr>
        <w:footnoteReference w:id="294"/>
      </w:r>
      <w:r>
        <w:rPr>
          <w:rFonts w:ascii="Amiri" w:hAnsi="Amiri" w:eastAsia="Amiri" w:cs="Amiri"/>
          <w:color w:val="111111"/>
          <w:sz w:val="28"/>
          <w:sz w:val="28"/>
          <w:szCs w:val="28"/>
          <w:rtl w:val="true"/>
          <w:lang w:bidi="ar-SA"/>
        </w:rPr>
        <w:t xml:space="preserve">، وهو مع العمد مبطل بلا إشكال ، ومعه إن أتى بصلاة الظهر ، ثمّ سها عن ركعة وشرع في العصر ، لا يمكن تصحيح الصلاتين ؛ لأنّ الإتيان بتتمّة كلّ منهما لو سلّم عدم 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سلّم يكون ذلك انصرافاً ممّا سلّم لها ، ومبطلاً للاُخرى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يأتي بكلّ منهما إلى السلام ، ثمّ يسلّم سلاماً واحداً لهما </w:t>
      </w:r>
      <w:r>
        <w:rPr>
          <w:rFonts w:eastAsia="Amiri" w:cs="Amiri" w:ascii="Amiri" w:hAnsi="Amiri"/>
          <w:color w:val="111111"/>
          <w:sz w:val="28"/>
          <w:szCs w:val="28"/>
          <w:rtl w:val="true"/>
          <w:lang w:bidi="ar-SA"/>
        </w:rPr>
        <w:t xml:space="preserve">. </w:t>
      </w:r>
      <w:bookmarkStart w:id="217" w:name="pg8101_60519"/>
    </w:p>
    <w:p>
      <w:pPr>
        <w:pStyle w:val="BookText"/>
        <w:rPr/>
      </w:pPr>
      <w:bookmarkEnd w:id="217"/>
      <w:r>
        <w:rPr>
          <w:rFonts w:ascii="Amiri" w:hAnsi="Amiri" w:eastAsia="Amiri" w:cs="Amiri"/>
          <w:color w:val="111111"/>
          <w:sz w:val="28"/>
          <w:sz w:val="28"/>
          <w:szCs w:val="28"/>
          <w:rtl w:val="true"/>
          <w:lang w:bidi="ar-SA"/>
        </w:rPr>
        <w:t xml:space="preserve">أو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السلام لا يبطل الصلاة التي وصلت إلى حدّ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الثاني محلّ منع ، والأوّل محلّ إشكال ؛ لعدم الدليل على التداخل ، بل ظاهر الأدلّة أنّ لكلّ صلاة ابتداءً واختتاماً ؛ وأنّ أوّلها التكبير ، وآخرها التسليم</w:t>
      </w:r>
      <w:r>
        <w:rPr>
          <w:rStyle w:val="FootnoteAnchor"/>
          <w:rtl w:val="true"/>
        </w:rPr>
        <w:footnoteReference w:id="295"/>
      </w:r>
      <w:r>
        <w:rPr>
          <w:rFonts w:ascii="Amiri" w:hAnsi="Amiri" w:eastAsia="Amiri" w:cs="Amiri"/>
          <w:color w:val="111111"/>
          <w:sz w:val="28"/>
          <w:sz w:val="28"/>
          <w:szCs w:val="28"/>
          <w:rtl w:val="true"/>
          <w:lang w:bidi="ar-SA"/>
        </w:rPr>
        <w:t>، وإلاّ فلا بدّ من الالتزام بجواز تداخل الصلاتين بتمامهما،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الآتي ببعض العصر سهواً مع نقصان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أن يأتي بالظهر ، ويرفع اليد عن العصر ، ويتمّ صلاته ، ثمّ يأتي بالعصر رأساً ؛ لبطلانه بإتيان الظهر في خلاله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المنع عن مبطليته يكون سلامه مبطلاً له ، فيجب إعادته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أن يأتي ببقيّة العصر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إقحامه عمداً مبطل عدل بعد بطلانه إلى الظهر ، ثمّ يأتي بالعصر ، وإلاّ فبعد سلام العصر يبطل الظهر ، فيأتي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الترتيب بينهما فقد عرفت سابقاً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الترتيب بين الماهيتين ، ومحلّ تحصيله أوّل الصلاة ، ومع الدخول في العصر سهواً يسقط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7940352_1051229030"/>
      <w:bookmarkStart w:id="219" w:name="_Toc80"/>
      <w:bookmarkEnd w:id="218"/>
      <w:r>
        <w:rPr>
          <w:rtl w:val="true"/>
        </w:rPr>
        <w:t>مختار صاحب العروة في المقام وردّه</w:t>
      </w:r>
      <w:bookmarkEnd w:id="2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 السيّد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تتميم الظهر وإعادة </w:t>
      </w:r>
    </w:p>
    <w:p>
      <w:pPr>
        <w:pStyle w:val="BookText"/>
        <w:rPr/>
      </w:pPr>
      <w:r>
        <w:rPr>
          <w:rFonts w:ascii="Amiri" w:hAnsi="Amiri" w:eastAsia="Amiri" w:cs="Amiri"/>
          <w:color w:val="111111"/>
          <w:sz w:val="28"/>
          <w:sz w:val="28"/>
          <w:szCs w:val="28"/>
          <w:rtl w:val="true"/>
          <w:lang w:bidi="ar-SA"/>
        </w:rPr>
        <w:t>الصلاتين</w:t>
      </w:r>
      <w:r>
        <w:rPr>
          <w:rStyle w:val="FootnoteAnchor"/>
          <w:rtl w:val="true"/>
        </w:rPr>
        <w:footnoteReference w:id="298"/>
      </w:r>
      <w:r>
        <w:rPr>
          <w:rFonts w:ascii="Amiri" w:hAnsi="Amiri" w:eastAsia="Amiri" w:cs="Amiri"/>
          <w:color w:val="111111"/>
          <w:sz w:val="28"/>
          <w:sz w:val="28"/>
          <w:szCs w:val="28"/>
          <w:rtl w:val="true"/>
          <w:lang w:bidi="ar-SA"/>
        </w:rPr>
        <w:t xml:space="preserve">فإن كان مراده لزوم الإتيان بالوظيفتين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بلزوم الإتمام أو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تقدّم</w:t>
      </w:r>
      <w:r>
        <w:rPr>
          <w:rStyle w:val="FootnoteAnchor"/>
          <w:rtl w:val="true"/>
        </w:rPr>
        <w:footnoteReference w:id="299"/>
      </w:r>
      <w:r>
        <w:rPr>
          <w:rFonts w:ascii="Amiri" w:hAnsi="Amiri" w:eastAsia="Amiri" w:cs="Amiri"/>
          <w:color w:val="111111"/>
          <w:sz w:val="28"/>
          <w:sz w:val="28"/>
          <w:szCs w:val="28"/>
          <w:rtl w:val="true"/>
          <w:lang w:bidi="ar-SA"/>
        </w:rPr>
        <w:t xml:space="preserve">من أنّ الإعادة ليست واجبة ، بل الواجب هو إقامة الصلاة لدلوك الشمس إلى غسق الليل وهو معلوم بالتفصيل ، ولم يسقط أمر الظهر ولا يسقط إلاّ بإتيان فرد من الطبيعة صحيحاً ، والفرد الذي بيده إن دلّ دليل على بطلانه ، فلا بدّ من رفع اليد عنه وإتيان فرد آخر ، وإلاّ فيجب إتمامه ، ولا تلزم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عروض البطلان يحكم بصحّته ، ويتمّ وتصحّ صلاته ، فلا وجه للزوم الجمع بين الوظيفتين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الاحتياط بالإعادة فليست واجبة ؛ على ما تقدّم من عدم عروض البطلان وعدم الدليل عليه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احتمله ثانياً من العدول وجعل ما بيده رابعة الظهر</w:t>
      </w:r>
      <w:r>
        <w:rPr>
          <w:rStyle w:val="FootnoteAnchor"/>
          <w:rtl w:val="true"/>
        </w:rPr>
        <w:footnoteReference w:id="301"/>
      </w:r>
      <w:r>
        <w:rPr>
          <w:rFonts w:ascii="Amiri" w:hAnsi="Amiri" w:eastAsia="Amiri" w:cs="Amiri"/>
          <w:color w:val="111111"/>
          <w:sz w:val="28"/>
          <w:sz w:val="28"/>
          <w:szCs w:val="28"/>
          <w:rtl w:val="true"/>
          <w:lang w:bidi="ar-SA"/>
        </w:rPr>
        <w:t xml:space="preserve">، فهو مخالف للقاعدة ، وأدلّةُ العدول غير شاملة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الاتّكال فيه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لقصورها سنداً </w:t>
      </w:r>
      <w:r>
        <w:rPr>
          <w:rStyle w:val="FootnoteAnchor"/>
          <w:rtl w:val="true"/>
        </w:rPr>
        <w:footnoteReference w:id="302"/>
      </w:r>
      <w:r>
        <w:rPr>
          <w:rFonts w:ascii="IRNazanin" w:hAnsi="IRNazanin" w:eastAsia="IRNazanin"/>
          <w:color w:val="111111"/>
          <w:sz w:val="28"/>
          <w:sz w:val="28"/>
          <w:szCs w:val="28"/>
          <w:rtl w:val="true"/>
          <w:lang w:bidi="fa-IR"/>
        </w:rPr>
        <w:t xml:space="preserve">ودلالةً ،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الحميري عن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كتب إليه يسأله عن رجل صلّى الظهر ، ودخل في صلاة العصر ، فلمّا صلّى من صلاة العصر ركعتين استيقن أ نّه صلّى الظهر ركعتين ، كيف يصنع ؟ فأجاب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أحدث بين الصلاتين 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بها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 </w:t>
      </w:r>
      <w:bookmarkStart w:id="220" w:name="pg8101_60521"/>
    </w:p>
    <w:p>
      <w:pPr>
        <w:pStyle w:val="BookText"/>
        <w:rPr/>
      </w:pPr>
      <w:bookmarkEnd w:id="220"/>
      <w:r>
        <w:rPr>
          <w:rFonts w:ascii="Amiri" w:hAnsi="Amiri" w:eastAsia="Amiri" w:cs="Amiri"/>
          <w:color w:val="111111"/>
          <w:sz w:val="28"/>
          <w:sz w:val="28"/>
          <w:szCs w:val="28"/>
          <w:rtl w:val="true"/>
          <w:lang w:bidi="ar-SA"/>
        </w:rPr>
        <w:t>الصلاتين ، وإن لم يكن أحدث حادثة جعل الركعتين الأخيرتين تتمّة لصلاة الظهر ، وصلّى العصر بعد ذلك</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لقرب احتمال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لم يأتِ بهما ؛ ويكون المقصود رفع اليد عن الركعتين المأتيّتين للعصر ؛ وضمّ ركعتين اُخريين إلى الظهر ، ويأتي بالعصر بعده ، فتكون شاهدة على ما قوّينا من صحّة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على تعيّن إتمام الظهر وإتيان العصر بعد ذلك ، فمع فرض التسليم لا يمكن الاعتماد عليها ؛ للإرسال وعدم الجبر ، بل الإعراض على ما قيل</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7940354_1051229030"/>
      <w:bookmarkStart w:id="222" w:name="_Toc81"/>
      <w:bookmarkEnd w:id="221"/>
      <w:r>
        <w:rPr>
          <w:rtl w:val="true"/>
        </w:rPr>
        <w:t>مختار الشهيدين في المقام وردّه</w:t>
      </w:r>
      <w:bookmarkEnd w:id="222"/>
    </w:p>
    <w:p>
      <w:pPr>
        <w:pStyle w:val="BookText"/>
        <w:rPr/>
      </w:pPr>
      <w:r>
        <w:rPr>
          <w:rFonts w:ascii="Amiri" w:hAnsi="Amiri" w:eastAsia="Amiri" w:cs="Amiri"/>
          <w:color w:val="111111"/>
          <w:sz w:val="28"/>
          <w:sz w:val="28"/>
          <w:szCs w:val="28"/>
          <w:rtl w:val="true"/>
          <w:lang w:bidi="ar-SA"/>
        </w:rPr>
        <w:t>وأمّا ما عن</w:t>
      </w:r>
      <w:r>
        <w:rPr>
          <w:rStyle w:val="FootnoteAnchor"/>
          <w:rtl w:val="true"/>
        </w:rPr>
        <w:footnoteReference w:id="305"/>
      </w:r>
      <w:r>
        <w:rPr>
          <w:rFonts w:ascii="Amiri" w:hAnsi="Amiri" w:eastAsia="Amiri" w:cs="Amiri"/>
          <w:color w:val="111111"/>
          <w:sz w:val="28"/>
          <w:sz w:val="28"/>
          <w:szCs w:val="28"/>
          <w:rtl w:val="true"/>
          <w:lang w:bidi="ar-SA"/>
        </w:rPr>
        <w:t xml:space="preserve">الشهيدين من صيرورة ما أتى بعنوان العصر تتمّةً للظهر ، وأنّ التحريم بالثانية لم يقع في محلّه ، فيكون من الأذكار المطلقة الغير المخلّة بالاُولى ، وأ نّه لا يجب نيّة العدول إلى الاُولى ؛ لعدم انعقاد الثانية ، فهو بعدُ في الاُولى ، ويجب القصد إلى أ نّه في الاُولى من حين الذكر ؛ تمسّكاً بالرواية المتقدّمة، واستظهاراً منها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اللتان اُتيتا بعنوان العصر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ما لا يخفى ؛ لما تقدّم من عدم ظهورها في ذلك ؛ لو لم نقل بظهورها في </w:t>
      </w:r>
    </w:p>
    <w:p>
      <w:pPr>
        <w:pStyle w:val="BookText"/>
        <w:rPr/>
      </w:pPr>
      <w:r>
        <w:rPr>
          <w:rFonts w:ascii="Amiri" w:hAnsi="Amiri" w:eastAsia="Amiri" w:cs="Amiri"/>
          <w:color w:val="111111"/>
          <w:sz w:val="28"/>
          <w:sz w:val="28"/>
          <w:szCs w:val="28"/>
          <w:rtl w:val="true"/>
          <w:lang w:bidi="ar-SA"/>
        </w:rPr>
        <w:t xml:space="preserve">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على فرض التسليم لا يجوز الاتّكال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ذلك</w:t>
      </w:r>
      <w:r>
        <w:rPr>
          <w:rStyle w:val="FootnoteAnchor"/>
          <w:rtl w:val="true"/>
        </w:rPr>
        <w:footnoteReference w:id="307"/>
      </w:r>
      <w:r>
        <w:rPr>
          <w:rFonts w:ascii="IRNazanin" w:hAnsi="IRNazanin" w:eastAsia="IRNazanin"/>
          <w:color w:val="111111"/>
          <w:sz w:val="28"/>
          <w:sz w:val="28"/>
          <w:szCs w:val="28"/>
          <w:rtl w:val="true"/>
          <w:lang w:bidi="fa-IR"/>
        </w:rPr>
        <w:t xml:space="preserve">ببعض الروايات الدالّة على أنّ الصلاة على ما افتُتحت عليه ، كرواية ابن أبي يعفور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قام في صلاة فريضة ، فصلّى ركعة وهو ينوي أ نّها نافلة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التي قمت فيها 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وأنت تنوي الفريضة فدخلك الشكّ بعدُ ، فأنت في الفريضة على الذي قمت له ، وإن كنت دخلت فيها وأنت تنوي نافلة ، ثمّ إنّك تنويها بعد فريضة ، فأنت في النافلة ، وإنّما يحسب للعبد من صلاته التي ابتدأ في أوّل صلاته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تمسّكاً بالتعليل الذي في آخرها ، فقصد الخلاف غير مضرّ ، كزيادة التكبيرة سهواً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الغضّ عن ضعف سندها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يحسب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آخره ، ليس تعليلاً يمكن لأجله التعدّي إلى ما نحن فيه ، وأنّ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كمفاد غيرها ممّا وردت على هذا المنوال</w:t>
      </w:r>
      <w:r>
        <w:rPr>
          <w:rStyle w:val="FootnoteAnchor"/>
          <w:rtl w:val="true"/>
        </w:rPr>
        <w:footnoteReference w:id="310"/>
      </w:r>
      <w:r>
        <w:rPr>
          <w:rFonts w:ascii="Amiri" w:hAnsi="Amiri" w:eastAsia="Amiri" w:cs="Amiri"/>
          <w:color w:val="111111"/>
          <w:sz w:val="28"/>
          <w:sz w:val="28"/>
          <w:szCs w:val="28"/>
          <w:rtl w:val="true"/>
          <w:lang w:bidi="ar-SA"/>
        </w:rPr>
        <w:t xml:space="preserve">أنّ المشتغل بالفريضة أو النافلة إذا سها في البين ؛ وتوهّم أ نّه في غير ما اشتغل به ، يكون على ما افتتح الصلاة عليه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ذلك موافقاً للقاعدة ، كما أشرنا إليه</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المشتغل بعمل تكون إرادته الارتكازية باقية في النفس لتتميمه ، وإذا غفل ونوى غيره تكون تلك الإرادة الارتكازية باقية ، ويكون قصد الخلاف من باب الخطأ في التطبيق ، وهذا بخلاف ما إذا توهّم تمام العمل ، وسلّم على الركعتين ، وشرع في صلاة اُخرى ، فإنّ استئناف عمل مستقلّ يمحو الإرادة المرتكزة من النفس ، فلا يكون احتسابه لما قام له على وفق القاعدة ، ولا يجوز الاتّكال على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موضوع آخر موافق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لتسرية الحكم إلى غير موردها </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8101_60525"/>
      <w:bookmarkStart w:id="224" w:name="pg8101_60525"/>
      <w:bookmarkEnd w:id="224"/>
    </w:p>
    <w:p>
      <w:pPr>
        <w:pStyle w:val="Heading2"/>
        <w:numPr>
          <w:ilvl w:val="1"/>
          <w:numId w:val="1"/>
        </w:numPr>
        <w:rPr/>
      </w:pPr>
      <w:bookmarkStart w:id="225" w:name="pg8101_60525"/>
      <w:bookmarkStart w:id="226" w:name="__RefHeading___Toc7940356_1051229030"/>
      <w:bookmarkStart w:id="227" w:name="_Toc82"/>
      <w:bookmarkEnd w:id="225"/>
      <w:bookmarkEnd w:id="226"/>
      <w:r>
        <w:rPr>
          <w:rtl w:val="true"/>
        </w:rPr>
        <w:t>الفوائد الخمسة</w:t>
      </w:r>
      <w:bookmarkEnd w:id="227"/>
    </w:p>
    <w:p>
      <w:pPr>
        <w:pStyle w:val="Heading3"/>
        <w:numPr>
          <w:ilvl w:val="2"/>
          <w:numId w:val="1"/>
        </w:numPr>
        <w:rPr/>
      </w:pPr>
      <w:bookmarkStart w:id="228" w:name="__RefHeading___Toc7940358_1051229030"/>
      <w:bookmarkStart w:id="229" w:name="_Toc83"/>
      <w:bookmarkEnd w:id="228"/>
      <w:r>
        <w:rPr>
          <w:rtl w:val="true"/>
        </w:rPr>
        <w:t>اشارة</w:t>
      </w:r>
      <w:bookmarkEnd w:id="22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الاُولى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الطاهرين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اللّه على أعدائهم أجمعين إلى يوم الدين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8101_60529"/>
      <w:bookmarkStart w:id="231" w:name="pg8101_60529"/>
      <w:bookmarkEnd w:id="231"/>
    </w:p>
    <w:p>
      <w:pPr>
        <w:pStyle w:val="Heading3"/>
        <w:numPr>
          <w:ilvl w:val="2"/>
          <w:numId w:val="1"/>
        </w:numPr>
        <w:rPr/>
      </w:pPr>
      <w:bookmarkStart w:id="232" w:name="pg8101_60529"/>
      <w:bookmarkStart w:id="233" w:name="__RefHeading___Toc7940360_1051229030"/>
      <w:bookmarkStart w:id="234" w:name="_Toc84"/>
      <w:bookmarkEnd w:id="232"/>
      <w:bookmarkEnd w:id="233"/>
      <w:r>
        <w:rPr>
          <w:rtl w:val="true"/>
        </w:rPr>
        <w:t xml:space="preserve">الفائدة الاُولى </w:t>
      </w:r>
      <w:r>
        <w:rPr>
          <w:rtl w:val="true"/>
        </w:rPr>
        <w:t xml:space="preserve">: </w:t>
      </w:r>
      <w:r>
        <w:rPr>
          <w:rtl w:val="true"/>
        </w:rPr>
        <w:t xml:space="preserve">في قاعدة </w:t>
      </w:r>
      <w:r>
        <w:rPr>
          <w:rtl w:val="true"/>
        </w:rPr>
        <w:t>«</w:t>
      </w:r>
      <w:r>
        <w:rPr>
          <w:rtl w:val="true"/>
        </w:rPr>
        <w:t>من ملك شيئاً ملك الإقرار به</w:t>
      </w:r>
      <w:r>
        <w:rPr>
          <w:rtl w:val="true"/>
        </w:rPr>
        <w:t>»</w:t>
      </w:r>
      <w:bookmarkEnd w:id="234"/>
    </w:p>
    <w:p>
      <w:pPr>
        <w:pStyle w:val="Heading4"/>
        <w:numPr>
          <w:ilvl w:val="3"/>
          <w:numId w:val="1"/>
        </w:numPr>
        <w:rPr/>
      </w:pPr>
      <w:bookmarkStart w:id="235" w:name="__RefHeading___Toc7940362_1051229030"/>
      <w:bookmarkStart w:id="236" w:name="_Toc85"/>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فائدة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أفرد شيخنا المرتضى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في الفحص والتفتيش عن مفادها وما يمكن أن يكون مدركاً لها ، ولمّا كان في نظري القاصر بعض مواقع للنظر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اُشير إليها بطريق الاختصار </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7940364_1051229030"/>
      <w:bookmarkStart w:id="238" w:name="_Toc86"/>
      <w:bookmarkEnd w:id="237"/>
      <w:r>
        <w:rPr>
          <w:rtl w:val="true"/>
        </w:rPr>
        <w:t>المراد بملك الشيء</w:t>
      </w:r>
      <w:bookmarkEnd w:id="238"/>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بملك الشيء السلطنة عليه فعلاً ، فلا يشمل ملك الصغير لأمواله ؛ لعدم السلطنة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يستفاد من اللغة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علقة ورابطة اعتبارية حاصلة بين الشخص والشيء ، تستتبعها السلطنة والاستبداد به ، وهي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ولغةً ، ولهذا وقع التشاجر من الصدر الأوّل بين </w:t>
      </w:r>
      <w:bookmarkStart w:id="239" w:name="pg8101_60530"/>
    </w:p>
    <w:p>
      <w:pPr>
        <w:pStyle w:val="BookText"/>
        <w:rPr/>
      </w:pPr>
      <w:bookmarkEnd w:id="239"/>
      <w:r>
        <w:rPr>
          <w:rFonts w:ascii="Amiri" w:hAnsi="Amiri" w:eastAsia="Amiri" w:cs="Amiri"/>
          <w:color w:val="111111"/>
          <w:sz w:val="28"/>
          <w:sz w:val="28"/>
          <w:szCs w:val="28"/>
          <w:rtl w:val="true"/>
          <w:lang w:bidi="ar-SA"/>
        </w:rPr>
        <w:t>المفسّرين والمحقّقين</w:t>
      </w:r>
      <w:r>
        <w:rPr>
          <w:rStyle w:val="FootnoteAnchor"/>
          <w:rtl w:val="true"/>
        </w:rPr>
        <w:footnoteReference w:id="313"/>
      </w:r>
      <w:r>
        <w:rPr>
          <w:rFonts w:ascii="Amiri" w:hAnsi="Amiri" w:eastAsia="Amiri" w:cs="Amiri"/>
          <w:color w:val="111111"/>
          <w:sz w:val="28"/>
          <w:sz w:val="28"/>
          <w:szCs w:val="28"/>
          <w:rtl w:val="true"/>
          <w:lang w:bidi="ar-SA"/>
        </w:rPr>
        <w:t xml:space="preserve">في أرجحية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السلطان لما وقع النزاع والتشاجر بين أئمّة اللغة والتفسير وأساطين الأدب والعربية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أي احتواه قادراً على الاستبداد به</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والسلطنة لازم أعمّ للمالكية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 فإنّ 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السلطنة على أموال الناس وأنفسهم ، وليست لهم المالكية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المتفاهم العرفي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صاحباً له فعلاً ، فيشمل ملك الصغير ، فعدم نفوذ إقراره من مستثنيات هذه القاعدة ، لا أنّ نفوذه في الموارد الخاصّة من الدواخل </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7940366_1051229030"/>
      <w:bookmarkStart w:id="241" w:name="_Toc87"/>
      <w:bookmarkEnd w:id="240"/>
      <w:r>
        <w:rPr>
          <w:rtl w:val="true"/>
        </w:rPr>
        <w:t xml:space="preserve">المراد من </w:t>
      </w:r>
      <w:r>
        <w:rPr>
          <w:rtl w:val="true"/>
        </w:rPr>
        <w:t>«</w:t>
      </w:r>
      <w:r>
        <w:rPr>
          <w:rtl w:val="true"/>
        </w:rPr>
        <w:t>الشيء</w:t>
      </w:r>
      <w:r>
        <w:rPr>
          <w:rtl w:val="true"/>
        </w:rPr>
        <w:t xml:space="preserve">» </w:t>
      </w:r>
      <w:r>
        <w:rPr>
          <w:rtl w:val="true"/>
        </w:rPr>
        <w:t>في القاعدة</w:t>
      </w:r>
      <w:bookmarkEnd w:id="241"/>
    </w:p>
    <w:p>
      <w:pPr>
        <w:pStyle w:val="BookText"/>
        <w:rPr/>
      </w:pPr>
      <w:r>
        <w:rPr>
          <w:rFonts w:ascii="Amiri" w:hAnsi="Amiri" w:eastAsia="Amiri" w:cs="Amiri"/>
          <w:color w:val="111111"/>
          <w:sz w:val="28"/>
          <w:sz w:val="28"/>
          <w:szCs w:val="28"/>
          <w:rtl w:val="true"/>
          <w:lang w:bidi="ar-SA"/>
        </w:rPr>
        <w:t xml:space="preserve">وعلى ما ذكرنا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فيما أفاده قدّس سرّه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الأعيان والأفعال ، مثل التصرّفات ، بل خصّه بالأفعال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أنّ الإقرار لا يتعلّق بنفس الأعيان ، بل بثبوته ومثل ذلك</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الاُمور العامّة ، ولكنّه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w:t>
      </w:r>
    </w:p>
    <w:p>
      <w:pPr>
        <w:pStyle w:val="BookText"/>
        <w:rPr/>
      </w:pPr>
      <w:r>
        <w:rPr>
          <w:rFonts w:ascii="Amiri" w:hAnsi="Amiri" w:eastAsia="Amiri" w:cs="Amiri"/>
          <w:color w:val="111111"/>
          <w:sz w:val="28"/>
          <w:sz w:val="28"/>
          <w:szCs w:val="28"/>
          <w:rtl w:val="true"/>
          <w:lang w:bidi="ar-SA"/>
        </w:rPr>
        <w:t xml:space="preserve">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ومختصّ بالأعيان ، إن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نفسه منصرف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قرينةً على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الصاحب والسلطان ، وإلاّ فقد عرفت أ نّه ظاهر في الأوّل لغةً وعرفاً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الصدر أقوى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عليه ، لا العكس كما فعله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جعله قرينةً على صرف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الأفعال ، فخلاف متفاهم العرف ؛ فإنّ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بملاحظة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فعلاً ومفعولاً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متعارفة بملاحظة لوازمه وآثاره ، فالصدر قرينة على الذيل ، كما لا يخفى بعد مراجعة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السلطنة عليه لا المالكية ، فيكون قرينة على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المشاكلة مثل قوله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 . . . . . . . . . . . . . ***</w:t>
      </w:r>
      <w:r>
        <w:rPr>
          <w:rFonts w:ascii="Amiri" w:hAnsi="Amiri" w:eastAsia="Amiri" w:cs="Amiri"/>
          <w:color w:val="111111"/>
          <w:sz w:val="28"/>
          <w:sz w:val="28"/>
          <w:szCs w:val="28"/>
          <w:rtl w:val="true"/>
          <w:lang w:bidi="ar-SA"/>
        </w:rPr>
        <w:t xml:space="preserve">قلت اطبخوا لي جبّةً وقميصاً </w:t>
      </w:r>
      <w:bookmarkStart w:id="242" w:name="pg8101_60532"/>
    </w:p>
    <w:p>
      <w:pPr>
        <w:pStyle w:val="Heading4"/>
        <w:numPr>
          <w:ilvl w:val="3"/>
          <w:numId w:val="1"/>
        </w:numPr>
        <w:rPr/>
      </w:pPr>
      <w:bookmarkStart w:id="243" w:name="__RefHeading___Toc7940368_1051229030"/>
      <w:bookmarkStart w:id="244" w:name="_Toc88"/>
      <w:bookmarkEnd w:id="242"/>
      <w:bookmarkEnd w:id="243"/>
      <w:r>
        <w:rPr>
          <w:rtl w:val="true"/>
        </w:rPr>
        <w:t>اختصاص القاعدة بإقرار الأصيل</w:t>
      </w:r>
      <w:bookmarkEnd w:id="244"/>
    </w:p>
    <w:p>
      <w:pPr>
        <w:pStyle w:val="BookText"/>
        <w:rPr/>
      </w:pPr>
      <w:r>
        <w:rPr>
          <w:rFonts w:ascii="IRNazanin" w:hAnsi="IRNazanin" w:eastAsia="IRNazanin"/>
          <w:color w:val="111111"/>
          <w:sz w:val="28"/>
          <w:sz w:val="28"/>
          <w:szCs w:val="28"/>
          <w:rtl w:val="true"/>
          <w:lang w:bidi="fa-IR"/>
        </w:rPr>
        <w:t xml:space="preserve">فتحصّل ممّا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 نّها صادرة من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مالك الشيء مالك إقراره ، فتكون مساوية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العقلاء </w:t>
      </w:r>
      <w:r>
        <w:rPr>
          <w:rFonts w:eastAsia="IRNazanin" w:cs="IRNazanin"/>
          <w:color w:val="111111"/>
          <w:sz w:val="28"/>
          <w:szCs w:val="28"/>
          <w:rtl w:val="true"/>
          <w:lang w:bidi="fa-IR"/>
        </w:rPr>
        <w:t>. . .»</w:t>
      </w:r>
      <w:r>
        <w:rPr>
          <w:rStyle w:val="FootnoteAnchor"/>
          <w:rtl w:val="true"/>
        </w:rPr>
        <w:footnoteReference w:id="318"/>
      </w:r>
      <w:r>
        <w:rPr>
          <w:rFonts w:ascii="Amiri" w:hAnsi="Amiri" w:eastAsia="Amiri" w:cs="Amiri"/>
          <w:color w:val="111111"/>
          <w:sz w:val="28"/>
          <w:sz w:val="28"/>
          <w:szCs w:val="28"/>
          <w:rtl w:val="true"/>
          <w:lang w:bidi="ar-SA"/>
        </w:rPr>
        <w:t xml:space="preserve">بل هي هي ، فإن عثرنا على دليل معتبر من إجماع وغيره على نفوذ الإقرار في غير مؤدّى القاعدة فهو دليل خاصّ متّبع غير مربوط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الإجماع على معناها بما أفاده الشيخ قدّس سرّه وأ نّى لنا بإثباته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ذكرنا تختصّ بإقرار الأصيل ، ويخرج منها إقرار الوكيل والوليّ وأمثالهما </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7940370_1051229030"/>
      <w:bookmarkStart w:id="246" w:name="_Toc89"/>
      <w:bookmarkEnd w:id="245"/>
      <w:r>
        <w:rPr>
          <w:rtl w:val="true"/>
        </w:rPr>
        <w:t>في رجوع هذه القاعدة إلى قواعد اُخرى</w:t>
      </w:r>
      <w:bookmarkEnd w:id="24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 هو مفاد القضيّة مع قطع النظر عن تمسّكات القوم ، وأمّا تمسّكهم بها في غير مورد قاعدة الإقرار</w:t>
      </w:r>
      <w:r>
        <w:rPr>
          <w:rStyle w:val="FootnoteAnchor"/>
          <w:rtl w:val="true"/>
        </w:rPr>
        <w:footnoteReference w:id="319"/>
      </w:r>
      <w:r>
        <w:rPr>
          <w:rFonts w:ascii="Amiri" w:hAnsi="Amiri" w:eastAsia="Amiri" w:cs="Amiri"/>
          <w:color w:val="111111"/>
          <w:sz w:val="28"/>
          <w:sz w:val="28"/>
          <w:szCs w:val="28"/>
          <w:rtl w:val="true"/>
          <w:lang w:bidi="ar-SA"/>
        </w:rPr>
        <w:t xml:space="preserve">فلا اطمئنان بأن يكون بنفس هذه القاعدة ، بل لا يبعد أن يكون حسب قواعد اُخر ، مثل قاعدة الائتمان </w:t>
      </w:r>
      <w:r>
        <w:rPr>
          <w:rStyle w:val="FootnoteAnchor"/>
          <w:rtl w:val="true"/>
        </w:rPr>
        <w:footnoteReference w:id="320"/>
      </w:r>
      <w:r>
        <w:rPr>
          <w:rFonts w:ascii="Amiri" w:hAnsi="Amiri" w:eastAsia="Amiri" w:cs="Amiri"/>
          <w:color w:val="111111"/>
          <w:sz w:val="28"/>
          <w:sz w:val="28"/>
          <w:szCs w:val="28"/>
          <w:rtl w:val="true"/>
          <w:lang w:bidi="ar-SA"/>
        </w:rPr>
        <w:t xml:space="preserve">وقاعدة قبول قول </w:t>
      </w:r>
      <w:bookmarkStart w:id="247" w:name="pg8101_60533"/>
    </w:p>
    <w:p>
      <w:pPr>
        <w:pStyle w:val="BookText"/>
        <w:rPr/>
      </w:pPr>
      <w:bookmarkEnd w:id="247"/>
      <w:r>
        <w:rPr>
          <w:rFonts w:ascii="Amiri" w:hAnsi="Amiri" w:eastAsia="Amiri" w:cs="Amiri"/>
          <w:color w:val="111111"/>
          <w:sz w:val="28"/>
          <w:sz w:val="28"/>
          <w:szCs w:val="28"/>
          <w:rtl w:val="true"/>
          <w:lang w:bidi="ar-SA"/>
        </w:rPr>
        <w:t xml:space="preserve">من لا يعلم إلاّ من قِبَله كما سنشير إليه </w:t>
      </w:r>
      <w:r>
        <w:rPr>
          <w:rStyle w:val="FootnoteAnchor"/>
          <w:rtl w:val="true"/>
        </w:rPr>
        <w:footnoteReference w:id="321"/>
      </w:r>
      <w:r>
        <w:rPr>
          <w:rFonts w:ascii="Amiri" w:hAnsi="Amiri" w:eastAsia="Amiri" w:cs="Amiri"/>
          <w:color w:val="111111"/>
          <w:sz w:val="28"/>
          <w:sz w:val="28"/>
          <w:szCs w:val="28"/>
          <w:rtl w:val="true"/>
          <w:lang w:bidi="ar-SA"/>
        </w:rPr>
        <w:t xml:space="preserve">فيمكن أن يكون التعبير بهذه القاعدة من قبيل الجمع في التعبير عن عدّة قواعد ، مثل قاعدة الإقرار والائتمان وأمثالهما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 الشيخ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التمسّك بأدلّة قول من ائتمنه المالك بالإذن أو الشارع بالأمر وعدم جواز اتّهامه ، غير صحيح ؛ لأ نّها لا تنفع في إقرار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فيه إلى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الوكيل 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القضيّة عن كونها قاعدة واحدة ؛ على ما يظهر من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العلّة في قبول الإقرار كونه مالكاً للتصرّف المقَرّ به</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محذور فيه أصلاً ؛ لعدم الظهور المذكور ، وعدم حجّيته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 نّها قاعدة مستنبطة من القواعد الشرعية ، ولو احتملنا ذلك لسقطت عن جواز التمسّك بها ، ولا طريق لنا إلى إثبات كونها إجماعية بنفسها أو لفظة صادرة من المعصومين علیهم السلام بعد هذا الاحتمال القريب الواقع نظيره من الفقهاء رضوان اللّه عليهم </w:t>
      </w:r>
      <w:r>
        <w:rPr>
          <w:rFonts w:eastAsia="IRNazanin" w:cs="IRNazanin"/>
          <w:color w:val="111111"/>
          <w:sz w:val="28"/>
          <w:szCs w:val="28"/>
          <w:rtl w:val="true"/>
          <w:lang w:bidi="fa-IR"/>
        </w:rPr>
        <w:t>.</w:t>
      </w:r>
    </w:p>
    <w:p>
      <w:pPr>
        <w:pStyle w:val="Heading4"/>
        <w:numPr>
          <w:ilvl w:val="3"/>
          <w:numId w:val="1"/>
        </w:numPr>
        <w:rPr/>
      </w:pPr>
      <w:bookmarkStart w:id="248" w:name="__RefHeading___Toc7940372_1051229030"/>
      <w:bookmarkStart w:id="249" w:name="_Toc90"/>
      <w:bookmarkEnd w:id="248"/>
      <w:r>
        <w:rPr>
          <w:rtl w:val="true"/>
        </w:rPr>
        <w:t>اشتراط وقوع الإقرار بالشيء في زمان مالكيته</w:t>
      </w:r>
      <w:bookmarkEnd w:id="24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ظرف وقوع الإقرار بالشيء هو ظرف مالكيته، كما هو الشأن في كلّ القضايا مع تجرّدها عن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قدّس سرّه اعترف به في هذه القاعدة</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وصرّح في قضيّة الائتمان والقضيّة الفخرية بخلاف ذلك</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التفرقة في قضيّة الائتمان لا تبعد من الأدلّة الخاصّة</w:t>
      </w:r>
      <w:r>
        <w:rPr>
          <w:rStyle w:val="FootnoteAnchor"/>
          <w:rtl w:val="true"/>
        </w:rPr>
        <w:footnoteReference w:id="325"/>
      </w:r>
      <w:r>
        <w:rPr>
          <w:rFonts w:ascii="Amiri" w:hAnsi="Amiri" w:eastAsia="Amiri" w:cs="Amiri"/>
          <w:color w:val="111111"/>
          <w:sz w:val="28"/>
          <w:sz w:val="28"/>
          <w:szCs w:val="28"/>
          <w:rtl w:val="true"/>
          <w:lang w:bidi="ar-SA"/>
        </w:rPr>
        <w:t xml:space="preserve">وإن كان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والبضاعة مؤتمنان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أيضاً ظاهراً في الفعلية بحسب عقد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القضيّة الفخرية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يلزم فعله غيره ، يمضي إقراره بذلك الفعل عليه</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قاعدة شرعية فظاهرة في إمضاء إقراره في زمان الإلزام ، لا الزمان المتأخّر ، مثل الوليّ في زمان الولاية ، والوصيّ في زمان الوصاية ، وذلك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تمسّك بها لما بعد زوال ملك التصرّف ، كما حكى الشيخ عنه</w:t>
      </w:r>
      <w:r>
        <w:rPr>
          <w:rStyle w:val="FootnoteAnchor"/>
          <w:rtl w:val="true"/>
        </w:rPr>
        <w:footnoteReference w:id="328"/>
      </w:r>
      <w:r>
        <w:rPr>
          <w:rFonts w:ascii="Amiri" w:hAnsi="Amiri" w:eastAsia="Amiri" w:cs="Amiri"/>
          <w:color w:val="111111"/>
          <w:sz w:val="28"/>
          <w:sz w:val="28"/>
          <w:szCs w:val="28"/>
          <w:rtl w:val="true"/>
          <w:lang w:bidi="ar-SA"/>
        </w:rPr>
        <w:t xml:space="preserve">إلاّ أ نّه مطالب بدليله بعد ظهور هذه القاعدة في غير مورده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للهمّ إلاّ أن يحمل كلام ا لشيخ قدّس سرّه على المماشاة مع فخر ا لدين ، وهو بعيد </w:t>
      </w:r>
      <w:r>
        <w:rPr>
          <w:rFonts w:eastAsia="Amiri" w:cs="Amiri" w:ascii="Amiri" w:hAnsi="Amiri"/>
          <w:color w:val="111111"/>
          <w:sz w:val="28"/>
          <w:szCs w:val="28"/>
          <w:rtl w:val="true"/>
          <w:lang w:bidi="ar-SA"/>
        </w:rPr>
        <w:t xml:space="preserve">. </w:t>
      </w:r>
      <w:bookmarkStart w:id="250" w:name="pg8101_60535"/>
    </w:p>
    <w:p>
      <w:pPr>
        <w:pStyle w:val="Heading4"/>
        <w:numPr>
          <w:ilvl w:val="3"/>
          <w:numId w:val="1"/>
        </w:numPr>
        <w:rPr/>
      </w:pPr>
      <w:bookmarkStart w:id="251" w:name="__RefHeading___Toc7940374_1051229030"/>
      <w:bookmarkStart w:id="252" w:name="_Toc91"/>
      <w:bookmarkEnd w:id="250"/>
      <w:bookmarkEnd w:id="251"/>
      <w:r>
        <w:rPr>
          <w:rtl w:val="true"/>
        </w:rPr>
        <w:t>المراد بملك الإقرار</w:t>
      </w:r>
      <w:bookmarkEnd w:id="252"/>
    </w:p>
    <w:p>
      <w:pPr>
        <w:pStyle w:val="BookText"/>
        <w:rPr/>
      </w:pPr>
      <w:r>
        <w:rPr>
          <w:rFonts w:ascii="Amiri" w:hAnsi="Amiri" w:eastAsia="Amiri" w:cs="Amiri"/>
          <w:color w:val="111111"/>
          <w:sz w:val="28"/>
          <w:sz w:val="28"/>
          <w:szCs w:val="28"/>
          <w:rtl w:val="true"/>
          <w:lang w:bidi="ar-SA"/>
        </w:rPr>
        <w:t xml:space="preserve">ثمّ إنّه على ما ذكرنا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مساواة القاعدة لقاعدة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الظاهر منه ، كما اعترف به الشيخ وهو نفوذه ومضيّه مطلقاً ؛ بحيث لا يسمع منه بيّنة على خلافه ، فضلاً عن الحلف</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الظهور أيضاً من مؤيّدات ما احتملناه لو لم يكن من قرائنه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الاحتمال الآخر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قاعدة مستنبطة من قواعد شرعية اُخر</w:t>
      </w:r>
      <w:r>
        <w:rPr>
          <w:rStyle w:val="FootnoteAnchor"/>
          <w:rtl w:val="true"/>
        </w:rPr>
        <w:footnoteReference w:id="331"/>
      </w:r>
      <w:r>
        <w:rPr>
          <w:rFonts w:ascii="Amiri" w:hAnsi="Amiri" w:eastAsia="Amiri" w:cs="Amiri"/>
          <w:color w:val="111111"/>
          <w:sz w:val="28"/>
          <w:sz w:val="28"/>
          <w:szCs w:val="28"/>
          <w:rtl w:val="true"/>
          <w:lang w:bidi="ar-SA"/>
        </w:rPr>
        <w:t xml:space="preserve">فلا بدّ أن يرجع في كلّ مورد إلى مقتضى القاعدة الأصلية التي هي 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الائتمان والإقرار وغيرهما ، فيعمل على مقتضاها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ذكره الشيخ قدّس سرّه هل هو السلطنة المطلقة ، أو في الجملة ، فيشمل ملك الوكيل والوصيّ وأمثالهما ؟ احتمالان ، لا يبعد أن يكون الظاهر هو الثاني ، كما صرّح به الشيخ أيضاً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7940376_1051229030"/>
      <w:bookmarkStart w:id="254" w:name="_Toc92"/>
      <w:bookmarkEnd w:id="253"/>
      <w:r>
        <w:rPr>
          <w:rtl w:val="true"/>
        </w:rPr>
        <w:t>في منع الشيخ الأعظم من الاستدلال على القاعدة بقاعدة الإقرار</w:t>
      </w:r>
      <w:bookmarkEnd w:id="25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على ما بيّنّا يكون دليل القاعدة هو قاعدة الإقرار ، أو هي مع قواعد اُخر على الاحتمال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رحمه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يمكن أن تكون </w:t>
      </w:r>
      <w:bookmarkStart w:id="255" w:name="pg8101_60536"/>
    </w:p>
    <w:p>
      <w:pPr>
        <w:pStyle w:val="BookText"/>
        <w:rPr/>
      </w:pPr>
      <w:bookmarkEnd w:id="255"/>
      <w:r>
        <w:rPr>
          <w:rFonts w:ascii="Amiri" w:hAnsi="Amiri" w:eastAsia="Amiri" w:cs="Amiri"/>
          <w:color w:val="111111"/>
          <w:sz w:val="28"/>
          <w:sz w:val="28"/>
          <w:szCs w:val="28"/>
          <w:rtl w:val="true"/>
          <w:lang w:bidi="ar-SA"/>
        </w:rPr>
        <w:t xml:space="preserve">قاعدة الإقرار منشأً لهذه القاعدة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جلّ الأصحاب قد ذكروا هذه القضيّة مستنداً لصحّة إقرار الصبيّ بما يصحّ منه ، كالوصيّة بالمعروف والصدقة ، ولو كان المستند فيها حديث الإقرار لم يجز ذلك ؛ لبنائهم على خروج الصبيّ من حديث الإقرار ، لكونه مسلوب العبارة بحديث رفع القلم</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 بأنّ حديث رفع القلم ومثله لو كان حاكماً على قاعدة الإقرار ، لكان حاكماً على هذه القاعدة أيضاً من دون استبانة تفرقة ؛ فإنّ مفاد هذه القضيّة أنّ إقرار المالك نافذ ، وحديث الرفع يجعل إقراره كلا إقرار ، فلو كانت هذه القاعدة أيضاً قاعدة شرعية لما أمكن أن تكون مستنداً لقول الفقهاء بالنسبة إلى إقرار الصبيّ ، فلا بدّ من التماس دليل آخر غيرهما ؛ وهو الإجماع أو ادّعاء أولوية نفوذ الإقرار من نفوذ التصرّف ، والعهدة في ذلك على مدّعيه </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7940378_1051229030"/>
      <w:bookmarkStart w:id="257" w:name="_Toc93"/>
      <w:bookmarkEnd w:id="256"/>
      <w:r>
        <w:rPr>
          <w:rtl w:val="true"/>
        </w:rPr>
        <w:t>عدم قيام الإجماع على هذه القاعدة برأسها</w:t>
      </w:r>
      <w:bookmarkEnd w:id="257"/>
    </w:p>
    <w:p>
      <w:pPr>
        <w:pStyle w:val="BookText"/>
        <w:rPr/>
      </w:pPr>
      <w:r>
        <w:rPr>
          <w:rFonts w:ascii="Amiri" w:hAnsi="Amiri" w:eastAsia="Amiri" w:cs="Amiri"/>
          <w:color w:val="111111"/>
          <w:sz w:val="28"/>
          <w:sz w:val="28"/>
          <w:szCs w:val="28"/>
          <w:rtl w:val="true"/>
          <w:lang w:bidi="ar-SA"/>
        </w:rPr>
        <w:t xml:space="preserve">ثمّ إنّ كلمات الفقهاء التي نقلها الشيخ قدّس سرّه </w:t>
      </w:r>
      <w:r>
        <w:rPr>
          <w:rStyle w:val="FootnoteAnchor"/>
          <w:rtl w:val="true"/>
        </w:rPr>
        <w:footnoteReference w:id="334"/>
      </w:r>
      <w:r>
        <w:rPr>
          <w:rFonts w:ascii="Amiri" w:hAnsi="Amiri" w:eastAsia="Amiri" w:cs="Amiri"/>
          <w:color w:val="111111"/>
          <w:sz w:val="28"/>
          <w:sz w:val="28"/>
          <w:szCs w:val="28"/>
          <w:rtl w:val="true"/>
          <w:lang w:bidi="ar-SA"/>
        </w:rPr>
        <w:t xml:space="preserve">لا تدلّ على إجماعية هذه القاعدة برأسها في مقابل سائر القواعد ، كما لا يخفى على المراجع ؛ فإنّ كلّ مورد منها ينطبق عليه قاعدة شرعية ولو على بعض المباني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شيء ذكره الشيخ لكون مستند الفقهاء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العلاّمة رحمه الله علیه الإجماع على قبول دعوى المسلم أمانَ الحربي في حال ملكه </w:t>
      </w:r>
      <w:bookmarkStart w:id="258" w:name="pg8101_60537"/>
    </w:p>
    <w:p>
      <w:pPr>
        <w:pStyle w:val="BookText"/>
        <w:rPr/>
      </w:pPr>
      <w:bookmarkEnd w:id="258"/>
      <w:r>
        <w:rPr>
          <w:rFonts w:ascii="IRNazanin" w:hAnsi="IRNazanin" w:eastAsia="IRNazanin"/>
          <w:color w:val="111111"/>
          <w:sz w:val="28"/>
          <w:sz w:val="28"/>
          <w:szCs w:val="28"/>
          <w:rtl w:val="true"/>
          <w:lang w:bidi="fa-IR"/>
        </w:rPr>
        <w:t>لأمانه</w:t>
      </w:r>
      <w:r>
        <w:rPr>
          <w:rStyle w:val="FootnoteAnchor"/>
          <w:rtl w:val="true"/>
        </w:rPr>
        <w:footnoteReference w:id="335"/>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أن ليس مستند له إلاّ القضيّة المذكورة</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مع أ نّه لو كانت هذه الدعوى من المسلم مسألة إجماعية لما بحثنا عن مستندها ، ولا استكشفنا منها قضيّة اُخرى ، كما هو الشأن في كلّ مسألة إجماعية ، فكيف يمكن لنا استكشاف قضيّة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نستدلّ بها في أبواب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على فرع جزئي يمكن أن يكون حكماً تعبّدياً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يمكن أن يكون المستند فيها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قول من لا يعلم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استفادتها من بعض روايات تصديق المرأة في الحمل</w:t>
      </w:r>
      <w:r>
        <w:rPr>
          <w:rStyle w:val="FootnoteAnchor"/>
          <w:rtl w:val="true"/>
        </w:rPr>
        <w:footnoteReference w:id="337"/>
      </w:r>
      <w:r>
        <w:rPr>
          <w:rFonts w:ascii="Amiri" w:hAnsi="Amiri" w:eastAsia="Amiri" w:cs="Amiri"/>
          <w:color w:val="111111"/>
          <w:sz w:val="28"/>
          <w:sz w:val="28"/>
          <w:szCs w:val="28"/>
          <w:rtl w:val="true"/>
          <w:lang w:bidi="ar-SA"/>
        </w:rPr>
        <w:t>وخروج العدّة والحيض</w:t>
      </w:r>
      <w:r>
        <w:rPr>
          <w:rStyle w:val="FootnoteAnchor"/>
          <w:rtl w:val="true"/>
        </w:rPr>
        <w:footnoteReference w:id="338"/>
      </w:r>
      <w:r>
        <w:rPr>
          <w:rFonts w:ascii="Amiri" w:hAnsi="Amiri" w:eastAsia="Amiri" w:cs="Amiri"/>
          <w:color w:val="111111"/>
          <w:sz w:val="28"/>
          <w:sz w:val="28"/>
          <w:szCs w:val="28"/>
          <w:rtl w:val="true"/>
          <w:lang w:bidi="ar-SA"/>
        </w:rPr>
        <w:t xml:space="preserve">وإن كان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اطمئنان بكونها قاعدة إجماعية برأسها </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940380_1051229030"/>
      <w:bookmarkStart w:id="260" w:name="_Toc94"/>
      <w:bookmarkEnd w:id="259"/>
      <w:r>
        <w:rPr>
          <w:rtl w:val="true"/>
        </w:rPr>
        <w:t>النسبة بين هذه القاعدة وقاعدة الائتمان</w:t>
      </w:r>
      <w:bookmarkEnd w:id="2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ما حقّقنا يكون بين هذه القاعدة وقاعدة الائتمان مباينة ؛ لأ نّها مختصّة بالمالك ، وهي مختصّة بالأمين </w:t>
      </w:r>
      <w:r>
        <w:rPr>
          <w:rFonts w:eastAsia="Amiri" w:cs="Amiri" w:ascii="Amiri" w:hAnsi="Amiri"/>
          <w:color w:val="111111"/>
          <w:sz w:val="28"/>
          <w:szCs w:val="28"/>
          <w:rtl w:val="true"/>
          <w:lang w:bidi="ar-SA"/>
        </w:rPr>
        <w:t xml:space="preserve">. </w:t>
      </w:r>
      <w:bookmarkStart w:id="261" w:name="pg8101_60538"/>
    </w:p>
    <w:p>
      <w:pPr>
        <w:pStyle w:val="BookText"/>
        <w:rPr/>
      </w:pPr>
      <w:bookmarkEnd w:id="261"/>
      <w:r>
        <w:rPr>
          <w:rFonts w:ascii="Amiri" w:hAnsi="Amiri" w:eastAsia="Amiri" w:cs="Amiri"/>
          <w:color w:val="111111"/>
          <w:sz w:val="28"/>
          <w:sz w:val="28"/>
          <w:szCs w:val="28"/>
          <w:rtl w:val="true"/>
          <w:lang w:bidi="ar-SA"/>
        </w:rPr>
        <w:t xml:space="preserve">وبناءً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كونها أعمّ من قاعدة الإقرار ، وتكون مستنبطة من عدّة قواعد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أعمّ مطلقاً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قاعدة برأسها وجريان قاعدة الائتمان حتّى بعد قطع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بينهما عموم من وجه ، كما أفاد الشيخ أيضاً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7940382_1051229030"/>
      <w:bookmarkStart w:id="263" w:name="_Toc95"/>
      <w:bookmarkEnd w:id="262"/>
      <w:r>
        <w:rPr>
          <w:rtl w:val="true"/>
        </w:rPr>
        <w:t>النسبة بين القاعدة الفخرية وقاعدتي من ملك والائتمان</w:t>
      </w:r>
      <w:bookmarkEnd w:id="263"/>
    </w:p>
    <w:p>
      <w:pPr>
        <w:pStyle w:val="BookText"/>
        <w:rPr/>
      </w:pPr>
      <w:r>
        <w:rPr>
          <w:rFonts w:ascii="Amiri" w:hAnsi="Amiri" w:eastAsia="Amiri" w:cs="Amiri"/>
          <w:color w:val="111111"/>
          <w:sz w:val="28"/>
          <w:sz w:val="28"/>
          <w:szCs w:val="28"/>
          <w:rtl w:val="true"/>
          <w:lang w:bidi="ar-SA"/>
        </w:rPr>
        <w:t xml:space="preserve">ثمّ إنّه قدّس سرّه ذكر قاعدة اُخرى أشار إليها فخرالدين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وتعرّض لبيان النسبة بينها وبين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الإقرار</w:t>
      </w:r>
      <w:r>
        <w:rPr>
          <w:rStyle w:val="FootnoteAnchor"/>
          <w:rtl w:val="true"/>
        </w:rPr>
        <w:footnoteReference w:id="341"/>
      </w:r>
      <w:r>
        <w:rPr>
          <w:rFonts w:ascii="Amiri" w:hAnsi="Amiri" w:eastAsia="Amiri" w:cs="Amiri"/>
          <w:color w:val="111111"/>
          <w:sz w:val="28"/>
          <w:sz w:val="28"/>
          <w:szCs w:val="28"/>
          <w:rtl w:val="true"/>
          <w:lang w:bidi="ar-SA"/>
        </w:rPr>
        <w:t xml:space="preserve">ومن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يخلو من الغرابة ، ولهذا نحن ننقل عبارته بعينها ، ونذكر وجه النظر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 قاعدة اُخرى أشار إليها فخرالدين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كلّ من يلزم فعله غيره ، يمضي إقراره بذلك الفعل على ذلك الغير ،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الاستناد إليها في قبول قول الوصيّ وأمين الحاكم إذا اختلفا مع 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مضيّ الإقرار على الغير ولو بعد زوال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من لزوم فعل المقرّ على الغير مجرّد 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نصب المالك أو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أعمّ مطلقاً من القاعدتين ؛ لشمولها لوليّ النكاح الإجباري النافذ إقراره على المرأة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منه لزومه عليه ابتداء لسلطنة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كأولياء القاصرين في المال </w:t>
      </w:r>
    </w:p>
    <w:p>
      <w:pPr>
        <w:pStyle w:val="BookText"/>
        <w:rPr/>
      </w:pPr>
      <w:r>
        <w:rPr>
          <w:rFonts w:ascii="Amiri" w:hAnsi="Amiri" w:eastAsia="Amiri" w:cs="Amiri"/>
          <w:color w:val="111111"/>
          <w:sz w:val="28"/>
          <w:sz w:val="28"/>
          <w:szCs w:val="28"/>
          <w:rtl w:val="true"/>
          <w:lang w:bidi="ar-SA"/>
        </w:rPr>
        <w:t>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أعمّ من وجه من كلّ من القاعدتين ؛ لاجتماع الكلّ في إقرار وليّ الصغير ببيع ماله ، وافتراق قاعدة الائتمان عنها في إقرار الوكيل بعد العزل ، وافتراق قضيّة من ملك في إقرار الصبيّ بما له أن يفعل ، وافتراق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بإقرار الوليّ الإجباري بعد زوال الولاية بالنكاح في حالها</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قدّس سرّه في الترديد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أعمّية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من القاعدتين ؛ لشمولها لوليّ النكاح الإجباري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من ملك شاملة للأصيل ، بخلاف القاعدة الفخرية ، فحينئذٍ بناءً على ما ذكرنا من ظهورها في فعلية اللزوم</w:t>
      </w:r>
      <w:r>
        <w:rPr>
          <w:rStyle w:val="FootnoteAnchor"/>
          <w:rtl w:val="true"/>
        </w:rPr>
        <w:footnoteReference w:id="343"/>
      </w:r>
      <w:r>
        <w:rPr>
          <w:rFonts w:ascii="Amiri" w:hAnsi="Amiri" w:eastAsia="Amiri" w:cs="Amiri"/>
          <w:color w:val="111111"/>
          <w:sz w:val="28"/>
          <w:sz w:val="28"/>
          <w:szCs w:val="28"/>
          <w:rtl w:val="true"/>
          <w:lang w:bidi="ar-SA"/>
        </w:rPr>
        <w:t xml:space="preserve">تكون قاعدة من ملك أعمّ مطلقاً منها ؛ بناءً على تفسير قاعدة من ملك بما فسّرها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السلطنة</w:t>
      </w:r>
      <w:r>
        <w:rPr>
          <w:rStyle w:val="FootnoteAnchor"/>
          <w:rtl w:val="true"/>
        </w:rPr>
        <w:footnoteReference w:id="344"/>
      </w:r>
      <w:r>
        <w:rPr>
          <w:rFonts w:ascii="Amiri" w:hAnsi="Amiri" w:eastAsia="Amiri" w:cs="Amiri"/>
          <w:color w:val="111111"/>
          <w:sz w:val="28"/>
          <w:sz w:val="28"/>
          <w:szCs w:val="28"/>
          <w:rtl w:val="true"/>
          <w:lang w:bidi="ar-SA"/>
        </w:rPr>
        <w:t xml:space="preserve">لشمولها للأصيل وغيره ، وعدم شمول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واختصاصه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أفاده قدّس سرّه من شمول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بعد اللزوم فيكون بينهما عموم من وجه ؛ لشمول قضيّة من ملك للأصيل دونه ، وشمول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بعد اللزوم دونها ، واجتماعهما في زمن اللزوم في غير الأصيل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الائتمان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قدّس سرّه قبيل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الائتمان الشرعي والمالكي ، فلا يكون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 شقّي الترديد ، فلعلّ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الابتدائي والسلطنة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مقابل اللزوم الجعلي بجعل الشارع أو المالك ؛ بدعوى أنّ ولاية الأب والجدّ مثلاً ولاية عرفية إمضائية من الشارع ، لا جعلية اختراعية ، فبناءً عليه يكون بينها وبين قاعدة الائتمان مباينة ؛ لاختصاصها بالجعلية ، واختصاص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بالإمضائية ، أو تكون الائتمان أعمّ مطلقاً منها ؛ لو لم نقل باختصاصها بالجعلية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بالتأمّل التامّ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الحمد في البدء والختام ، وصلّى اللّه على خير الأنام </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الثانية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8101_60543"/>
      <w:bookmarkStart w:id="265" w:name="pg8101_60543"/>
      <w:bookmarkEnd w:id="265"/>
    </w:p>
    <w:p>
      <w:pPr>
        <w:pStyle w:val="Heading3"/>
        <w:numPr>
          <w:ilvl w:val="2"/>
          <w:numId w:val="1"/>
        </w:numPr>
        <w:rPr/>
      </w:pPr>
      <w:bookmarkStart w:id="266" w:name="pg8101_60543"/>
      <w:bookmarkStart w:id="267" w:name="__RefHeading___Toc7940384_1051229030"/>
      <w:bookmarkStart w:id="268" w:name="_Toc96"/>
      <w:bookmarkEnd w:id="266"/>
      <w:bookmarkEnd w:id="267"/>
      <w:r>
        <w:rPr>
          <w:rtl w:val="true"/>
        </w:rPr>
        <w:t xml:space="preserve">الفائدة الثانية </w:t>
      </w:r>
      <w:r>
        <w:rPr>
          <w:rtl w:val="true"/>
        </w:rPr>
        <w:t xml:space="preserve">: </w:t>
      </w:r>
      <w:r>
        <w:rPr>
          <w:rtl w:val="true"/>
        </w:rPr>
        <w:t>في تداخل الأسباب</w:t>
      </w:r>
      <w:bookmarkEnd w:id="268"/>
    </w:p>
    <w:p>
      <w:pPr>
        <w:pStyle w:val="Heading4"/>
        <w:numPr>
          <w:ilvl w:val="3"/>
          <w:numId w:val="1"/>
        </w:numPr>
        <w:rPr/>
      </w:pPr>
      <w:bookmarkStart w:id="269" w:name="__RefHeading___Toc7940386_1051229030"/>
      <w:bookmarkStart w:id="270" w:name="_Toc97"/>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فائدة في تداخل الأسباب</w:t>
      </w:r>
    </w:p>
    <w:p>
      <w:pPr>
        <w:pStyle w:val="BookText"/>
        <w:rPr/>
      </w:pPr>
      <w:r>
        <w:rPr>
          <w:rFonts w:ascii="Amiri" w:hAnsi="Amiri" w:eastAsia="Amiri" w:cs="Amiri"/>
          <w:color w:val="111111"/>
          <w:sz w:val="28"/>
          <w:sz w:val="28"/>
          <w:szCs w:val="28"/>
          <w:rtl w:val="true"/>
          <w:lang w:bidi="ar-SA"/>
        </w:rPr>
        <w:t xml:space="preserve">قد عدل شيخنا العلاّمة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عمره عن تداخل الأسباب واختار عدمه ، وحيث يكون ما اختاره سابقاً هو المرضيّ المختار ، نذكر شبهته التي عدل من أجلها ، ونتصدّى للجواب عنها حسبما أدّى إليه نظري القاصر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تؤثّر في حقيقة وجود المسبّبات ،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منتزعة بعد تأثيرها ؛ بمعنى أنّ السبب الواحد يقتضي مسبّباً واحداً ، لا لأنّ الوحدة مأخوذة في المسبّب ، بل لوحدة السبب ، وكذا الحال في التعدّد ، فعلى هذا فيزداد المسبّب بازدياد السبب ؛ سواء كان السبب من جنس واحد ، أو من أجناس متعدّدة ؛ فإنّ إطلاق دليل السببية يقتضي ثبوتها لجميع الأفراد</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قدّس سرّه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السببين وإن كانا واردين على الطبيعة الواحدة ، لكن </w:t>
      </w:r>
    </w:p>
    <w:p>
      <w:pPr>
        <w:pStyle w:val="BookText"/>
        <w:rPr/>
      </w:pPr>
      <w:r>
        <w:rPr>
          <w:rFonts w:ascii="Amiri" w:hAnsi="Amiri" w:eastAsia="Amiri" w:cs="Amiri"/>
          <w:color w:val="111111"/>
          <w:sz w:val="28"/>
          <w:sz w:val="28"/>
          <w:szCs w:val="28"/>
          <w:rtl w:val="true"/>
          <w:lang w:bidi="ar-SA"/>
        </w:rPr>
        <w:t xml:space="preserve">مقتضى تأثير كلّ منهما أن يوجد وجود خاصّ مستند إليه ، كما أنّ مقتضى سببية النار لإحراق ما تماسّها ، تحقّق الاحتراق المخصوص المستند إلى النار ، وإن تعدّدت النار المماسّة لجسم آخر مثلاً ، يتحقّق احتراق آخر مستند إلى النار الاُخرى ؛ وإن كان هذان الوصفان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الاستناد إليها ، وكون الاحتراق الثاني احتراقاً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مستندين إلى تأثير السبب</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فمحصّل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العلل التشريعية كالعلل التكوينية ، فكما أ نّها مع وحدتها يكون المعلول واحداً ، ومع كثرتها كثيراً ، فكذلك إذا تعلّق أمر واحد بحقيقة الوجود يكون المعلول واحداً ، وإذا تعلّقت أوامر متعدّدة يصير متعدّداً بحسبها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العلل التشريعية بالعلل التكوينية قياس مع الفارق ؛ فإنّ تشخّص المعلول في العلل التكوينية بتشخّص علّته ، كما هو المقرّر في مقارّه والمحقّق في مظانّه </w:t>
      </w:r>
      <w:r>
        <w:rPr>
          <w:rStyle w:val="FootnoteAnchor"/>
          <w:rtl w:val="true"/>
        </w:rPr>
        <w:footnoteReference w:id="347"/>
      </w:r>
      <w:r>
        <w:rPr>
          <w:rFonts w:ascii="Amiri" w:hAnsi="Amiri" w:eastAsia="Amiri" w:cs="Amiri"/>
          <w:color w:val="111111"/>
          <w:sz w:val="28"/>
          <w:sz w:val="28"/>
          <w:szCs w:val="28"/>
          <w:rtl w:val="true"/>
          <w:lang w:bidi="ar-SA"/>
        </w:rPr>
        <w:t xml:space="preserve">وأمّا العلل التشريعية فإمّا يراد منها الأسباب التي جعلها الشارع علّة لمسبّبات خاصّة مثل الجنابة والحيض ومسّ الميّت التي كلّ منها علّة لوجوب الغسل عند حصولها ، وإمّا الأوامر والنواهي التي هي علّة للوجوب والحرمة ، ولمّا كان كلّ منهما مربوطاً بتحقّق الإرادة والكراهة القائمتين بنفس الآمر والناهي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مبدأ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الأوامر والنواهي معلولات أو ظهورات للإرادة والكراهة ، والأسباب الشرعية أسباب للأوامر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صرف الكلام إلى متعلّق الإرادة والكراهة وكيفية تعلّقهما به ؛ حتّى يتّضح ما هو الحقّ الصراح </w:t>
      </w:r>
      <w:r>
        <w:rPr>
          <w:rFonts w:eastAsia="Amiri" w:cs="Amiri" w:ascii="Amiri" w:hAnsi="Amiri"/>
          <w:color w:val="111111"/>
          <w:sz w:val="28"/>
          <w:szCs w:val="28"/>
          <w:rtl w:val="true"/>
          <w:lang w:bidi="ar-SA"/>
        </w:rPr>
        <w:t xml:space="preserve">. </w:t>
      </w:r>
      <w:bookmarkStart w:id="271" w:name="pg8101_60545"/>
    </w:p>
    <w:p>
      <w:pPr>
        <w:pStyle w:val="Heading4"/>
        <w:numPr>
          <w:ilvl w:val="3"/>
          <w:numId w:val="1"/>
        </w:numPr>
        <w:rPr/>
      </w:pPr>
      <w:bookmarkStart w:id="272" w:name="__RefHeading___Toc7940388_1051229030"/>
      <w:bookmarkStart w:id="273" w:name="_Toc98"/>
      <w:bookmarkEnd w:id="271"/>
      <w:bookmarkEnd w:id="272"/>
      <w:r>
        <w:rPr>
          <w:rtl w:val="true"/>
        </w:rPr>
        <w:t>بيان متعلّق الإرادة والكراهة وكيفية تعلّقهما به</w:t>
      </w:r>
      <w:bookmarkEnd w:id="27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ذوات الإضافات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تتشخّص بنفس ذاتها ، بل يكون تشخّصها بمتعلّقاتها ، فحينئذٍ تصير في الوحدة والكثرة تابعة للمتعلّقات ، فلا يمكن أن يتعلّق حبّ أو بغض أو إرادة أو كراهة بشيء واحد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صِرف الوجود ، أو حقيقة الوجود ، أو ما شئت فسمّه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محبوباً أو مبغوضاً أو مكروهاً مرّتين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حقيقة الوضوء مورداً لإرادتين ؛ إلاّ أن يكون الوضوء الثاني متقيّداً بقيد قبل تعلّق الإرادة به ، فيصير متشخّصاً آخر تتعلّق به</w:t>
      </w:r>
    </w:p>
    <w:p>
      <w:pPr>
        <w:pStyle w:val="BookText"/>
        <w:rPr/>
      </w:pPr>
      <w:r>
        <w:rPr>
          <w:rFonts w:ascii="Amiri" w:hAnsi="Amiri" w:eastAsia="Amiri" w:cs="Amiri"/>
          <w:color w:val="111111"/>
          <w:sz w:val="28"/>
          <w:sz w:val="28"/>
          <w:szCs w:val="28"/>
          <w:rtl w:val="true"/>
          <w:lang w:bidi="ar-SA"/>
        </w:rPr>
        <w:t xml:space="preserve">إرادة اُخرى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أن تكون نفس الإرادة مشخّصاً للمراد إلاّ الإرادة التكوينية التي للمبادئ العالية ؛ وذلك لأنّ الإرادة في غيرها حالة إجماعية أو همّة نفسانية حاصلة عقيب الشوق التامّ الحاصل للنفس عقيب تصوّر الموضوع والتصديق بفائدته ، وما لم تتصوّر النفس الموضوع بحدوده ولم يصر في الشعبة القضائية للنفس مورد القبول والتصديق ، لم يتعلّق الشوق به ، وما لم يتعلّق الشوق التامّ به لم يصر مورداً للإرادة ، وكذا الحال في الكراهة</w:t>
      </w:r>
      <w:r>
        <w:rPr>
          <w:rStyle w:val="FootnoteAnchor"/>
          <w:rtl w:val="true"/>
        </w:rPr>
        <w:footnoteReference w:id="348"/>
      </w:r>
      <w:r>
        <w:rPr>
          <w:rFonts w:ascii="Amiri" w:hAnsi="Amiri" w:eastAsia="Amiri" w:cs="Amiri"/>
          <w:color w:val="111111"/>
          <w:sz w:val="28"/>
          <w:sz w:val="28"/>
          <w:szCs w:val="28"/>
          <w:rtl w:val="true"/>
          <w:lang w:bidi="ar-SA"/>
        </w:rPr>
        <w:t xml:space="preserve">التي هي حالة إجماعية بعد </w:t>
      </w:r>
    </w:p>
    <w:p>
      <w:pPr>
        <w:pStyle w:val="BookText"/>
        <w:rPr/>
      </w:pPr>
      <w:r>
        <w:rPr>
          <w:rFonts w:ascii="Amiri" w:hAnsi="Amiri" w:eastAsia="Amiri" w:cs="Amiri"/>
          <w:color w:val="111111"/>
          <w:sz w:val="28"/>
          <w:sz w:val="28"/>
          <w:szCs w:val="28"/>
          <w:rtl w:val="true"/>
          <w:lang w:bidi="ar-SA"/>
        </w:rPr>
        <w:t xml:space="preserve">تنفّر تامّ حاصل عقيب التصديق بعدم وجود الشيء المتصوّر ، فوحدة الإرادة والكراهة وكثرتهما تابعتان لوحدة المتعلّق وكثرته ، وذلك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فارجع إلى وجدانك تعلم صدق ما ذكرنا ، فإنّ حقيقة الماء لا يمكن أن تكون محبوبة لك مرّتين ، ثمّ بمحبوبيتك يصير المتعلّق متكرّراً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والطبيعة وإن كانت قابلة للتكرار ، لكن مكرّرها لا يمكن أن يكون نفس الإرادة والكراهة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يعلم حال الأوامر والنواهي والأسباب التشريعية التي لم تكن أسباباً لمتعلّقاتها ، بل للأمر بها أو النهي عنها ، فإنّ التحريك الغير التأكيدي لا يمكن أن يتعلّق بحقيقة واحدة ، ولو تعلّق الأمر بشيء ألف مرّة لا يفيد إلاّ تأكيداً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فأصالة الإطلاق في المتعلّق تجعله غير قابل للتكرار ، فيقع التعارض بينها وبين ظهور الأمر في التأسيس أو ظهور أدوات الشرط في العلّية الاستقلالية ، وظهور الأوّل لا يكون ظهوراً معتدّاً به ، والثاني أيضاً كذلك أو ممنوع من رأس ، فتقدّم أصالة الإطلاق ، فتصير النتيجة التداخل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مسلّم مع كون حقيقة الوجود واحدة ، وأمّا مع كونها قابلة للوحدة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عدم كثرة الإرادة والكراهة وأمثالهما عدم كثرتها ، فالكثرة </w:t>
      </w:r>
    </w:p>
    <w:p>
      <w:pPr>
        <w:pStyle w:val="BookText"/>
        <w:rPr/>
      </w:pPr>
      <w:r>
        <w:rPr>
          <w:rFonts w:ascii="Amiri" w:hAnsi="Amiri" w:eastAsia="Amiri" w:cs="Amiri"/>
          <w:color w:val="111111"/>
          <w:sz w:val="28"/>
          <w:sz w:val="28"/>
          <w:szCs w:val="28"/>
          <w:rtl w:val="true"/>
          <w:lang w:bidi="ar-SA"/>
        </w:rPr>
        <w:t>فيها تابعة للكثرة في الحقيقة، فإذا لم تكن مقتضية للكثرة فتصير النتيجة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حقيقة الوجود قابلة للكثرة والوحدة ، وهي بنفسها لا واحدة ولا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المماشاة مع القوم في اصطلاحهم واقتضاء علومهم ، وإلاّ فالتحقيق أنّ ما هو قابل للوحدة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مقتضية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الطبيعة اللا بشرط المقسمية ؛ أي الماهية من حيث هي ، وهي لا يمكن أن تكون مورداً لإرادة ولا كراهة ولا أمر ولا نهي ، بل هي بهذا النعت اللا بشرطي لا توجد إلاّ بنعت الكثرة والوحدة ؛ حتّى الموجود في الذهن بعد التحليل والتجريد لا يكون إلاّ قسماً منها يرى المقسم في ضمن أبسط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أصل الكلام</w:t>
      </w:r>
      <w:r>
        <w:rPr>
          <w:rStyle w:val="FootnoteAnchor"/>
          <w:rtl w:val="true"/>
        </w:rPr>
        <w:footnoteReference w:id="349"/>
      </w:r>
      <w:r>
        <w:rPr>
          <w:rFonts w:ascii="Amiri" w:hAnsi="Amiri" w:eastAsia="Amiri" w:cs="Amiri"/>
          <w:color w:val="111111"/>
          <w:sz w:val="28"/>
          <w:sz w:val="28"/>
          <w:szCs w:val="28"/>
          <w:rtl w:val="true"/>
          <w:lang w:bidi="ar-SA"/>
        </w:rPr>
        <w:t xml:space="preserve">مع أنّ مبدأ المشتقّات يكون بلا اسم ولا رسم ؛ وذلك لأنّ المصدر أبسط المشتقّات على رأيهم فيكون معرّفاً لما هو أصل المشتقّات ، لا هو بنفسه أصلها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الموصوف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لا واحد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حقيقة وجود المسبّبات ، كما أفاده شيخنا العلاّمة ، وما هو متعلّق الإرادة والكراهة لا يمكن أن يكون تلك الطبيعة اللا بشرطية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هذا المقام يحتاج إلى بسط الكلام ؛ وبيان متعلّق الإرادة والكراهة ، والأوامر والنواهي ، والنقض والإبرام فيه ، وليس هنا مقامه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الثالثة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8101_60551"/>
      <w:bookmarkStart w:id="275" w:name="pg8101_60551"/>
      <w:bookmarkEnd w:id="275"/>
    </w:p>
    <w:p>
      <w:pPr>
        <w:pStyle w:val="Heading3"/>
        <w:numPr>
          <w:ilvl w:val="2"/>
          <w:numId w:val="1"/>
        </w:numPr>
        <w:rPr/>
      </w:pPr>
      <w:bookmarkStart w:id="276" w:name="pg8101_60551"/>
      <w:bookmarkStart w:id="277" w:name="__RefHeading___Toc7940390_1051229030"/>
      <w:bookmarkStart w:id="278" w:name="_Toc99"/>
      <w:bookmarkEnd w:id="276"/>
      <w:bookmarkEnd w:id="277"/>
      <w:r>
        <w:rPr>
          <w:rtl w:val="true"/>
        </w:rPr>
        <w:t xml:space="preserve">الفائدة الثالثة </w:t>
      </w:r>
      <w:r>
        <w:rPr>
          <w:rtl w:val="true"/>
        </w:rPr>
        <w:t xml:space="preserve">: </w:t>
      </w:r>
      <w:r>
        <w:rPr>
          <w:rtl w:val="true"/>
        </w:rPr>
        <w:t>في قياس الأوامر التشريعية بالعلل التكوينية وما يترتّب عليه</w:t>
      </w:r>
      <w:bookmarkEnd w:id="278"/>
    </w:p>
    <w:p>
      <w:pPr>
        <w:pStyle w:val="Heading4"/>
        <w:numPr>
          <w:ilvl w:val="3"/>
          <w:numId w:val="1"/>
        </w:numPr>
        <w:rPr/>
      </w:pPr>
      <w:bookmarkStart w:id="279" w:name="__RefHeading___Toc7940392_1051229030"/>
      <w:bookmarkStart w:id="280" w:name="_Toc100"/>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فائدة في قياس الأوامر التشريعية بالعلل التكوينية وما يترتّب عليه</w:t>
      </w:r>
    </w:p>
    <w:p>
      <w:pPr>
        <w:pStyle w:val="Heading4"/>
        <w:numPr>
          <w:ilvl w:val="3"/>
          <w:numId w:val="1"/>
        </w:numPr>
        <w:rPr/>
      </w:pPr>
      <w:bookmarkStart w:id="281" w:name="__RefHeading___Toc7940394_1051229030"/>
      <w:bookmarkStart w:id="282" w:name="_Toc101"/>
      <w:bookmarkEnd w:id="281"/>
      <w:r>
        <w:rPr>
          <w:rtl w:val="true"/>
        </w:rPr>
        <w:t>إبطال أصالة الفورية</w:t>
      </w:r>
      <w:bookmarkEnd w:id="282"/>
    </w:p>
    <w:p>
      <w:pPr>
        <w:pStyle w:val="BookText"/>
        <w:rPr/>
      </w:pPr>
      <w:r>
        <w:rPr>
          <w:rFonts w:ascii="Amiri" w:hAnsi="Amiri" w:eastAsia="Amiri" w:cs="Amiri"/>
          <w:color w:val="111111"/>
          <w:sz w:val="28"/>
          <w:sz w:val="28"/>
          <w:szCs w:val="28"/>
          <w:rtl w:val="true"/>
          <w:lang w:bidi="ar-SA"/>
        </w:rPr>
        <w:t xml:space="preserve">ونظير ما مضى في الفائدة السالفة ما وقع منه قدّس سرّه أيضاً في أواخر عمره الشريف من قياس الأوامر التشريعية بالعلل التكوينية ؛ وأنّ الأوامر وإن لم تدلّ على الفور بنحو اللحاظ والقيدية ، إلاّ أنّ الفور من لوازم الأوامر ، فبنى على أنّ الأصل في قضاء الصلوات المضايقة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الأمر المتعلّق بموضوع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مدلوله اللفظي ظاهراً في الفور ولا في التراخي ، ولكن لا يمكن التمسّك به للتراخي بواسطة الإطلاق ، ولا التمسّك بالبراءة العقلية لنفي الفورية ؛ لأ 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الفورية وإن كانت غير ملحوظة للآمر قيداً للعمل ، إلاّ أ نّها من لوازم الأمر المتعلّق به ؛ فإنّ الأمر تحريك إلى العمل وعلّة </w:t>
      </w:r>
    </w:p>
    <w:p>
      <w:pPr>
        <w:pStyle w:val="BookText"/>
        <w:rPr/>
      </w:pPr>
      <w:r>
        <w:rPr>
          <w:rFonts w:ascii="Amiri" w:hAnsi="Amiri" w:eastAsia="Amiri" w:cs="Amiri"/>
          <w:color w:val="111111"/>
          <w:sz w:val="28"/>
          <w:sz w:val="28"/>
          <w:szCs w:val="28"/>
          <w:rtl w:val="true"/>
          <w:lang w:bidi="ar-SA"/>
        </w:rPr>
        <w:t>تشريعية ، وكما أنّ العلّة التكوينية لا تنفكّ عن معلولها في الخارج ، كذلك العلّة التشريعية تقتضي عدم انفكاكها عن معلولها في الخارج ؛ وإن لم يلاحظ الآمر ترتّبه على العلّة في الخارج قيداً</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انتهى كلامه زيد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العلل التكوينية لا يمكن أن تؤثّر في الزمن المتأخّر ؛ فإنّ تشخّص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لها الغير المنفكّ عن الزمان في المعلولات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ذات العلّة ، وأمّا الأمر فكما يمكن أن يتعلّق بالطبيعة على نحو الفور أو التراخي ، يمكن أن يتعلّق بها مجرّدة عنهما ، فعليه لا يمكن أن يدعو إلاّ إلى نفس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الملازمة بين الإيجاب والوجوب في أصل الحقيقة وحدودها ، أنّ الإيجاب إذا تعلّق بموضوعٍ ما ، تعلّق الوجوب به ، وقامت الحجّة عليه لا على غيره ، فلا يمكن أن تكون الحجّة على الطبيعة حجّة على تشخّصاتها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من تشخّصات وجود الطبيعة ، أو من أمارات التشخّص على ما هو التحقيق</w:t>
      </w:r>
      <w:r>
        <w:rPr>
          <w:rStyle w:val="FootnoteAnchor"/>
          <w:rtl w:val="true"/>
        </w:rPr>
        <w:footnoteReference w:id="351"/>
      </w:r>
      <w:r>
        <w:rPr>
          <w:rFonts w:ascii="Amiri" w:hAnsi="Amiri" w:eastAsia="Amiri" w:cs="Amiri"/>
          <w:color w:val="111111"/>
          <w:sz w:val="28"/>
          <w:sz w:val="28"/>
          <w:szCs w:val="28"/>
          <w:rtl w:val="true"/>
          <w:lang w:bidi="ar-SA"/>
        </w:rPr>
        <w:t xml:space="preserve">فيكون غير منفكّ عنه في الخارج ، وأمّا وجوب الطبيعة فغير ملازم للزمان أصلاً ؛ لا الزمان الحاضر ولا غيره ، فوزان الزمان وزان المكان وسائر الأعراض الشخصية ، فكما لا يمكن أن تكون الحجّة على الطبيعة حجّة على إيجادها في مكان خاصّ أو مع لاحق خاصّ أو عرض مخصوص ، لا يمكن أن تكون حجّة على إيجادها في زمان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والتفرقة بين الوجود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التفرقة بين الزمان وسائر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bookmarkStart w:id="283" w:name="pg8101_60553"/>
    </w:p>
    <w:p>
      <w:pPr>
        <w:pStyle w:val="Heading4"/>
        <w:numPr>
          <w:ilvl w:val="3"/>
          <w:numId w:val="1"/>
        </w:numPr>
        <w:rPr/>
      </w:pPr>
      <w:bookmarkStart w:id="284" w:name="__RefHeading___Toc7940396_1051229030"/>
      <w:bookmarkStart w:id="285" w:name="_Toc102"/>
      <w:bookmarkEnd w:id="283"/>
      <w:bookmarkEnd w:id="284"/>
      <w:r>
        <w:rPr>
          <w:rtl w:val="true"/>
        </w:rPr>
        <w:t>إبطال أصالة التعبّدية</w:t>
      </w:r>
      <w:bookmarkEnd w:id="285"/>
    </w:p>
    <w:p>
      <w:pPr>
        <w:pStyle w:val="BookText"/>
        <w:rPr/>
      </w:pPr>
      <w:r>
        <w:rPr>
          <w:rFonts w:ascii="Amiri" w:hAnsi="Amiri" w:eastAsia="Amiri" w:cs="Amiri"/>
          <w:color w:val="111111"/>
          <w:sz w:val="28"/>
          <w:sz w:val="28"/>
          <w:szCs w:val="28"/>
          <w:rtl w:val="true"/>
          <w:lang w:bidi="ar-SA"/>
        </w:rPr>
        <w:t xml:space="preserve">ومن التأمّل فيما تلونا عليك يمكن لك الجواب عمّا أفاده قدّس سرّه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الأوامر التعبّدية ؛ فإنّ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العلل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نحو الطبيعة المقيّدة بتحريكها إيّاه لبّاً ؛ وإن لم يؤخذ ذاك القيد في المتعلّق ، كما أنّ العلل التكوينية تؤثّر في المعلولات المستندة إليها لبّاً وإن لم تؤثّر فيها بعنوانها ، فإذا أوجد المكلّف الطبيعة القابلة للتكرار بالدواعي النفسانية مثلاً ، لم يكن آتياً</w:t>
      </w:r>
    </w:p>
    <w:p>
      <w:pPr>
        <w:pStyle w:val="BookText"/>
        <w:rPr/>
      </w:pPr>
      <w:r>
        <w:rPr>
          <w:rFonts w:ascii="Amiri" w:hAnsi="Amiri" w:eastAsia="Amiri" w:cs="Amiri"/>
          <w:color w:val="111111"/>
          <w:sz w:val="28"/>
          <w:sz w:val="28"/>
          <w:szCs w:val="28"/>
          <w:rtl w:val="true"/>
          <w:lang w:bidi="ar-SA"/>
        </w:rPr>
        <w:t xml:space="preserve">بما هو المأمور به واقعاً ؛ فإنّ الأمر لا يحرّك إلى الطبيعة المطلقة ، فإنّ المطلقة لا تكون مطلوبة ، ولا يحرّك إلى المقيّدة بالقيد اللحاظي ، بل إلى المقيّدة بالقيد اللبّي ، فلا بدّ أن يكون العبد متحرّكاً بتحريك الأمر حتّى يكون آتياً للمأمور به الذي هو معلول علّة 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في الأوامر التعبّدية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محصّل ما أفاده قدّس سرّه في مجلس بحثه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المنتزعة عن الأوامر في الرتبة المتأخّرة عن تعلّق الأمر ، لا يمكن أن يكون الأمر محرّكاً نحوها ، ولا حجّة عليها إلاّ أن يأخذها في المتعلّق ؛ بناءً على جواز أخذها كما حقّق في محلّه</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للمولى حجّة على العبد إلاّ على ما تعلّق الأمر به ، فالأمر لا يدعو إلاّ إلى نفس الطبيعة ، فلا تكون حجّة إلاّ عليها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المطلق لا يمكن أن تكون حجّة على المقيّد ، واستناد الطبيعة إلى الأمر أمر متأخّر منتزع من تعلّقه بها ، فالاستناد وإن كان أمراً </w:t>
      </w:r>
      <w:bookmarkStart w:id="286" w:name="pg8101_60554"/>
    </w:p>
    <w:p>
      <w:pPr>
        <w:pStyle w:val="BookText"/>
        <w:rPr/>
      </w:pPr>
      <w:bookmarkEnd w:id="286"/>
      <w:r>
        <w:rPr>
          <w:rFonts w:ascii="Amiri" w:hAnsi="Amiri" w:eastAsia="Amiri" w:cs="Amiri"/>
          <w:color w:val="111111"/>
          <w:sz w:val="28"/>
          <w:sz w:val="28"/>
          <w:szCs w:val="28"/>
          <w:rtl w:val="true"/>
          <w:lang w:bidi="ar-SA"/>
        </w:rPr>
        <w:t xml:space="preserve">عقلياً ، ولكن احتجاج المولى على العبد بالنسبة إلى قصده بلا بيان ، قبيح عقلاً ، فتدبّر </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7940398_1051229030"/>
      <w:bookmarkStart w:id="288" w:name="_Toc103"/>
      <w:bookmarkEnd w:id="287"/>
      <w:r>
        <w:rPr>
          <w:rtl w:val="true"/>
        </w:rPr>
        <w:t>إبطال حمل صيغة الأمر على الوجوب عند الإطلاق</w:t>
      </w:r>
      <w:bookmarkEnd w:id="288"/>
    </w:p>
    <w:p>
      <w:pPr>
        <w:pStyle w:val="BookText"/>
        <w:rPr/>
      </w:pPr>
      <w:r>
        <w:rPr>
          <w:rFonts w:ascii="Amiri" w:hAnsi="Amiri" w:eastAsia="Amiri" w:cs="Amiri"/>
          <w:color w:val="111111"/>
          <w:sz w:val="28"/>
          <w:sz w:val="28"/>
          <w:szCs w:val="28"/>
          <w:rtl w:val="true"/>
          <w:lang w:bidi="ar-SA"/>
        </w:rPr>
        <w:t xml:space="preserve">وبنحو ما ذكرنا يمكن الجواب عمّا أفاده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صيغة الأمر هل هي حقيقة في الوجوب ، أو الندب ، أو فيهما على سبيل الاشتراك اللفظي ، أو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قدّس سرّه اختار الأخير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لكنّها تحمل على الأوّل 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ذلك أن الإرادة المتوجّهة إلى الفعل ، تقتضي وجوده ليس إلاّ ، والندب إنّما يأتي من قِبل الإذن في الترك منضمّاً إلى الإرادة المذكورة ، فاحتاج الندب إلى قيد زائد ، بخلاف الوجوب فإنّه يكفي فيه تحقّق الإرادة وعدم انضمام الرخصة في الترك إليها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المشترك تكون نسبته إلى أقسامه على السواء ، فلا يمكن أن يكون حجّة على أحدها إلاّ بانصراف لفظي ، أو قرينة لفظية أو معنوية مفقودة في البين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في الوجوب والندب إرادتان مختلفتان بحسب المرتبة ، تكون كلّ منهما بحسبها مختلفة مع الاُخرى ، لا أنّ الإرادة في الوجوب هي الإرادة في الندب بلا انضمام الرخصة ، فالرخصة في الترك في الندب وعدمها في الوجوب ، إنّما هي بيان لفظي وحكاية قولية لحدود الإرادة ، فالإرادة </w:t>
      </w:r>
    </w:p>
    <w:p>
      <w:pPr>
        <w:pStyle w:val="BookText"/>
        <w:rPr/>
      </w:pPr>
      <w:r>
        <w:rPr>
          <w:rFonts w:ascii="Amiri" w:hAnsi="Amiri" w:eastAsia="Amiri" w:cs="Amiri"/>
          <w:color w:val="111111"/>
          <w:sz w:val="28"/>
          <w:sz w:val="28"/>
          <w:szCs w:val="28"/>
          <w:rtl w:val="true"/>
          <w:lang w:bidi="ar-SA"/>
        </w:rPr>
        <w:t xml:space="preserve">الوجوبية مرتبة بسيطة إذا أردنا شرحها نعبّر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الإرادة مع عدم</w:t>
      </w:r>
    </w:p>
    <w:p>
      <w:pPr>
        <w:pStyle w:val="BookText"/>
        <w:rPr/>
      </w:pPr>
      <w:r>
        <w:rPr>
          <w:rFonts w:ascii="Amiri" w:hAnsi="Amiri" w:eastAsia="Amiri" w:cs="Amiri"/>
          <w:color w:val="111111"/>
          <w:sz w:val="28"/>
          <w:sz w:val="28"/>
          <w:szCs w:val="28"/>
          <w:rtl w:val="true"/>
          <w:lang w:bidi="ar-SA"/>
        </w:rPr>
        <w:t xml:space="preserve">الرخصة في الترك ؛ على أن يكون القيد أو الجزء قيداً أو جزءاً للحدّ لا المحدود ؛ ومن قبيل زيادة الحدّ على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الإرادة الندبية بالنسبة إلى الرخصة في الترك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النسبة بين الإرادة الإيجابية والندبية هي الإطلاق والتقييد ؛ لتكون الرخصة قيداً زائداً ، كما لا يخفى </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الرابعة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8101_60559"/>
      <w:bookmarkStart w:id="290" w:name="pg8101_60559"/>
      <w:bookmarkEnd w:id="290"/>
    </w:p>
    <w:p>
      <w:pPr>
        <w:pStyle w:val="Heading3"/>
        <w:numPr>
          <w:ilvl w:val="2"/>
          <w:numId w:val="1"/>
        </w:numPr>
        <w:rPr/>
      </w:pPr>
      <w:bookmarkStart w:id="291" w:name="pg8101_60559"/>
      <w:bookmarkStart w:id="292" w:name="__RefHeading___Toc7940400_1051229030"/>
      <w:bookmarkStart w:id="293" w:name="_Toc104"/>
      <w:bookmarkEnd w:id="291"/>
      <w:bookmarkEnd w:id="292"/>
      <w:r>
        <w:rPr>
          <w:rtl w:val="true"/>
        </w:rPr>
        <w:t xml:space="preserve">الفائدة الرابعة </w:t>
      </w:r>
      <w:r>
        <w:rPr>
          <w:rtl w:val="true"/>
        </w:rPr>
        <w:t xml:space="preserve">: </w:t>
      </w:r>
      <w:r>
        <w:rPr>
          <w:rtl w:val="true"/>
        </w:rPr>
        <w:t>في موضوع علم الاُصول</w:t>
      </w:r>
      <w:bookmarkEnd w:id="293"/>
    </w:p>
    <w:p>
      <w:pPr>
        <w:pStyle w:val="Heading4"/>
        <w:numPr>
          <w:ilvl w:val="3"/>
          <w:numId w:val="1"/>
        </w:numPr>
        <w:rPr/>
      </w:pPr>
      <w:bookmarkStart w:id="294" w:name="__RefHeading___Toc7940402_1051229030"/>
      <w:bookmarkStart w:id="295" w:name="_Toc105"/>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فائدة في موضوع علم الاُصول</w:t>
      </w:r>
    </w:p>
    <w:p>
      <w:pPr>
        <w:pStyle w:val="BookText"/>
        <w:rPr/>
      </w:pPr>
      <w:r>
        <w:rPr>
          <w:rFonts w:ascii="Amiri" w:hAnsi="Amiri" w:eastAsia="Amiri" w:cs="Amiri"/>
          <w:color w:val="111111"/>
          <w:sz w:val="28"/>
          <w:sz w:val="28"/>
          <w:szCs w:val="28"/>
          <w:rtl w:val="true"/>
          <w:lang w:bidi="ar-SA"/>
        </w:rPr>
        <w:t xml:space="preserve">طالما وقع التشاجر بين علماء فنّ الاُصول في موضوعه ؛ فمن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الأدلّة بعنوانها</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ومن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هي من حيث هي</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واستقرّ رأي محقّقي المتأخّرين على مبهميته</w:t>
      </w:r>
      <w:r>
        <w:rPr>
          <w:rStyle w:val="FootnoteAnchor"/>
          <w:rtl w:val="true"/>
        </w:rPr>
        <w:footnoteReference w:id="356"/>
      </w:r>
      <w:r>
        <w:rPr>
          <w:rFonts w:ascii="Amiri" w:hAnsi="Amiri" w:eastAsia="Amiri" w:cs="Amiri"/>
          <w:color w:val="111111"/>
          <w:sz w:val="28"/>
          <w:sz w:val="28"/>
          <w:szCs w:val="28"/>
          <w:rtl w:val="true"/>
          <w:lang w:bidi="ar-SA"/>
        </w:rPr>
        <w:t>وهذا عار عظيم على مثل هذا العلم الذي أسهر الفحول أعينهم فيه ، وقد ألجأتهم إلى الالتزام به بعض الشبهات الواردة على كلا الرأيين</w:t>
      </w:r>
      <w:r>
        <w:rPr>
          <w:rStyle w:val="FootnoteAnchor"/>
          <w:rtl w:val="true"/>
        </w:rPr>
        <w:footnoteReference w:id="357"/>
      </w:r>
      <w:r>
        <w:rPr>
          <w:rFonts w:ascii="Amiri" w:hAnsi="Amiri" w:eastAsia="Amiri" w:cs="Amiri"/>
          <w:color w:val="111111"/>
          <w:sz w:val="28"/>
          <w:sz w:val="28"/>
          <w:szCs w:val="28"/>
          <w:rtl w:val="true"/>
          <w:lang w:bidi="ar-SA"/>
        </w:rPr>
        <w:t xml:space="preserve">ولمّا كان الحقّ في نظري القاصر كون الموضوع هو الحجّة بعنوانها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فعليه يسقط ما في هذه الأوراق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علّق الإمام العلاّمة قدس سره على نظير المقام في أنوار الهداية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أردت أن أدفع الشبهة المهمّة الداعية إلى ذلك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هذا العلم عبارة عن أشياء متشتّتة تعرضها تلك المسائل ، كخبر الواحد والشهرة ، والشكّ في الشيء مع العلم بالحالة السابقة ، والشكّ في التكليف مع عدم العلم بالحالة السابقة ، وأمثال ذلك ممّا يبحث عن عوارضه في هذا العلم ، ولا تجمعها الأدلّة لا بعنوانها ولا بذواتها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فللزوم خروج مسائل حجّية الخبر والشهرة والظواهر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ممّا يبحث فيه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 الاُصول ودخولها في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للزوم ذلك في مسألة التعادل والتراجيح ؛ لأنّ البحث فيها راجع أيضاً إلى الحجّية في تلك الحالة ، والالتزام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معظم ما يبحث عنه في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انتهى كلامه رفع مقامه ، وقريب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العلاّمة الخراساني قدّس سرّه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العلم إذا كان الحجّة بما هي حجّة ، يكون عقد البحث في تلك المسائل المنقوض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هل هي خبر الواحد والشهرة والظاهر الكذائي ؟ لا أ نّها هل هي الحجّة ؟ فإنّه على ذلك تكون الحجّة محمولاً لا موضوعاً ، والفرض أ نّها موضوع ، فيكون روح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هل هي متعيّنة بتعيّن خبر الواحد أو الشهرة أو مثلهما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أمر جامع بين موضوعات المسائل الاُصولية ، فالاُصولي يبحث عن تعيّناتها التي هي العوارض التحليلية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الضرورة قاضية بأنّ الحجّية من العوارض ، ويكون لخبر الواحد وأمثاله سمة الموضوعية لا العكس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الاُمور من الاعتباريات التي يمكن اعتبارها بأيّ نحو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أنّه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والذهن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والمعروض متعاكسين ، ألا ترى أنّ الوجود في الخارج متّحد مع الماهية أو معروض لها كما عند جماعة ، وعارض عليها في الذهن</w:t>
      </w:r>
      <w:r>
        <w:rPr>
          <w:rStyle w:val="FootnoteAnchor"/>
          <w:rtl w:val="true"/>
        </w:rPr>
        <w:footnoteReference w:id="362"/>
      </w:r>
      <w:r>
        <w:rPr>
          <w:rFonts w:ascii="Amiri" w:hAnsi="Amiri" w:eastAsia="Amiri" w:cs="Amiri"/>
          <w:color w:val="111111"/>
          <w:sz w:val="28"/>
          <w:sz w:val="28"/>
          <w:szCs w:val="28"/>
          <w:rtl w:val="true"/>
          <w:lang w:bidi="ar-SA"/>
        </w:rPr>
        <w:t>، وأنّ الجنس والفصل متّحدان في الخارج ، وكلّ واحدٍ منهما لازم الآخر ، أو عارضه بوجه في العقل ، كما هو المقرّر عندهم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يعلم الاُصولي 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عباده في الفقه ، يتفحّص عن تعيّناتها التي هي العوارض التحليلية لها ، فالموضوع هو الحجّة بنعت اللا بشرطية ، والمحمولات عبارة عن نفس تعيّناتها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انعقاد البحث في كتب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الواحد حجّة أو الشهرة حجّة ومثل ذلك دون العكس فبحث صوري ظاهري ، وروح البحث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لو كانت المسألة هي هذه الصورة والظاهر فأوّل ما 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هي المحمول لا الموضوع فلا يكون لأصل الإشكال وقْعٌ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الغفلة والذهول إلى الأجلّة والفحول غفلة وذهول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لزوم استطراد جلّ مسائل علم المعقول ، حيث إنّ موضوعه الوجود أو الموجود بما أ نّه موجود ، مع أ نّه يبحث فيه عن وجود الإله والعقل والنفس والجسم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هناك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المسائل المذكورة انعقدت كذلك صورة من أجل سهولة البحث ، وإلاّ فالمسألة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هو العقل أو النفس أو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وأمثاله موجود</w:t>
      </w:r>
      <w:r>
        <w:rPr>
          <w:rFonts w:eastAsia="Amiri" w:cs="Amiri" w:ascii="Amiri" w:hAnsi="Amiri"/>
          <w:color w:val="111111"/>
          <w:sz w:val="28"/>
          <w:szCs w:val="28"/>
          <w:rtl w:val="true"/>
          <w:lang w:bidi="ar-SA"/>
        </w:rPr>
        <w:t xml:space="preserve">» . </w:t>
      </w:r>
      <w:bookmarkStart w:id="296" w:name="pg8101_60563"/>
    </w:p>
    <w:p>
      <w:pPr>
        <w:pStyle w:val="Heading4"/>
        <w:numPr>
          <w:ilvl w:val="3"/>
          <w:numId w:val="1"/>
        </w:numPr>
        <w:rPr/>
      </w:pPr>
      <w:bookmarkStart w:id="297" w:name="__RefHeading___Toc7940404_1051229030"/>
      <w:bookmarkStart w:id="298" w:name="_Toc106"/>
      <w:bookmarkEnd w:id="296"/>
      <w:bookmarkEnd w:id="297"/>
      <w:r>
        <w:rPr>
          <w:rtl w:val="true"/>
        </w:rPr>
        <w:t>حول تمايز العلوم</w:t>
      </w:r>
      <w:bookmarkEnd w:id="298"/>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نّهم حيث تحيّروا في موضوع علمهم ، استقرّ أيضاً رأيهم على أنّ اختلاف العلوم باختلاف الأغراض التي من أجلها دوّن العلم ؛ فراراً من لزوم كون كلّ مسألة أو باب علماً على حدة</w:t>
      </w:r>
      <w:r>
        <w:rPr>
          <w:rStyle w:val="FootnoteAnchor"/>
          <w:rtl w:val="true"/>
        </w:rPr>
        <w:footnoteReference w:id="364"/>
      </w:r>
      <w:r>
        <w:rPr>
          <w:rFonts w:ascii="IRNazanin" w:hAnsi="IRNazanin" w:eastAsia="IRNazanin"/>
          <w:color w:val="111111"/>
          <w:sz w:val="28"/>
          <w:sz w:val="28"/>
          <w:szCs w:val="28"/>
          <w:rtl w:val="true"/>
          <w:lang w:bidi="fa-IR"/>
        </w:rPr>
        <w:t>مع أنّ اختلاف الأغراض</w:t>
      </w:r>
      <w:r>
        <w:rPr>
          <w:rStyle w:val="FootnoteAnchor"/>
          <w:rtl w:val="true"/>
        </w:rPr>
        <w:footnoteReference w:id="365"/>
      </w:r>
      <w:r>
        <w:rPr>
          <w:rFonts w:ascii="Amiri" w:hAnsi="Amiri" w:eastAsia="Amiri" w:cs="Amiri"/>
          <w:color w:val="111111"/>
          <w:sz w:val="28"/>
          <w:sz w:val="28"/>
          <w:szCs w:val="28"/>
          <w:rtl w:val="true"/>
          <w:lang w:bidi="ar-SA"/>
        </w:rPr>
        <w:t xml:space="preserve">لا يمكن إلاّ باختلاف العلوم ؛ فإنّ الأغراض مترتّبة عليها ومن آثارها المتأخّرة عنها ، ولا يمكن أن يكون علم واحد بجهة واحدة محصّلاً لغرضين مختلفين ، فلا بدّ وأن تكون العلوم قبل تحقّق الأغراض متمايزة بعضها عن بعض في حاقّ الأعيان ؛ حتّى تترتّب الأغراض المختلفة عليها ، فلو كان اختلاف العلوم وتمايزها بحسب الواقع باختلاف الأغراض للزم الدور ، وللزم كون تمايز المؤثّرات بتمايز الآثار ، وذلك واضح البطلان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العلوم باختلاف نفس المسائل ، المتشتّتة بحسب </w:t>
      </w:r>
    </w:p>
    <w:p>
      <w:pPr>
        <w:pStyle w:val="BookText"/>
        <w:rPr/>
      </w:pPr>
      <w:r>
        <w:rPr>
          <w:rFonts w:ascii="Amiri" w:hAnsi="Amiri" w:eastAsia="Amiri" w:cs="Amiri"/>
          <w:color w:val="111111"/>
          <w:sz w:val="28"/>
          <w:sz w:val="28"/>
          <w:szCs w:val="28"/>
          <w:rtl w:val="true"/>
          <w:lang w:bidi="ar-SA"/>
        </w:rPr>
        <w:t xml:space="preserve">التعيّنات والتشخّصات ، والمشتركة بحسب الموضوع والمحمول الطبيعيين ، فكما أنّ موضوع كلّ علم كلّي مشترك بين موضوعات المسائل ، كذلك محموله أيضاً ، فموضوع علم النحو هو الهيئات التي في أواخر الكلمات ، وأعراضها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ذكرناه سابقاً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الكلمات ؛ فإنّها هي الخارجات المحمولات ؛ أي المتّحدات مع الهيئات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الذبّ عن كون كلّ مسألة علماً على حدة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موضوعات المسائل لا تكون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بها 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 وإنّما اختلافها من جهات اُخرى غير مربوطة بالعلم ومسائله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العلوم باختلاف نفس المسائل من حيث محصّليتها للغرض ، فيكون الاختلاف باختلاف الجهة المحصّلة للغرض ، لا باختلافه حتّى تلزم المفاسد ، فتدبّر </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الخامسة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8101_60567"/>
      <w:bookmarkStart w:id="300" w:name="pg8101_60567"/>
      <w:bookmarkEnd w:id="300"/>
    </w:p>
    <w:p>
      <w:pPr>
        <w:pStyle w:val="Heading3"/>
        <w:numPr>
          <w:ilvl w:val="2"/>
          <w:numId w:val="1"/>
        </w:numPr>
        <w:rPr/>
      </w:pPr>
      <w:bookmarkStart w:id="301" w:name="pg8101_60567"/>
      <w:bookmarkStart w:id="302" w:name="__RefHeading___Toc7940406_1051229030"/>
      <w:bookmarkStart w:id="303" w:name="_Toc107"/>
      <w:bookmarkEnd w:id="301"/>
      <w:bookmarkEnd w:id="302"/>
      <w:r>
        <w:rPr>
          <w:rtl w:val="true"/>
        </w:rPr>
        <w:t xml:space="preserve">الفائدة الخامسة </w:t>
      </w:r>
      <w:r>
        <w:rPr>
          <w:rtl w:val="true"/>
        </w:rPr>
        <w:t xml:space="preserve">: </w:t>
      </w:r>
      <w:r>
        <w:rPr>
          <w:rtl w:val="true"/>
        </w:rPr>
        <w:t>في لزوم التبيّن الفعلي للفجر في الليالي المقمرة</w:t>
      </w:r>
      <w:bookmarkEnd w:id="303"/>
    </w:p>
    <w:p>
      <w:pPr>
        <w:pStyle w:val="Heading4"/>
        <w:numPr>
          <w:ilvl w:val="3"/>
          <w:numId w:val="1"/>
        </w:numPr>
        <w:rPr/>
      </w:pPr>
      <w:bookmarkStart w:id="304" w:name="__RefHeading___Toc7940408_1051229030"/>
      <w:bookmarkStart w:id="305" w:name="_Toc108"/>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فائدة في لزوم التبيّن الفعلي للفجر في الليالي المقمرة</w:t>
      </w:r>
    </w:p>
    <w:p>
      <w:pPr>
        <w:pStyle w:val="BookText"/>
        <w:rPr/>
      </w:pPr>
      <w:r>
        <w:rPr>
          <w:rFonts w:ascii="Amiri" w:hAnsi="Amiri" w:eastAsia="Amiri" w:cs="Amiri"/>
          <w:color w:val="111111"/>
          <w:sz w:val="28"/>
          <w:sz w:val="28"/>
          <w:szCs w:val="28"/>
          <w:rtl w:val="true"/>
          <w:lang w:bidi="ar-SA"/>
        </w:rPr>
        <w:t xml:space="preserve">كثيراً ما تقع الغفلة عن أمر تترتّب عليه فروع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الفجر في الليالي المقمرة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الليلة الثالثة عشرة إلى أواخر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يتأخّر عن غيرها قريب عشر دقيقات أو أقلّ أو أكثر ؛ حسب اختلاف ضياء القمر وقربه من الاُفق المشرقي ، وهذا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الابتلاء به في صلاة الفجر وصلاة العشاءين ونافلة الليل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مغفولاً عنه ، وكثيراً ما يراعي المؤذّنون والمصلّون الوقت النجومي ؛ ويكون تشخيصهم الفجر حسب الساعات قبل تبيّن الفجر حسّاً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هل المعتبر في اعتراض الفجر وتبيّنه هو الاعتراض والتبيّن الفعلي ، أو الأعمّ منه ومن التقديري ، نظير الاحتمالين في باب تغيّر الماء في باب المياه</w:t>
      </w:r>
      <w:r>
        <w:rPr>
          <w:rStyle w:val="FootnoteAnchor"/>
          <w:rtl w:val="true"/>
        </w:rPr>
        <w:footnoteReference w:id="367"/>
      </w:r>
      <w:r>
        <w:rPr>
          <w:rFonts w:ascii="IRNazanin" w:hAnsi="IRNazanin" w:eastAsia="IRNazanin"/>
          <w:color w:val="111111"/>
          <w:sz w:val="28"/>
          <w:sz w:val="28"/>
          <w:szCs w:val="28"/>
          <w:rtl w:val="true"/>
          <w:lang w:bidi="fa-IR"/>
        </w:rPr>
        <w:t xml:space="preserve">؟ </w:t>
      </w:r>
      <w:bookmarkStart w:id="306" w:name="pg8101_60568"/>
    </w:p>
    <w:p>
      <w:pPr>
        <w:pStyle w:val="BookText"/>
        <w:rPr/>
      </w:pPr>
      <w:bookmarkEnd w:id="306"/>
      <w:r>
        <w:rPr>
          <w:rFonts w:ascii="Amiri" w:hAnsi="Amiri" w:eastAsia="Amiri" w:cs="Amiri"/>
          <w:color w:val="111111"/>
          <w:sz w:val="28"/>
          <w:sz w:val="28"/>
          <w:szCs w:val="28"/>
          <w:rtl w:val="true"/>
          <w:lang w:bidi="ar-SA"/>
        </w:rPr>
        <w:t xml:space="preserve">ظاهر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ظاهر فتاوى الأصحاب على ما قاله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7940410_1051229030"/>
      <w:bookmarkStart w:id="308" w:name="_Toc109"/>
      <w:bookmarkEnd w:id="307"/>
      <w:r>
        <w:rPr>
          <w:rtl w:val="true"/>
        </w:rPr>
        <w:t>الاستدلال بالكتاب لاعتبار التبيّن الفعلي</w:t>
      </w:r>
      <w:bookmarkEnd w:id="308"/>
    </w:p>
    <w:p>
      <w:pPr>
        <w:pStyle w:val="BookText"/>
        <w:rPr/>
      </w:pPr>
      <w:r>
        <w:rPr>
          <w:rFonts w:ascii="Amiri" w:hAnsi="Amiri" w:eastAsia="Amiri" w:cs="Amiri"/>
          <w:color w:val="111111"/>
          <w:sz w:val="28"/>
          <w:sz w:val="28"/>
          <w:szCs w:val="28"/>
          <w:rtl w:val="true"/>
          <w:lang w:bidi="ar-SA"/>
        </w:rPr>
        <w:t xml:space="preserve">أمّا الكتاب فهو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يتميّز الخيط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الخيط الأسود الذي هو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التبيين بأنّ ذاك التميّز هو الفجر ، وظاهر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 والتميّز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التميّز الفعلي التحقيقي ، كما هو الشأن في كلّ العناوين المأخوذة في العقود والقضايا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التبيّن قد اُخذ على وجه الطريقية ؛ أي حتّى يعلم الصبح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اُخذا في القضايا يكونان ظاهرين في الطريقية، فالتبيّن طريق إلى الصبح الذي هو ساعة معيّنة ؛ لا تختلف بحسب الأيّام ذاك الاختلاف بالضرورة ، فلا بدّ من العمل بالتقدير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واشرب حتّى تعلم الفجر الذي هو وصول شعاع الشمس إلى حدّ الاُفق؛ بحيث لو لم يكن مانع ترى آثاره</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تبيّن الخيط الأبيض من الخيط الأسود ، أمارة على الفجر الذي هو وصول شعاع الشمس إلى حدّ خاصّ من الاُفق ، فالعلم به يكون </w:t>
      </w:r>
    </w:p>
    <w:p>
      <w:pPr>
        <w:pStyle w:val="BookText"/>
        <w:rPr/>
      </w:pPr>
      <w:r>
        <w:rPr>
          <w:rFonts w:ascii="Amiri" w:hAnsi="Amiri" w:eastAsia="Amiri" w:cs="Amiri"/>
          <w:color w:val="111111"/>
          <w:sz w:val="28"/>
          <w:sz w:val="28"/>
          <w:szCs w:val="28"/>
          <w:rtl w:val="true"/>
          <w:lang w:bidi="ar-SA"/>
        </w:rPr>
        <w:t>متّبعاً ولو تخلّفت الأمارة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خلاف ظاهر الآية الشريفة ؛ فإنّ ظاهرها أنّ تبيّن الخيطين وامتيازهما واقعاً هو الفجر ، لا أنّ الفجر شيء ، والتبيّن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العلم أمارة على هذا التبيّن والامتياز النفس الأمري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امتياز الخيطين وتبيّنهما ، لا واقع له إلاّ بتحقّق الخيطين حسّاً ؛ فإنّ نور القمر إذا كان قاهراً لا يظهر البياض ، فلا يتميّز الخيطان حتّى يظهر ضياء الشمس ويقهر على نور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هذا الامتياز والتبيّن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حقيقة الفجر بحسب</w:t>
      </w:r>
    </w:p>
    <w:p>
      <w:pPr>
        <w:pStyle w:val="BookText"/>
        <w:rPr/>
      </w:pPr>
      <w:r>
        <w:rPr>
          <w:rFonts w:ascii="Amiri" w:hAnsi="Amiri" w:eastAsia="Amiri" w:cs="Amiri"/>
          <w:color w:val="111111"/>
          <w:sz w:val="28"/>
          <w:sz w:val="28"/>
          <w:szCs w:val="28"/>
          <w:rtl w:val="true"/>
          <w:lang w:bidi="ar-SA"/>
        </w:rPr>
        <w:t xml:space="preserve">ظاهر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ضياء الشمس وغلبته على نور القمر ، ولا واقع له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للتبيّن ، كما لعلّه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للنشوء ، فيصير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ذاك التبيّن والامتياز لا بدّ وأن يكون ناشئاً من بياض الفجر ، والفرض أنّ بياضه لا يظهر حتّى يقهر على نور القمر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فبعيد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أخيراً من جعل الامتياز الكذائي أمارة للفجر ، ويكون الفجر وصول شعاع الشمس إلى حدّ خاصّ من الاُفق ، فهو أيضاً خلاف الظاهر من الآية الشريفة ، كما لا يخفى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نشوئية يكون الفجر غير التبيّن والامتياز الكذائي ، فيكون الامتياز أمارة عليه ، فيتمّ المطلوب </w:t>
      </w:r>
      <w:r>
        <w:rPr>
          <w:rFonts w:eastAsia="Amiri" w:cs="Amiri" w:ascii="Amiri" w:hAnsi="Amiri"/>
          <w:color w:val="111111"/>
          <w:sz w:val="28"/>
          <w:szCs w:val="28"/>
          <w:rtl w:val="true"/>
          <w:lang w:bidi="ar-SA"/>
        </w:rPr>
        <w:t xml:space="preserve">. </w:t>
      </w:r>
      <w:bookmarkStart w:id="309" w:name="pg8101_60570"/>
    </w:p>
    <w:p>
      <w:pPr>
        <w:pStyle w:val="BookText"/>
        <w:rPr/>
      </w:pPr>
      <w:bookmarkEnd w:id="309"/>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جعلها نشوئية خلاف الظاهر ، بل هو احتمال أبديناه ، والمفسّرون جعلوها للتبيين أو التبعيض</w:t>
      </w:r>
      <w:r>
        <w:rPr>
          <w:rStyle w:val="FootnoteAnchor"/>
          <w:rtl w:val="true"/>
        </w:rPr>
        <w:footnoteReference w:id="371"/>
      </w:r>
      <w:r>
        <w:rPr>
          <w:rFonts w:ascii="Amiri" w:hAnsi="Amiri" w:eastAsia="Amiri" w:cs="Amiri"/>
          <w:color w:val="111111"/>
          <w:sz w:val="28"/>
          <w:sz w:val="28"/>
          <w:szCs w:val="28"/>
          <w:rtl w:val="true"/>
          <w:lang w:bidi="ar-SA"/>
        </w:rPr>
        <w:t xml:space="preserve">إنّا لو تكلّمنا في نفس الآية الشريفة يمكن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الأكل والشرب هي هذا الامتياز لا الفجر ، فتدبّر تعرف الأمر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7940412_1051229030"/>
      <w:bookmarkStart w:id="311" w:name="_Toc110"/>
      <w:bookmarkEnd w:id="310"/>
      <w:r>
        <w:rPr>
          <w:rtl w:val="true"/>
        </w:rPr>
        <w:t>الاستدلال بالسنّة لاعتبار التبيّن الفعلي</w:t>
      </w:r>
      <w:bookmarkEnd w:id="311"/>
    </w:p>
    <w:p>
      <w:pPr>
        <w:pStyle w:val="BookText"/>
        <w:rPr/>
      </w:pPr>
      <w:r>
        <w:rPr>
          <w:rFonts w:ascii="Amiri" w:hAnsi="Amiri" w:eastAsia="Amiri" w:cs="Amiri"/>
          <w:color w:val="111111"/>
          <w:sz w:val="28"/>
          <w:sz w:val="28"/>
          <w:szCs w:val="28"/>
          <w:rtl w:val="true"/>
          <w:lang w:bidi="ar-SA"/>
        </w:rPr>
        <w:t xml:space="preserve">وأمّا السنّة فكثيرة ظاهرة في المطلوب ، بل بعضها كالنصّ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ليث المرادي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يحرم الطعام والشراب على الصائم وتحلّ الصلاة صلاة الفجر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اعترض الفجر فكان كالقبطية</w:t>
      </w:r>
      <w:r>
        <w:rPr>
          <w:rStyle w:val="FootnoteAnchor"/>
          <w:rtl w:val="true"/>
        </w:rPr>
        <w:footnoteReference w:id="372"/>
      </w:r>
      <w:r>
        <w:rPr>
          <w:rFonts w:ascii="Amiri" w:hAnsi="Amiri" w:eastAsia="Amiri" w:cs="Amiri"/>
          <w:color w:val="111111"/>
          <w:sz w:val="28"/>
          <w:sz w:val="28"/>
          <w:szCs w:val="28"/>
          <w:rtl w:val="true"/>
          <w:lang w:bidi="ar-SA"/>
        </w:rPr>
        <w:t xml:space="preserve">البيضاء </w:t>
      </w:r>
      <w:r>
        <w:rPr>
          <w:rFonts w:eastAsia="Amiri" w:cs="Amiri" w:ascii="Amiri" w:hAnsi="Amiri"/>
          <w:color w:val="111111"/>
          <w:sz w:val="28"/>
          <w:szCs w:val="28"/>
          <w:rtl w:val="true"/>
          <w:lang w:bidi="ar-SA"/>
        </w:rPr>
        <w:t>. . .»</w:t>
      </w:r>
      <w:r>
        <w:rPr>
          <w:rStyle w:val="FootnoteAnchor"/>
          <w:rtl w:val="true"/>
        </w:rPr>
        <w:footnoteReference w:id="373"/>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هشام بن الهذيل عن أبي الحسن الماضي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وقت صلاة الفجر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يعترض الفجر فتراه مثل نهر سورى</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الغداة إذا طلع الفجر وأضاء حسناً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أنّ الكون كالقبطية ونهر سورى وأمثال هذه التعبيرات ، لا ينطبق إلاّ على التميّز الحسّي والإضاءة الحسّية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وأظهر منها خبر علي بن مهزيار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الحسن بن الحصين إلى أبي جعفر الثاني علیه السلام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قد اختلف موالوك في صلاة الفجر ؛ فمنهم من يصلّي إذا طلع الفجر الأوّل المستطيل في السماء ، ومنهم من يصلّي إذا اعترض في أسفل الاُفق واستبان ، ولست أعرف أفضل الوقتين فاُصلّي فيه ، فإن رأيت أن تعلّمني أفضل الوقتين وتحدّه لي ، وكيف أصنع مع القمر والفجر لا يتبيّن معه حتّى يحمرّ ويصبح ، وكيف أصنع مع الغيم ، وما حدّ ذلك في السفر والحضر ؟ فعلت إن شاء اللّه ، فكتب بخطّه علیه السلام وقرأته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الخيط الأبيض المعترض ، وليس هو الأبيض صُعَداء</w:t>
      </w:r>
      <w:r>
        <w:rPr>
          <w:rStyle w:val="FootnoteAnchor"/>
          <w:rtl w:val="true"/>
        </w:rPr>
        <w:footnoteReference w:id="377"/>
      </w:r>
      <w:r>
        <w:rPr>
          <w:rFonts w:ascii="Amiri" w:hAnsi="Amiri" w:eastAsia="Amiri" w:cs="Amiri"/>
          <w:color w:val="111111"/>
          <w:sz w:val="28"/>
          <w:sz w:val="28"/>
          <w:szCs w:val="28"/>
          <w:rtl w:val="true"/>
          <w:lang w:bidi="ar-SA"/>
        </w:rPr>
        <w:t xml:space="preserve">فلا تصلّ في سفر ولا حضر حتّى تبيّنه ؛ فإنّ اللّه تبارك وتعالى لم يجعل خلقه في شبهة من هذا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المعترض الذي يحرم به الأكل والشرب في الصوم ، وكذلك هو الذي يوجب الصلاة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واشتماله على الغيم في سؤال السائل لا ينافي ما نحن بصدده</w:t>
      </w:r>
      <w:r>
        <w:rPr>
          <w:rStyle w:val="FootnoteAnchor"/>
          <w:rtl w:val="true"/>
        </w:rPr>
        <w:footnoteReference w:id="380"/>
      </w:r>
      <w:r>
        <w:rPr>
          <w:rFonts w:ascii="Amiri" w:hAnsi="Amiri" w:eastAsia="Amiri" w:cs="Amiri"/>
          <w:color w:val="111111"/>
          <w:sz w:val="28"/>
          <w:sz w:val="28"/>
          <w:szCs w:val="28"/>
          <w:rtl w:val="true"/>
          <w:lang w:bidi="ar-SA"/>
        </w:rPr>
        <w:t xml:space="preserve">؛ فإنّ الفرق بين ضوء القمر الذي هو مانع عن تحقّق البياض رأساً مع الغيم الذي هو كحجاب عارضي مانع عن الرؤية واضح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أنّ مقتضى الأصل أو الاُصول ذلك ، ولا مخرج عنها ؛ فإنّ الأدلّة لو لم تكن ظاهرة فيما ذكرنا لما كانت ظاهرة في القول الآخر ، فلا محيص عن التمسّك بالاستصحاب الموضوعي ، أو الحكمي مع الخدشة في الأوّل </w:t>
      </w:r>
      <w:r>
        <w:rPr>
          <w:rFonts w:eastAsia="Amiri" w:cs="Amiri" w:ascii="Amiri" w:hAnsi="Amiri"/>
          <w:color w:val="111111"/>
          <w:sz w:val="28"/>
          <w:szCs w:val="28"/>
          <w:rtl w:val="true"/>
          <w:lang w:bidi="ar-SA"/>
        </w:rPr>
        <w:t xml:space="preserve">. </w:t>
      </w:r>
      <w:bookmarkStart w:id="312" w:name="pg8101_60573"/>
    </w:p>
    <w:p>
      <w:pPr>
        <w:pStyle w:val="Heading2"/>
        <w:numPr>
          <w:ilvl w:val="1"/>
          <w:numId w:val="1"/>
        </w:numPr>
        <w:rPr/>
      </w:pPr>
      <w:bookmarkStart w:id="313" w:name="__RefHeading___Toc7940414_1051229030"/>
      <w:bookmarkStart w:id="314" w:name="_Toc111"/>
      <w:bookmarkEnd w:id="312"/>
      <w:bookmarkEnd w:id="313"/>
      <w:r>
        <w:rPr>
          <w:rtl w:val="true"/>
        </w:rPr>
        <w:t>تعليقة على رسالة التقابل</w:t>
      </w:r>
      <w:bookmarkEnd w:id="31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7940416_1051229030"/>
      <w:bookmarkStart w:id="316" w:name="_Toc112"/>
      <w:bookmarkEnd w:id="315"/>
      <w:r>
        <w:rPr>
          <w:rtl w:val="true"/>
        </w:rPr>
        <w:t>التحقيق في تعريف التقابل</w:t>
      </w:r>
      <w:bookmarkEnd w:id="3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التقابل من المقابلة ، والمادّة في جميع مشتقّاتها واحدة وهي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القَبل الذي هو نقيض البَعد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المراد أنّ المادّة المجرّدة عن جميع 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بحث المشتقّ </w:t>
      </w:r>
      <w:r>
        <w:rPr>
          <w:rStyle w:val="FootnoteAnchor"/>
          <w:rtl w:val="true"/>
        </w:rPr>
        <w:footnoteReference w:id="381"/>
      </w:r>
      <w:r>
        <w:rPr>
          <w:rFonts w:ascii="Amiri" w:hAnsi="Amiri" w:eastAsia="Amiri" w:cs="Amiri"/>
          <w:color w:val="111111"/>
          <w:sz w:val="28"/>
          <w:sz w:val="28"/>
          <w:szCs w:val="28"/>
          <w:rtl w:val="true"/>
          <w:lang w:bidi="ar-SA"/>
        </w:rPr>
        <w:t xml:space="preserve">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فلا وجه للاختصاص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مقصوده ، وإن كان المراد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المعنى ، مادّة للتقابل ولسائر المشتقّات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امتناع كون المادّة المشتركة ذات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جامدان على الظاهر ولا تفيد المشتقّات التي منها التقابل والقبول وغيرهما هذا المعنى ، بل 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المعنى ، مادّة للتقابل مع حفظ معنى التفاعل ؛ للزوم اجتماع الضدّين ، إلاّ أن يلتزم باختلاف الحيثيتين ، وهو كما ترى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المصدر المجرّد للتقابل هو القبل بمعنى النحو والتوجّه ، والأمر سهل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واختلاف الهيئات لا يوجب اختلاف معنى المادّة ، والهيئات متكفّلة لإفادة أنحاء النسب ، كما بُيّن في محلّه ، وهو التوجّه التامّ ، ومنشؤه أحد الأمرين ؛ إمّا الملاطفة أو المعاندة والمعارضة ، وأيّاً ما كان فهو يستلزم الطرفين ولا يعقل من طرف واحد ؛ لأنّه من الاُمور الاعتبارية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كالفوقية والتحتية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مطّرد في الموارد كلّها كالقابلة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فإنّها تطلق على المرأة التي تأخذ الولد لتوجّهها على الأخذ الذي لا يكون إلاّ بالتوجّه التامّ، ومنه الإقبال والقبول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وحقيقته إنّما يكون بين ذي شعور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تقابل شخصٍ الآخرَ على أحد الأمرين ، وإطلاقه على غيره من أوّل الشيء ؛ لتمحّضه على المواجهة بالإنسان ، وهذا من باب التشبيه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 من الاُمور الاعتبارية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ما في هذا التعليل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الاُمور المتضايفة ؛ وإلاّ فاعتبارية الشيء لا تقتضي الطرفين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كالقابلة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كونها من المادّة التي يؤخذ التقابل منها بمعنى كون مصدرهما المجرّد واحداً ، إشكال ، بل القابلة فاعلة من القبول مصدر شاذّ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القابلة إذا قبلت الولد وتلقّته عند الولادة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ذي شعور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غير تامّ لغة وعرفاً سواء اُخذت المقابلة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 أو لا ، كما يظهر من موارد الاستعمال عرفاً ولغة ، من غير شائبة تجوّز وتسامح </w:t>
      </w:r>
      <w:r>
        <w:rPr>
          <w:rFonts w:eastAsia="Amiri" w:cs="Amiri" w:ascii="Amiri" w:hAnsi="Amiri"/>
          <w:color w:val="111111"/>
          <w:sz w:val="28"/>
          <w:szCs w:val="28"/>
          <w:rtl w:val="true"/>
          <w:lang w:bidi="ar-SA"/>
        </w:rPr>
        <w:t xml:space="preserve">. </w:t>
      </w:r>
      <w:bookmarkStart w:id="317" w:name="pg8101_60577"/>
    </w:p>
    <w:p>
      <w:pPr>
        <w:pStyle w:val="BookText"/>
        <w:rPr/>
      </w:pPr>
      <w:bookmarkEnd w:id="317"/>
      <w:r>
        <w:rPr>
          <w:rFonts w:ascii="Amiri" w:hAnsi="Amiri" w:eastAsia="Amiri" w:cs="Amiri"/>
          <w:color w:val="111111"/>
          <w:sz w:val="28"/>
          <w:sz w:val="28"/>
          <w:szCs w:val="28"/>
          <w:rtl w:val="true"/>
          <w:lang w:bidi="ar-SA"/>
        </w:rPr>
        <w:t xml:space="preserve">ومن هذا الباب إطلاقه على كلّ غير ذي شعور ؛ لعدم إمكان التوجّه منه ، ولأنّ القبلية والبعدية إنّما هي بالنسبة إلى العاقل ، كما لو توجّه إنسان إلى شيء بجانب يكون طرفه الذي قابَلَه قبلاً وطرفه الآخر الذي خلافه دَبراً ، وإذا توجّه بالآخر يكون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إطلاقه على غير ذي شعور يكون بالنسبة على ذوي شعور ، وعدم تحقّق ماهية القبلية أو البعدية فيه آية موضحة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الفوق والتحت وأخواتهما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عُلم أنّ إطلاق القَبْل على قدّام ذوي شعور لتمحّض طرف وجوههم بالتوجّه والإقبال ولكون التوجّه مولّداً من طرف القدّام ، ولولا هذان الأمران فيهم لكانوا مثل غير ذوي شعور ، ولذلك لا يطلق على دبرهم لفقدانهما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على سفح الجبل وذيله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أوّل ما يُتوجّه فيه 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قبيل التشبيه ، وأمثاله أكثر من أن تحصى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7940418_1051229030"/>
      <w:bookmarkStart w:id="319" w:name="_Toc113"/>
      <w:bookmarkEnd w:id="318"/>
      <w:r>
        <w:rPr>
          <w:rtl w:val="true"/>
        </w:rPr>
        <w:t>تعريف التقابل عند الحكماء ونقده</w:t>
      </w:r>
      <w:bookmarkEnd w:id="319"/>
    </w:p>
    <w:p>
      <w:pPr>
        <w:pStyle w:val="BookText"/>
        <w:rPr/>
      </w:pPr>
      <w:r>
        <w:rPr>
          <w:rFonts w:ascii="Amiri" w:hAnsi="Amiri" w:eastAsia="Amiri" w:cs="Amiri"/>
          <w:color w:val="111111"/>
          <w:sz w:val="28"/>
          <w:sz w:val="28"/>
          <w:szCs w:val="28"/>
          <w:rtl w:val="true"/>
          <w:lang w:bidi="ar-SA"/>
        </w:rPr>
        <w:t>وبما ذكرناه من تعريفه ظهر 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الحكماء من أنّ التقابل عبارة عن كون المتخالفين بحيث يمتنع اجتماعهما في موضوع واحد في زمان واحد من جهة واحدة ، أو عن كون الاثنين مطلقاً سواء كانا مثلين أم لا ، بحيث يمتنع اجتماعهما في موضوع واحد في زمان واحد من جهة واحدة ؛ لأنّ التعريف لابدّ أن يكون لشرح الماهيّة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فساد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يتّضح ظهور الفساد، مع كون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مناقشة لغوية وبحث لفظي غير منظور للقوم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التعريف لابدّ أن يكون لشرح الماهية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عرّفه القوم هو </w:t>
      </w:r>
      <w:bookmarkStart w:id="320" w:name="pg8101_60578"/>
    </w:p>
    <w:p>
      <w:pPr>
        <w:pStyle w:val="BookText"/>
        <w:rPr/>
      </w:pPr>
      <w:bookmarkEnd w:id="320"/>
      <w:r>
        <w:rPr>
          <w:rFonts w:ascii="Amiri" w:hAnsi="Amiri" w:eastAsia="Amiri" w:cs="Amiri"/>
          <w:color w:val="111111"/>
          <w:sz w:val="28"/>
          <w:sz w:val="28"/>
          <w:szCs w:val="28"/>
          <w:rtl w:val="true"/>
          <w:lang w:bidi="ar-SA"/>
        </w:rPr>
        <w:t xml:space="preserve">كما يعضده قول المنطقيّين من أنّ معرّف الشيء ما يُقال عليه ، أي يُحمل عليه ، مع أنّ كلاً من التعريفين تعريف باللوازم ؛ لأنّ امتناع اجتماعهما في محلّ واحد من لوازم المتقابلين ولا مدخلية لمثل هذا التعريف في التقابل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هذه اللوازم إنّما هي من لوازمهما في الوجود الخارجي ، مع أنّ التعريف لابدّ أن يكون للماهية ، وهي أعمّ من الوجود والعدم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أنّهم نسبوا بيان حقيقة الأشياء إلى أنفسهم مع أنّهم لم يلتفتوا إلى ماهية التقابل وحقيقته وعرّفوه بما ترى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7940420_1051229030"/>
      <w:bookmarkStart w:id="322" w:name="_Toc114"/>
      <w:bookmarkEnd w:id="321"/>
      <w:r>
        <w:rPr>
          <w:rtl w:val="true"/>
        </w:rPr>
        <w:t>عدم قبول القسمة للتقابل بالمعنى الذي ذكرناه</w:t>
      </w:r>
      <w:bookmarkEnd w:id="322"/>
    </w:p>
    <w:p>
      <w:pPr>
        <w:pStyle w:val="BookText"/>
        <w:rPr/>
      </w:pPr>
      <w:r>
        <w:rPr>
          <w:rFonts w:ascii="Amiri" w:hAnsi="Amiri" w:eastAsia="Amiri" w:cs="Amiri"/>
          <w:color w:val="111111"/>
          <w:sz w:val="28"/>
          <w:sz w:val="28"/>
          <w:szCs w:val="28"/>
          <w:rtl w:val="true"/>
          <w:lang w:bidi="ar-SA"/>
        </w:rPr>
        <w:t>ثمّ إنّ المعنى الذي ذكرناه للتقابل لا يقتضي 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ماهية التقابل والمقابلة التي هي هذا الأمر الإضافي وليست لها ماهية سوى ما ذكره القوم ، وليس التعريف باللازم ، فماهية التقابل ليست إلاّ كون الشيئين كذلك ، أي هذه الماهية الإضافية تمام حقيقة هذه الحقيقة المشروحة الإضافية ، والظاهر وقوع الخلط بين ماهية التقابل وماهية المتقابلين ، وأعجب منه الإشكال عليهم بأنّ هذه اللوازم إنّما هي لوازم في الوجود الخارجي ، مع أنّ شرح الماهيات في نوع التعاريف حدّاً أو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للماهيّة وبالماهيّة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ما هو في العين كذلك ، فالإنسان حيوان ناطق والنار جوهر محرق ، مع أنّ الناطقية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بأيّة معنىً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والمحرقية ليستا لنفس الماهية من حيث هي ، بل الماهية من شأنها أن تكون في الوجود الخارجي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التعاريف مع كونها للماهية لكن ترتّب الآثار بالحمل الشايع إنّما هو بالوجود وفي الوجود ، والتعاريف لشرح حال الاُمور الخارجية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يقتضي قسمة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الكلام إلى آخر ما ذُكر موارد للنظر </w:t>
      </w:r>
      <w:bookmarkStart w:id="323" w:name="pg8101_60579"/>
    </w:p>
    <w:p>
      <w:pPr>
        <w:pStyle w:val="BookText"/>
        <w:rPr/>
      </w:pPr>
      <w:bookmarkEnd w:id="323"/>
      <w:r>
        <w:rPr>
          <w:rFonts w:ascii="Amiri" w:hAnsi="Amiri" w:eastAsia="Amiri" w:cs="Amiri"/>
          <w:color w:val="111111"/>
          <w:sz w:val="28"/>
          <w:sz w:val="28"/>
          <w:szCs w:val="28"/>
          <w:rtl w:val="true"/>
          <w:lang w:bidi="ar-SA"/>
        </w:rPr>
        <w:t xml:space="preserve">لأنّه أمر اعتباري من قبيل الكيفيّات ، والكيف من جملة الأعراض التي لا يقبل القسمة واللا قسمة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7940422_1051229030"/>
      <w:bookmarkStart w:id="325" w:name="_Toc115"/>
      <w:bookmarkEnd w:id="324"/>
      <w:r>
        <w:rPr>
          <w:rtl w:val="true"/>
        </w:rPr>
        <w:t>نقد ما ذكروه من أقسام التقابل</w:t>
      </w:r>
      <w:bookmarkEnd w:id="325"/>
    </w:p>
    <w:p>
      <w:pPr>
        <w:pStyle w:val="BookText"/>
        <w:rPr/>
      </w:pPr>
      <w:r>
        <w:rPr>
          <w:rFonts w:ascii="Amiri" w:hAnsi="Amiri" w:eastAsia="Amiri" w:cs="Amiri"/>
          <w:color w:val="111111"/>
          <w:sz w:val="28"/>
          <w:sz w:val="28"/>
          <w:szCs w:val="28"/>
          <w:rtl w:val="true"/>
          <w:lang w:bidi="ar-SA"/>
        </w:rPr>
        <w:t xml:space="preserve">ومن هنا ظهر أيضاً فساد ما ذكروه ؛ من أنّ التقابل على أربعة أقسام ، ووجه الحصر أنّ المتقابلين إمّا أن يكونا وجوديين أو لا ، وعلى الأوّل إمّا أن يتوقّف تصوّر أحدهما على الآخر فمتضايفان مثل الاُبوّة والبنوّة ، وإلاّ فمتضادّان كالسواد والبياض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إمّا أن يكون أحدهما وجودياً والآخر عدمياً ، فإن اعتبر في العدمي كون الموضوع صالحاً للوجودي فعدم وملكة كالعمى والبصر ، وإلاّ فسلب وإيجاب مثل زيد قائم وزيد ليس بقائم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نشير إلى بعض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التقابل ممّا لا يقتضي القسمة والتصريح بأ نّه من قبيل الكيفيات مع أنّ الكيف لا يقتضي النسبة والتقابل من النسبيات، خلط بين الكيف والإضافة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عدم اقتضاء القسمة بأ نّه أمر اعتباري من قبيل الكيفيات مع أنّ الكيف ليس أمراً اعتبارياً وعدم اقتضاء القسمة ليس لأجل اعتباريته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بين القسمة التي يقال إنّ الكيف لا يقتضي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القسمة التي من مختصّات الكمّيات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تقسيم الماهيات بأقسامها ، والكيف لا يقتضي القسمة بالمعنى الأوّل لا الثاني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ثانياً الخلط المتقدّم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التقابل أمر اعتباري لا يتحقّق إلاّ بين الشيئين مع أنّ الاعتبارية لا تقتضي ذلك، وعقّب ذلك أيضاً بأ نّه من الكيفيات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التقابل على أيّ معنى كان أمر اعتباري لا يتحقّق إلاّ بين الشيئين ولا يقتضي القسمة واللا قسمة ؛ لأنّه من قبيل الكيفيات كما مرّ ، فلا معنى لتقسيمه إلى المذكورات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القسمة ممّا لا يقبلها عقل ولا 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عبارة عن ضمّ قيود مختلفة ليحصل عن ضمّ كلّ قيد، قسم ، وليس كلّ من التضايف والتضادّ وغيرهما قيداً للتقابل ؛ ضرورة أ نّه لا يقال إنّ التضايف والتضادّ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 بل يقال إنّه حاصل بينهما ، فحينئذٍ تكون هذه الموارد مصاديق له وموارد ، كما في انقسام الحيوان إلى الناطق والصاهل وغير ذلك من أفراده ومصاديقه ، فيكونان محلاًّ ومورداً لتحقّقه وتشخّصه ، فالتقسيم باعتبار المحلّ والمورد ضروريّ البطلان ؛ لأنّ تعدّد المحلّ لا يستلزم تعدّد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بين الاعتبارية وكونه من الكيفيات، وتقدّم التنافي بينهما ، مع أنّ الكيف لا يقتضي النسبة والتقابل من النسبيات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 ولا نقل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ورود نقل من الشارع معلوم ، وأمّا عدم قبول العقل فغير تامّ ، ضرورة أنّ التضادّ بهذا المعنى الإضافي ، نوع من التقابل ، فالمتضادّان متقابلان ؛ لأنّ كلاًّ منهما مضادّ للآخر والتضادّ 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أيضاً خلط بين التضادّ الذي هو حيثية بين المتضادّين وبين نفس المتضادّين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يقال إنّ التضايف والتضادّ تقابل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التقابل بين المتضادّين والمتضايفين لا بين التضادّ والتضايف ، وبهذا يظهر الإشكال في اُمور اُخر رُتّبت على ما ذكر مع أنّها في نفسها أيضاً غير تامّة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التقسيم إنّما يصحّ إذا كان كلّ منهما جزءاً للتقابل كما هو ظاهر من تقسيم الحيوان إلى الإنسان والبقر والغنم وغير ذلك، وليس الأمر هنا كذلك ؛ لما عرفت من أنّها موارد ، والمورد لابدّ أن يكون مقدّماً على الوارد ، فلو كان جزءاً له يلزم تأخّر الشيء عن مرتبته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حقّقناه فساد ما زعمه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الحكماء من أنّ المكان والزمان يمكن أن يكونا مشخّصين ومثّلوا بأمثال عديدة من الفقه وغيره كالغسل فإنّه أعمّ من الجنابة والجمعة والحيض وغيرها ، فإذا نسب إلى الجمعة مثلاً يكون محقّقاً ومشخّصاً له؛ وذلك أنّ هذا التقسيم إن كان في جميع الموارد والمصاديق فجوابه ما مرّ من أنّ المورد لا يمكن أن يكون مشخّصاً ، وإن كان في بعض الموارد فنطلب الفرق بين هذه الأقسام الأربعة وغيرها من الضرب والأكل والشرب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التقسيم إنّما هو تقسيم بين الأمرين الذين حصل فيهما التقابل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وجوديّان أو لا ، فلا معنى لكون التقابل مقسماً إلى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 ممّا حقّقناه فساد ما زعمه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يتّضح ربط بين ما ذكره هاهنا وبين المطالب المتقدّمة ، وأنّه أيّ ربط لغسل الجنابة والجمعة والحيض وغيرها بالمطالب العقلية ، وأنّ أيّ حكيم مثّل للزمان والمكان بغسل الجنابة والجمعة وغير ذلك ممّا ذكر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يتّضح مراده ، ولعلّ مراده أنّ التقابل هو حاصل بين الشيئين والمقسم أيضاً هو التقابل ، فيلزم وحدة القسم والمَقسَم وهو بمكان من الغرابة ؛ لأنّ المَقسم لابدّ وأن يكون عين القسم بهذا المعنى ، وإلاّ لا يكون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الحصر إن كان بحكم الاستقراء فهو لا يدور مدار النفي والإثبات كما هو الظاهر ، وإن كان بحكم العقل فحينئذٍ لا ينحصر على هذه الأقسام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بل يزيد عليها بأن يقال إمّا وجوديان أو لا ، والثاني إمّا عدميان أو كان أحدهما وجودياً والآخر عدمياً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ذكرهم العدميين لعدم تحقّق التقابل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تفكيك لا يقتضي عدم ذكره في مقام التقسيم كما هو ظاهر على من له طبع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وظاهراً وباطناً</w:t>
      </w:r>
    </w:p>
    <w:p>
      <w:pPr>
        <w:pStyle w:val="BookText"/>
        <w:rPr/>
      </w:pPr>
      <w:r>
        <w:rPr>
          <w:rFonts w:ascii="Amiri" w:hAnsi="Amiri" w:eastAsia="Amiri" w:cs="Amiri"/>
          <w:color w:val="111111"/>
          <w:sz w:val="28"/>
          <w:sz w:val="28"/>
          <w:szCs w:val="28"/>
          <w:rtl w:val="true"/>
          <w:lang w:bidi="ar-SA"/>
        </w:rPr>
        <w:t>هذا آخر ما أوردناه للولد الأعزّ محمّد جعفر بن محمّد حسين</w:t>
      </w:r>
    </w:p>
    <w:p>
      <w:pPr>
        <w:pStyle w:val="BookText"/>
        <w:rPr/>
      </w:pPr>
      <w:r>
        <w:rPr>
          <w:rFonts w:ascii="IRNazanin" w:hAnsi="IRNazanin" w:eastAsia="IRNazanin"/>
          <w:color w:val="111111"/>
          <w:sz w:val="28"/>
          <w:sz w:val="28"/>
          <w:szCs w:val="28"/>
          <w:rtl w:val="true"/>
          <w:lang w:bidi="fa-IR"/>
        </w:rPr>
        <w:t xml:space="preserve">في ثاني رجب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صلی الله علیه و آله وسلم</w:t>
      </w:r>
    </w:p>
    <w:p>
      <w:pPr>
        <w:pStyle w:val="BookText"/>
        <w:rPr/>
      </w:pPr>
      <w:r>
        <w:rPr>
          <w:rFonts w:ascii="Amiri" w:hAnsi="Amiri" w:eastAsia="Amiri" w:cs="Amiri"/>
          <w:color w:val="111111"/>
          <w:sz w:val="28"/>
          <w:sz w:val="28"/>
          <w:szCs w:val="28"/>
          <w:rtl w:val="true"/>
          <w:lang w:bidi="ar-SA"/>
        </w:rPr>
        <w:t xml:space="preserve">مقسماً ، أو يكون مراده إفادة الإشكال المشهور من أنّ التقابل من أقسام التضايف مع أنّ التضايف أيضاً من أقسام التقابل </w:t>
      </w:r>
      <w:r>
        <w:rPr>
          <w:rStyle w:val="FootnoteAnchor"/>
          <w:rtl w:val="true"/>
        </w:rPr>
        <w:footnoteReference w:id="383"/>
      </w:r>
      <w:r>
        <w:rPr>
          <w:rFonts w:ascii="Amiri" w:hAnsi="Amiri" w:eastAsia="Amiri" w:cs="Amiri"/>
          <w:color w:val="111111"/>
          <w:sz w:val="28"/>
          <w:sz w:val="28"/>
          <w:szCs w:val="28"/>
          <w:rtl w:val="true"/>
          <w:lang w:bidi="ar-SA"/>
        </w:rPr>
        <w:t xml:space="preserve">، وهذا الإشكال مع بعده عن ظاهر لفظه ، جوابه معلوم ، وهو باختلاف الحمل شايعاً وأوّلياً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ينحصر على هذه الأقسام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الإشكال مع جوابه مذكور على ما ببالي في الأسفار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والمرجوّ من جنابه قبول عذري عمّا خرجت عن وظيفتي في هذه الوريقة </w:t>
      </w:r>
    </w:p>
    <w:p>
      <w:pPr>
        <w:pStyle w:val="BookText"/>
        <w:rPr/>
      </w:pPr>
      <w:r>
        <w:rPr>
          <w:rFonts w:ascii="Amiri" w:hAnsi="Amiri" w:eastAsia="Amiri" w:cs="Amiri"/>
          <w:color w:val="111111"/>
          <w:sz w:val="28"/>
          <w:sz w:val="28"/>
          <w:szCs w:val="28"/>
          <w:rtl w:val="true"/>
          <w:lang w:bidi="ar-SA"/>
        </w:rPr>
        <w:t xml:space="preserve">وإنّي بعيد العهد عن هذه المباحث ولقد أصرّ ولدك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ألجأني بكتابة هذه الأسطر وأرجو منك الدعاء للتوفيق في مظانّه ، والحمد للّه تعالى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الموسوي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8101_60585"/>
      <w:bookmarkStart w:id="327" w:name="pg8101_60585"/>
      <w:bookmarkEnd w:id="327"/>
    </w:p>
    <w:p>
      <w:pPr>
        <w:pStyle w:val="Heading2"/>
        <w:numPr>
          <w:ilvl w:val="1"/>
          <w:numId w:val="1"/>
        </w:numPr>
        <w:rPr/>
      </w:pPr>
      <w:bookmarkStart w:id="328" w:name="pg8101_60585"/>
      <w:bookmarkStart w:id="329" w:name="__RefHeading___Toc7940424_1051229030"/>
      <w:bookmarkStart w:id="330" w:name="_Toc116"/>
      <w:bookmarkEnd w:id="328"/>
      <w:bookmarkEnd w:id="329"/>
      <w:r>
        <w:rPr>
          <w:rtl w:val="true"/>
        </w:rPr>
        <w:t>ذبح حيوانات به وسيله دستگاه</w:t>
      </w:r>
      <w:bookmarkEnd w:id="33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7940426_1051229030"/>
      <w:bookmarkStart w:id="332" w:name="_Toc117"/>
      <w:bookmarkEnd w:id="331"/>
      <w:r>
        <w:rPr>
          <w:rtl w:val="true"/>
        </w:rPr>
        <w:t>پاسخ امام خمينى در جواب استفتاء از ذبح حيوانات به وسيله دستگاه</w:t>
      </w:r>
      <w:bookmarkEnd w:id="33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8101_60587"/>
      <w:bookmarkStart w:id="334" w:name="pg8101_60587"/>
      <w:bookmarkEnd w:id="334"/>
    </w:p>
    <w:p>
      <w:pPr>
        <w:pStyle w:val="BookText"/>
        <w:rPr/>
      </w:pPr>
      <w:bookmarkStart w:id="335" w:name="pg8101_60587"/>
      <w:bookmarkEnd w:id="335"/>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عرض عالى مى رساند، مرقوم محترم كه حاكى از سلامت وجود مسعود بود واصل و موجب تشكر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سعادت جنابعالى را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مرقوم شده است هيچ اشكالى در حرمت نيست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از وجوهى</w:t>
      </w:r>
      <w:r>
        <w:rPr>
          <w:rFonts w:eastAsia="IRNazanin" w:cs="IRNazanin"/>
          <w:color w:val="111111"/>
          <w:sz w:val="28"/>
          <w:szCs w:val="28"/>
          <w:rtl w:val="true"/>
          <w:lang w:bidi="fa-IR"/>
        </w:rPr>
        <w:t>:</w:t>
      </w:r>
    </w:p>
    <w:p>
      <w:pPr>
        <w:pStyle w:val="Heading3"/>
        <w:numPr>
          <w:ilvl w:val="2"/>
          <w:numId w:val="1"/>
        </w:numPr>
        <w:rPr/>
      </w:pPr>
      <w:bookmarkStart w:id="336" w:name="__RefHeading___Toc7940428_1051229030"/>
      <w:bookmarkStart w:id="337" w:name="_Toc118"/>
      <w:bookmarkEnd w:id="336"/>
      <w:r>
        <w:rPr>
          <w:rtl w:val="true"/>
        </w:rPr>
        <w:t xml:space="preserve">وجه حرمت ذبيحه توسط دستگاه </w:t>
      </w:r>
      <w:r>
        <w:rPr>
          <w:rtl w:val="true"/>
        </w:rPr>
        <w:t>:</w:t>
      </w:r>
      <w:bookmarkEnd w:id="337"/>
    </w:p>
    <w:p>
      <w:pPr>
        <w:pStyle w:val="Heading4"/>
        <w:numPr>
          <w:ilvl w:val="3"/>
          <w:numId w:val="1"/>
        </w:numPr>
        <w:rPr/>
      </w:pPr>
      <w:bookmarkStart w:id="338" w:name="__RefHeading___Toc7940430_1051229030"/>
      <w:bookmarkStart w:id="339" w:name="_Toc119"/>
      <w:bookmarkEnd w:id="338"/>
      <w:r>
        <w:rPr/>
        <w:t>1</w:t>
      </w:r>
      <w:r>
        <w:rPr>
          <w:rtl w:val="true"/>
        </w:rPr>
        <w:t xml:space="preserve"> - </w:t>
      </w:r>
      <w:r>
        <w:rPr>
          <w:rtl w:val="true"/>
        </w:rPr>
        <w:t>عدم مباشرت ذابح مسلم</w:t>
      </w:r>
      <w:bookmarkEnd w:id="339"/>
    </w:p>
    <w:p>
      <w:pPr>
        <w:pStyle w:val="BookText"/>
        <w:rPr/>
      </w:pPr>
      <w:r>
        <w:rPr>
          <w:rFonts w:ascii="IRNazanin" w:hAnsi="IRNazanin" w:eastAsia="IRNazanin"/>
          <w:color w:val="111111"/>
          <w:sz w:val="28"/>
          <w:sz w:val="28"/>
          <w:szCs w:val="28"/>
          <w:rtl w:val="true"/>
          <w:lang w:bidi="fa-IR"/>
        </w:rPr>
        <w:t xml:space="preserve">يكى آنكه معتبر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اين امر مسلّم است و دلالت بر آن دارد صحيحه محمد بن مسلم در باب پانزده كتاب ذبايح، حديث دوم</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 معلوم است ذابحْ مباشرِ ذبح است، و آن در اين مورد تيغه خودكار است به قوه برق، هر چند قتل تسبيباً به او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انداختن شخصى را در مسبعه كه قاتل ملقى است لكن آكل سبُع است</w:t>
      </w:r>
      <w:r>
        <w:rPr>
          <w:rFonts w:eastAsia="IRNazanin" w:cs="IRNazanin"/>
          <w:color w:val="111111"/>
          <w:sz w:val="28"/>
          <w:szCs w:val="28"/>
          <w:rtl w:val="true"/>
          <w:lang w:bidi="fa-IR"/>
        </w:rPr>
        <w:t>.</w:t>
      </w:r>
    </w:p>
    <w:p>
      <w:pPr>
        <w:pStyle w:val="Heading4"/>
        <w:numPr>
          <w:ilvl w:val="3"/>
          <w:numId w:val="1"/>
        </w:numPr>
        <w:rPr/>
      </w:pPr>
      <w:bookmarkStart w:id="340" w:name="__RefHeading___Toc7940432_1051229030"/>
      <w:bookmarkStart w:id="341" w:name="_Toc120"/>
      <w:bookmarkEnd w:id="340"/>
      <w:r>
        <w:rPr/>
        <w:t>2</w:t>
      </w:r>
      <w:r>
        <w:rPr>
          <w:rtl w:val="true"/>
        </w:rPr>
        <w:t xml:space="preserve"> - </w:t>
      </w:r>
      <w:r>
        <w:rPr>
          <w:rtl w:val="true"/>
        </w:rPr>
        <w:t>عدم تسميه از ذابح مسلم</w:t>
      </w:r>
      <w:bookmarkEnd w:id="34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آنكه ذابح مسلم بايد در حال ذبح تسميه بگويد و تسميه در اين مورد كه از </w:t>
      </w:r>
      <w:bookmarkStart w:id="342" w:name="pg8101_60588"/>
    </w:p>
    <w:p>
      <w:pPr>
        <w:pStyle w:val="BookText"/>
        <w:rPr/>
      </w:pPr>
      <w:bookmarkEnd w:id="342"/>
      <w:r>
        <w:rPr>
          <w:rFonts w:ascii="IRNazanin" w:hAnsi="IRNazanin" w:eastAsia="IRNazanin"/>
          <w:color w:val="111111"/>
          <w:sz w:val="28"/>
          <w:sz w:val="28"/>
          <w:szCs w:val="28"/>
          <w:rtl w:val="true"/>
          <w:lang w:bidi="fa-IR"/>
        </w:rPr>
        <w:t>نوار است نه تسميه مسلم است و نه ذكراللّه است، بلكه انعكاس ذكرى است كه شخص نموده است، و اگر ذكر آن شخص باشد بايد در نماز كافى باشد، و به اين شرط دلالت دارد جمله اى از روايات مثل صحيحه حلبى ششم باب سابق</w:t>
      </w:r>
      <w:r>
        <w:rPr>
          <w:rStyle w:val="FootnoteAnchor"/>
          <w:rtl w:val="true"/>
        </w:rPr>
        <w:footnoteReference w:id="387"/>
      </w:r>
      <w:r>
        <w:rPr>
          <w:rFonts w:ascii="IRNazanin" w:hAnsi="IRNazanin" w:eastAsia="IRNazanin"/>
          <w:color w:val="111111"/>
          <w:sz w:val="28"/>
          <w:sz w:val="28"/>
          <w:szCs w:val="28"/>
          <w:rtl w:val="true"/>
          <w:lang w:bidi="fa-IR"/>
        </w:rPr>
        <w:t>و روايت پنجم</w:t>
      </w:r>
      <w:r>
        <w:rPr>
          <w:rStyle w:val="FootnoteAnchor"/>
          <w:rtl w:val="true"/>
        </w:rPr>
        <w:footnoteReference w:id="388"/>
      </w:r>
      <w:r>
        <w:rPr>
          <w:rFonts w:ascii="Amiri" w:hAnsi="Amiri" w:eastAsia="Amiri" w:cs="Amiri"/>
          <w:color w:val="111111"/>
          <w:sz w:val="28"/>
          <w:sz w:val="28"/>
          <w:szCs w:val="28"/>
          <w:rtl w:val="true"/>
          <w:lang w:bidi="ar-SA"/>
        </w:rPr>
        <w:t>بلكه ظاهر آيه شريفه؛</w:t>
      </w:r>
      <w:r>
        <w:rPr>
          <w:rStyle w:val="FootnoteAnchor"/>
          <w:rtl w:val="true"/>
        </w:rPr>
        <w:footnoteReference w:id="389"/>
      </w:r>
      <w:r>
        <w:rPr>
          <w:rFonts w:ascii="IRNazanin" w:hAnsi="IRNazanin" w:eastAsia="IRNazanin"/>
          <w:color w:val="111111"/>
          <w:sz w:val="28"/>
          <w:sz w:val="28"/>
          <w:szCs w:val="28"/>
          <w:rtl w:val="true"/>
          <w:lang w:bidi="fa-IR"/>
        </w:rPr>
        <w:t>على تأمل</w:t>
      </w:r>
      <w:r>
        <w:rPr>
          <w:rFonts w:eastAsia="IRNazanin" w:cs="IRNazanin"/>
          <w:color w:val="111111"/>
          <w:sz w:val="28"/>
          <w:szCs w:val="28"/>
          <w:rtl w:val="true"/>
          <w:lang w:bidi="fa-IR"/>
        </w:rPr>
        <w:t>.</w:t>
      </w:r>
    </w:p>
    <w:p>
      <w:pPr>
        <w:pStyle w:val="Heading4"/>
        <w:numPr>
          <w:ilvl w:val="3"/>
          <w:numId w:val="1"/>
        </w:numPr>
        <w:rPr/>
      </w:pPr>
      <w:bookmarkStart w:id="343" w:name="__RefHeading___Toc7940434_1051229030"/>
      <w:bookmarkStart w:id="344" w:name="_Toc121"/>
      <w:bookmarkEnd w:id="343"/>
      <w:r>
        <w:rPr/>
        <w:t>3</w:t>
      </w:r>
      <w:r>
        <w:rPr>
          <w:rtl w:val="true"/>
        </w:rPr>
        <w:t xml:space="preserve"> - </w:t>
      </w:r>
      <w:r>
        <w:rPr>
          <w:rtl w:val="true"/>
        </w:rPr>
        <w:t>ذبح از قفا</w:t>
      </w:r>
      <w:bookmarkEnd w:id="344"/>
    </w:p>
    <w:p>
      <w:pPr>
        <w:pStyle w:val="BookText"/>
        <w:rPr/>
      </w:pPr>
      <w:r>
        <w:rPr>
          <w:rFonts w:ascii="IRNazanin" w:hAnsi="IRNazanin" w:eastAsia="IRNazanin"/>
          <w:color w:val="111111"/>
          <w:sz w:val="28"/>
          <w:sz w:val="28"/>
          <w:szCs w:val="28"/>
          <w:rtl w:val="true"/>
          <w:lang w:bidi="fa-IR"/>
        </w:rPr>
        <w:t>ديگر آنكه ذبح از قفا موجب حرمت است و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محمد بن مسلم باب چهار و ديگر روايات،</w:t>
      </w:r>
      <w:r>
        <w:rPr>
          <w:rStyle w:val="FootnoteAnchor"/>
          <w:rtl w:val="true"/>
        </w:rPr>
        <w:footnoteReference w:id="390"/>
      </w:r>
      <w:r>
        <w:rPr>
          <w:rFonts w:ascii="IRNazanin" w:hAnsi="IRNazanin" w:eastAsia="IRNazanin"/>
          <w:color w:val="111111"/>
          <w:sz w:val="28"/>
          <w:sz w:val="28"/>
          <w:szCs w:val="28"/>
          <w:rtl w:val="true"/>
          <w:lang w:bidi="fa-IR"/>
        </w:rPr>
        <w:t>و ظاهر روايات آن است كه مبدأ شروع به ذبح بايد حلق باشد يا ساير اوداج كه مذبح هستند، و پشت گردن مذبح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حرمت آن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نيز از قرار مذكور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اول بعضى آقايان را گول زدند و اظهار كردند كه ذبح به طور شرعى مى شود و ساير كارها را مكينه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از قرارى كه يك نفر معمم اظهار مى كرد همان نحو كه در سؤال ذكر شده است عمل مى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نوار هم خبرى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جنابعالى اميد دعاى خير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bookmarkStart w:id="345" w:name="pg8101_60589"/>
    </w:p>
    <w:p>
      <w:pPr>
        <w:pStyle w:val="Heading2"/>
        <w:numPr>
          <w:ilvl w:val="1"/>
          <w:numId w:val="1"/>
        </w:numPr>
        <w:rPr/>
      </w:pPr>
      <w:bookmarkStart w:id="346" w:name="__RefHeading___Toc7940436_1051229030"/>
      <w:bookmarkStart w:id="347" w:name="_Toc122"/>
      <w:bookmarkEnd w:id="345"/>
      <w:bookmarkEnd w:id="346"/>
      <w:r>
        <w:rPr>
          <w:rtl w:val="true"/>
        </w:rPr>
        <w:t>ضميمة فيها ثلاث فوائد</w:t>
      </w:r>
      <w:bookmarkEnd w:id="3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7940438_1051229030"/>
      <w:bookmarkStart w:id="349" w:name="_Toc123"/>
      <w:bookmarkEnd w:id="348"/>
      <w:r>
        <w:rPr>
          <w:rtl w:val="true"/>
        </w:rPr>
        <w:t>اشارة</w:t>
      </w:r>
      <w:bookmarkEnd w:id="34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8101_60591"/>
      <w:bookmarkStart w:id="351" w:name="pg8101_60591"/>
      <w:bookmarkEnd w:id="351"/>
    </w:p>
    <w:p>
      <w:pPr>
        <w:pStyle w:val="Heading3"/>
        <w:numPr>
          <w:ilvl w:val="2"/>
          <w:numId w:val="1"/>
        </w:numPr>
        <w:rPr/>
      </w:pPr>
      <w:bookmarkStart w:id="352" w:name="pg8101_60591"/>
      <w:bookmarkStart w:id="353" w:name="__RefHeading___Toc7940440_1051229030"/>
      <w:bookmarkStart w:id="354" w:name="_Toc124"/>
      <w:bookmarkEnd w:id="352"/>
      <w:bookmarkEnd w:id="353"/>
      <w:r>
        <w:rPr>
          <w:rtl w:val="true"/>
        </w:rPr>
        <w:t xml:space="preserve">الفائدة الاُولى </w:t>
      </w:r>
      <w:r>
        <w:rPr>
          <w:rtl w:val="true"/>
        </w:rPr>
        <w:t xml:space="preserve">: </w:t>
      </w:r>
      <w:r>
        <w:rPr>
          <w:rtl w:val="true"/>
        </w:rPr>
        <w:t>في شرح حال العقود والإيقاعات</w:t>
      </w:r>
      <w:bookmarkEnd w:id="354"/>
    </w:p>
    <w:p>
      <w:pPr>
        <w:pStyle w:val="Heading4"/>
        <w:numPr>
          <w:ilvl w:val="3"/>
          <w:numId w:val="1"/>
        </w:numPr>
        <w:rPr/>
      </w:pPr>
      <w:bookmarkStart w:id="355" w:name="__RefHeading___Toc7940442_1051229030"/>
      <w:bookmarkStart w:id="356" w:name="_Toc125"/>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الفائدة الاُولى</w:t>
      </w:r>
      <w:r>
        <w:rPr>
          <w:rStyle w:val="FootnoteAnchor"/>
          <w:rtl w:val="true"/>
        </w:rPr>
        <w:footnoteReference w:id="391"/>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حال العقود والإيقاعات وبيان الفرق بينهما وأنّ الأصل في العقود هل اللزوم أم لا ؟</w:t>
      </w:r>
    </w:p>
    <w:p>
      <w:pPr>
        <w:pStyle w:val="BookText"/>
        <w:rPr/>
      </w:pPr>
      <w:r>
        <w:rPr>
          <w:rFonts w:ascii="IRNazanin" w:hAnsi="IRNazanin" w:eastAsia="IRNazanin"/>
          <w:color w:val="111111"/>
          <w:sz w:val="28"/>
          <w:sz w:val="28"/>
          <w:szCs w:val="28"/>
          <w:rtl w:val="true"/>
          <w:lang w:bidi="fa-IR"/>
        </w:rPr>
        <w:t xml:space="preserve">فهاهنا مقامان </w:t>
      </w:r>
      <w:r>
        <w:rPr>
          <w:rFonts w:eastAsia="IRNazanin" w:cs="IRNazanin"/>
          <w:color w:val="111111"/>
          <w:sz w:val="28"/>
          <w:szCs w:val="28"/>
          <w:rtl w:val="true"/>
          <w:lang w:bidi="fa-IR"/>
        </w:rPr>
        <w:t>:</w:t>
      </w:r>
    </w:p>
    <w:p>
      <w:pPr>
        <w:pStyle w:val="Heading4"/>
        <w:numPr>
          <w:ilvl w:val="3"/>
          <w:numId w:val="1"/>
        </w:numPr>
        <w:rPr/>
      </w:pPr>
      <w:bookmarkStart w:id="357" w:name="__RefHeading___Toc7940444_1051229030"/>
      <w:bookmarkStart w:id="358" w:name="_Toc126"/>
      <w:bookmarkEnd w:id="357"/>
      <w:r>
        <w:rPr>
          <w:rtl w:val="true"/>
        </w:rPr>
        <w:t xml:space="preserve">المقام الأوّل </w:t>
      </w:r>
      <w:r>
        <w:rPr>
          <w:rtl w:val="true"/>
        </w:rPr>
        <w:t xml:space="preserve">: </w:t>
      </w:r>
      <w:r>
        <w:rPr>
          <w:rtl w:val="true"/>
        </w:rPr>
        <w:t>في الفرق بين العقد والإيقاع</w:t>
      </w:r>
      <w:bookmarkEnd w:id="35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العقد والإيقاع هو أنّ العقد لا يتمّ إلاّ بالقبول ، والإيقاع لا يحتاج في تمامه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أ نّه ليس لكلّ أحد إلاّ التصرّف في نفسه وماله ، وليس له سلطان في التصرّف في نفس الغير ولا في ماله ، فإن كان مفاد الإنشاء هو التصرّف في سلطانه من نفسه أو ماله ، وليس في تحقّق المنشأ توقّفٌ إلى التصرّف في سلطان الغير ، يكون مفاده إيقاعاً لا عقداً ، ولا يتوقّف على قبول الغير في تحقّقه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من قبيل الإيقاع ؛ فإنّ التصرّف ليس في مال الغير ، وليس في العتق إيجاد إضافة بين ماله أو نفسه ومال الغير ونفسه ، أو تصرّف فيهما ، بل مفاده عبارة عن إيجاد الحرّية ، أو سلب حيثية العبدية والرقّية ، وهذا تصرّف في سلطانه ليس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حال العهد والنذر والقسم ، فإنّه تصرّف في سلطان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الطلاق أيضاً ، فإنّه وإن كان حلّ العلاقة التي بين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تصرّف في الغير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الحكم الشرعي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وجعل السلطنة المطلقة للزوج ، يصير حاله حال العتق في الاعتبار ، فيكون إيقاعاً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الوقف والوصيّة للجهات العامّة ، فإنّهما أيضاً 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في سلطان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حال الوقف الخاصّ والوصيّة للأشخاص أيضاً كذلك ؛ فإنّ الوقف في الاعتبار عبارة عن إيقاف العين على رؤوس الموقوف عليهم ؛ حتّى تدرّ عليهم بالمنفعة ، فكأ نّه أوجد غيماً مدراراً على رؤوسهم ، فلهذا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العين واقفة على رؤوسهم حتّى تدرّ عليهم بالمنافع ، فهو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الإيقاع ، ولا يكون تصرّفاً في سلطان الغير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والوصيّة أيضاً لا يبعد أن تكون إيقاعاً ؛ فإنّها عبارة عن إيصاء شيء وجعله لشخص ، وللموصى له حقّ قبول هذا الإيصاء وصرفه إلى نفسه ، فلهذا إذا مات </w:t>
      </w:r>
      <w:bookmarkStart w:id="359" w:name="pg8101_60593"/>
    </w:p>
    <w:p>
      <w:pPr>
        <w:pStyle w:val="BookText"/>
        <w:rPr/>
      </w:pPr>
      <w:bookmarkEnd w:id="359"/>
      <w:r>
        <w:rPr>
          <w:rFonts w:ascii="Amiri" w:hAnsi="Amiri" w:eastAsia="Amiri" w:cs="Amiri"/>
          <w:color w:val="111111"/>
          <w:sz w:val="28"/>
          <w:sz w:val="28"/>
          <w:szCs w:val="28"/>
          <w:rtl w:val="true"/>
          <w:lang w:bidi="ar-SA"/>
        </w:rPr>
        <w:t xml:space="preserve">الموصى له ينتقل هذا الحقّ إلى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وجه بقاء إنشاء الوصيّة إلى ما بعد موت الموصي والفصل الطويل بينه وبين القبول ، فإنّها ليست من العقود حتّى ينافيها ذلك ، بل هي إيقاع شبيه بالعقد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في الفرق بين العقد والإيقاع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العقد يتقوّم حصول مضمونه بالتصرّف في سلطان الغير ، فلا بدّ من قبول الغير حتّى يتحقّق ، والإيقاع بخلافه </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940446_1051229030"/>
      <w:bookmarkStart w:id="361" w:name="_Toc127"/>
      <w:bookmarkEnd w:id="360"/>
      <w:r>
        <w:rPr>
          <w:rtl w:val="true"/>
        </w:rPr>
        <w:t xml:space="preserve">المقام الثاني </w:t>
      </w:r>
      <w:r>
        <w:rPr>
          <w:rtl w:val="true"/>
        </w:rPr>
        <w:t xml:space="preserve">: </w:t>
      </w:r>
      <w:r>
        <w:rPr>
          <w:rtl w:val="true"/>
        </w:rPr>
        <w:t>حول أصالة اللزوم</w:t>
      </w:r>
      <w:bookmarkEnd w:id="361"/>
    </w:p>
    <w:p>
      <w:pPr>
        <w:pStyle w:val="Heading5"/>
        <w:numPr>
          <w:ilvl w:val="4"/>
          <w:numId w:val="1"/>
        </w:numPr>
        <w:rPr/>
      </w:pPr>
      <w:bookmarkStart w:id="362" w:name="__RefHeading___Toc7940448_1051229030"/>
      <w:bookmarkStart w:id="363" w:name="_Toc128"/>
      <w:bookmarkEnd w:id="362"/>
      <w:r>
        <w:rPr>
          <w:rtl w:val="true"/>
        </w:rPr>
        <w:t>ضابط تشخيص العقود جوازاً ولزوماً</w:t>
      </w:r>
      <w:bookmarkEnd w:id="3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ليست على منوال واحد وتحت ضابط فارد يقتضي اللزوم فيها أو الجواز ، فإنّها مطلقاً وإن تتقوّم بالإيجاب والقبول ، ويعبّر عنها في لسان القوم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بالعقدة الواقعة في حبل ، فكأنّ المتعاقدين أخذا حبلاً أحد جانبيه بيد أحدهما ، والآخر بيد الآخر ، فعقداه بحيث صار الطرفان متعاكسين ، فانعطف كلّ طرف إلى الآخر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استيثاق العقدة واستحكامها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 لكنّ العقود مختلفة في طريقة العقلاء وبنائهم ، وليست المعاملات التي بأيدينا إلاّ معاملات عقلائية ثابتة قبل الإسلام ؛ من لدن تمدّن البشر والوقوع تحت الحياة الاجتماعية ، والشارع الصادع تكون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إمضائية مطابقة لطريقة العقلاء ، وليس له أحكام تأسيسية غالباً ، فلا بدّ لنا في تشخيص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ولزوماً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مراجعة بناء العقلاء ؛ ونستكشف حالها من تسبير بنائهم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المسلّم من بنائهم على لزومه ؛ هو العقود المعاوضية التي تنقطع أيدي المتعاقدين عن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عقدي البيع والإجارة ، لو خالف أحد الطرفين مقتضى عقده ورجع عمّا عقد عليه ، يقال عند العقلاء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نقض عهده ، وما وفى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ويذمّه العقلاء على ذلك ؛ فإنّ بنائهما على رفع اليد من جانب المتعاقدين عن العوضين وقطع الطمع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بناء سائر العقود المعاوضية على ذلك وعلى كون عقدة المعاوضة بيدي الطرفين ، وكأنّ العقد المعاوضي حبل مشدود معقود فيه يكون طرفاه بيدي المتعاقدين ، وتكون الإقالة بمنزلة حلّ تلك العقدة ، وأمّا مع بقاء العقد وعدم حلّه من الجانبين ، فليس لأحد الطرفين مخالفة عهده عند العقلاء ، وليس ذلك إلاّ من جهة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منزّل على أمثال تلك العقود المعاوضية التي مبناها على الاستيثاق والاستحكام ، لا على مطلق العقود حتّى يكون خروج أكثر العقود من قبيل التخصيص فيه ومن جهة قيام الإجماع؛ فإنّ إجماع العلماء في سائر العقود ليس إلاّ من جهة أنّ بناء العقلاء فيها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بالعقود الغير المعاوضية والتفحّص عنها وعن بناء العقلاء بالنسبة إليها حتّى تعرف صدق ما ادّعيناه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العقلاء في عقد الوديعة كأ نّه على أخذ الغير مخزناً لماله ومحفظة له ، وهذا الأمر لمّا كان تصرّفاً في حدود سلطان الغير ، فلا يعتبر </w:t>
      </w:r>
    </w:p>
    <w:p>
      <w:pPr>
        <w:pStyle w:val="BookText"/>
        <w:rPr/>
      </w:pPr>
      <w:r>
        <w:rPr>
          <w:rFonts w:ascii="Amiri" w:hAnsi="Amiri" w:eastAsia="Amiri" w:cs="Amiri"/>
          <w:color w:val="111111"/>
          <w:sz w:val="28"/>
          <w:sz w:val="28"/>
          <w:szCs w:val="28"/>
          <w:rtl w:val="true"/>
          <w:lang w:bidi="ar-SA"/>
        </w:rPr>
        <w:t xml:space="preserve">موجوداً محقّقاً إلاّ بعد قبول الغير ، لكن سلطان صاحب المال على ماله والطرف على نفسه بعدُ باقٍ ؛ لعدم تحقّق معاوضة في البين ، فلصاحب المال التصرّف في ماله وأخذه من المستودَع ، وللمستودَع ردّ مال الغير به ، وإن أخذ المودع أو ردّ المستودع المال لا يقال عند العقلاء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نقضا عهدهما ، وخالفا عقدهما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يذمّهما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عقد الوكالة ، اعتباره كأ نّه نيابة الغير عن نفسه ، أو إقامته مقام نفسه ، ولمّا كان هذا تصرّفاً في نفس الغير ، فلا بدّ في تحقّقه من القبول ، لكن لا يكون فيه معاوضة ، وما قطعا أيديهما عن نفسهما ، بل لكلّ منهما حلّ هذا العقد ، ولا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وفى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الكلام في العارية ، فإنّه ليس فيها معاوضة ، بل مال الغير محفوظ على ماليته ، فله الرجوع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عقد الشركة ، فإنّ بناءها على وضع مال الشريكين في البين للاستفادة بالانتفاع منهما بلا معاوضة في البين ، فليس فيه النقض للعهد لو رجع كلّ واحد منهما عن الشركة واستردّ ماله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واعتبار المضاربة والمزارعة والمساقاة هو اعتبار الشركة ؛ مع الفرق فيما به الاشتراك ؛ فإنّ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الشركة بين العمل والمال ، فصاحب المال يعطي ماله ، وصاحب العمل يعطي عمله فيشتركان ، وكذا في المزارعة والمساقاة ، وليس بناؤها على اللزوم ؛ فإنّها ليست عقوداً معاوضية ، كما 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القرض في اعتبار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إعطاء المال وجعله في ذمّة غيره ، لا المعاوضة بينه وبين ما في الذمّة ، فهو أيضاً ليس من المعاوضات ، ولهذا ليس تعيّن الأجل معيّناً ، بل لكلّ من الطرفين الرجوع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المقرض فبما في ذمّة المقترض قبل حلول الأجل ، وأمّا المقترض فبإعطاء دينه وأدائه قبله ، ولا يكون الرجوع نقضاً للعهد والعقد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كانت يد المقرض مقطوعة عن عين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بتمليكه المقترض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الرجوع إليه ؛ لأ نّه تصرّف في سلطان الغير بلا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مطالبة ما في ذمّته ، فلمّا كان ماله في ذمّته بجعله ، له أخذ ماله منه ، فكأنّ ذمّته صارت مخزناً له ، وله الرجوع إليه أيّ وقت 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الهبة ، فهي وإن كانت تمليكاً للموهوب ، لكن بناءها عند العقلاء على عدم قطع يد الواهب ، والرجوعُ إليه لم يكن نقضاً للعهد وعدم وفاء به ؛ وإن كان الرجوع قبيحاً مذموماً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العائد في هبته كالعائد في قيئه</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 xml:space="preserve">تنبيه على المذمّة العقلائية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العقود الغير المعاوضية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العقود المعاوضية التي من جملتها البيع والإجارة ، ففيها الميثاق الغليظ والعهد المحكم ؛ بحيث يكون الرجوع فيها نقضاً للعهد ومخالفة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والنكاح أيضاً عقد محكم وعقد غليظ ؛ بحيث يكون حاله كالمعاوضة </w:t>
      </w:r>
      <w:r>
        <w:rPr>
          <w:rFonts w:eastAsia="Amiri" w:cs="Amiri" w:ascii="Amiri" w:hAnsi="Amiri"/>
          <w:color w:val="111111"/>
          <w:sz w:val="28"/>
          <w:szCs w:val="28"/>
          <w:rtl w:val="true"/>
          <w:lang w:bidi="ar-SA"/>
        </w:rPr>
        <w:t xml:space="preserve">. </w:t>
      </w:r>
      <w:bookmarkStart w:id="364" w:name="pg8101_60597"/>
    </w:p>
    <w:p>
      <w:pPr>
        <w:pStyle w:val="Heading5"/>
        <w:numPr>
          <w:ilvl w:val="4"/>
          <w:numId w:val="1"/>
        </w:numPr>
        <w:rPr/>
      </w:pPr>
      <w:bookmarkStart w:id="365" w:name="__RefHeading___Toc7940450_1051229030"/>
      <w:bookmarkStart w:id="366" w:name="_Toc129"/>
      <w:bookmarkEnd w:id="364"/>
      <w:bookmarkEnd w:id="365"/>
      <w:r>
        <w:rPr>
          <w:rtl w:val="true"/>
        </w:rPr>
        <w:t>دلالة آية الميثاق على لزوم العقود المعاوضية</w:t>
      </w:r>
      <w:bookmarkEnd w:id="366"/>
    </w:p>
    <w:p>
      <w:pPr>
        <w:pStyle w:val="BookText"/>
        <w:rPr/>
      </w:pPr>
      <w:r>
        <w:rPr>
          <w:rFonts w:ascii="Amiri" w:hAnsi="Amiri" w:eastAsia="Amiri" w:cs="Amiri"/>
          <w:color w:val="111111"/>
          <w:sz w:val="28"/>
          <w:sz w:val="28"/>
          <w:szCs w:val="28"/>
          <w:rtl w:val="true"/>
          <w:lang w:bidi="ar-SA"/>
        </w:rPr>
        <w:t xml:space="preserve">ويدلّ على لزوم العقود المعاوضية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العقلائي كما عرفت</w:t>
      </w:r>
      <w:r>
        <w:rPr>
          <w:rStyle w:val="FootnoteAnchor"/>
          <w:rtl w:val="true"/>
        </w:rPr>
        <w:footnoteReference w:id="395"/>
      </w:r>
      <w:r>
        <w:rPr>
          <w:rFonts w:ascii="Amiri" w:hAnsi="Amiri" w:eastAsia="Amiri" w:cs="Amiri"/>
          <w:color w:val="111111"/>
          <w:sz w:val="28"/>
          <w:sz w:val="28"/>
          <w:szCs w:val="28"/>
          <w:rtl w:val="true"/>
          <w:lang w:bidi="ar-SA"/>
        </w:rPr>
        <w:t xml:space="preserve">وبعد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فإنّ المراد منها ليس مطلق العقود ، بل ما يكون مبناه على المعاوضة والاستيثاق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فإنّه وإن كان راجعاً إلى المهر وعدم جواز أخذه ، لكن يستفاد منه أمران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تعالى أرجعهم إلى مرتكزاتهم ؛ وأ نّه بعد إفضاء البعض إلى البعض وأخذ الميثاق الغليظ ، لا مصير إلى أخذ المهر ؛ ولا سبيل إليه عند العقلاء ؛ فإنّ هذا التعبير آبٍ عن الأمر التعبّدي ، بل مناسب للأمر الارتكازي ، فيظهر منه 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نقض الميثاق 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قبيحاً عند العقلاء ومذموماً عندهم ، واللّه تعالى نبّههم على هذا الأمر الارتكازي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 الموضوع لهذا الأمر الارتكازي القبيح ؛ هو نقض الميثاق </w:t>
      </w:r>
    </w:p>
    <w:p>
      <w:pPr>
        <w:pStyle w:val="BookText"/>
        <w:rPr/>
      </w:pPr>
      <w:r>
        <w:rPr>
          <w:rFonts w:ascii="Amiri" w:hAnsi="Amiri" w:eastAsia="Amiri" w:cs="Amiri"/>
          <w:color w:val="111111"/>
          <w:sz w:val="28"/>
          <w:sz w:val="28"/>
          <w:szCs w:val="28"/>
          <w:rtl w:val="true"/>
          <w:lang w:bidi="ar-SA"/>
        </w:rPr>
        <w:t xml:space="preserve">الغليظ ، ولا اختصاص له بباب النكاح والمهر ، والنكاح لمّا كان في الحقيقة مصداقاً للميثاق الغليظ ، صار مركباً لهذا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ذلك أنّ الكبرى الكلّية المرتكزة للعقلاء التي قرّرها الشارع ؛ هي الميثاق الغليظ لا النكاح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هو الميثاق الغليظ ، لا أصل الميثاق ، فمن أين يعلم أنّ الغلظة بِمَ تتحقّق ؟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تطبيق الميثاق الغليظ على النكاح ، والعلم بأ نّه ليس في النكاح غلظة أشدّ من البيع والإجارة وأشباههما ، يعلم أنّ الميزان هو العهد المبرم الذي في مثل تلك العقود ، فتدبّر جيّداً </w:t>
      </w:r>
      <w:r>
        <w:rPr>
          <w:rFonts w:eastAsia="Amiri" w:cs="Amiri" w:ascii="Amiri" w:hAnsi="Amiri"/>
          <w:color w:val="111111"/>
          <w:sz w:val="28"/>
          <w:szCs w:val="28"/>
          <w:rtl w:val="true"/>
          <w:lang w:bidi="ar-SA"/>
        </w:rPr>
        <w:t xml:space="preserve">. </w:t>
      </w:r>
      <w:bookmarkStart w:id="367" w:name="pg8101_60599"/>
    </w:p>
    <w:p>
      <w:pPr>
        <w:pStyle w:val="Heading3"/>
        <w:numPr>
          <w:ilvl w:val="2"/>
          <w:numId w:val="1"/>
        </w:numPr>
        <w:rPr/>
      </w:pPr>
      <w:bookmarkStart w:id="368" w:name="__RefHeading___Toc7940452_1051229030"/>
      <w:bookmarkStart w:id="369" w:name="_Toc130"/>
      <w:bookmarkEnd w:id="367"/>
      <w:bookmarkEnd w:id="368"/>
      <w:r>
        <w:rPr>
          <w:rtl w:val="true"/>
        </w:rPr>
        <w:t>الفائدة الثانية</w:t>
      </w:r>
      <w:r>
        <w:rPr>
          <w:rtl w:val="true"/>
        </w:rPr>
        <w:t xml:space="preserve">: </w:t>
      </w:r>
      <w:r>
        <w:rPr>
          <w:rtl w:val="true"/>
        </w:rPr>
        <w:t>في حال الشروط المخالفة للكتاب والمباحث المتعلّقة بها</w:t>
      </w:r>
      <w:bookmarkEnd w:id="369"/>
    </w:p>
    <w:p>
      <w:pPr>
        <w:pStyle w:val="Heading4"/>
        <w:numPr>
          <w:ilvl w:val="3"/>
          <w:numId w:val="1"/>
        </w:numPr>
        <w:rPr/>
      </w:pPr>
      <w:bookmarkStart w:id="370" w:name="__RefHeading___Toc7940454_1051229030"/>
      <w:bookmarkStart w:id="371" w:name="_Toc131"/>
      <w:bookmarkEnd w:id="370"/>
      <w:r>
        <w:rPr>
          <w:rtl w:val="true"/>
        </w:rPr>
        <w:t xml:space="preserve">وهي تذكر في ضمن مطالب </w:t>
      </w:r>
      <w:r>
        <w:rPr>
          <w:rtl w:val="true"/>
        </w:rPr>
        <w:t>:</w:t>
      </w:r>
      <w:bookmarkEnd w:id="371"/>
    </w:p>
    <w:p>
      <w:pPr>
        <w:pStyle w:val="Heading5"/>
        <w:numPr>
          <w:ilvl w:val="4"/>
          <w:numId w:val="1"/>
        </w:numPr>
        <w:rPr/>
      </w:pPr>
      <w:bookmarkStart w:id="372" w:name="__RefHeading___Toc7940456_1051229030"/>
      <w:bookmarkStart w:id="373" w:name="_Toc132"/>
      <w:bookmarkEnd w:id="372"/>
      <w:r>
        <w:rPr>
          <w:rtl w:val="true"/>
        </w:rPr>
        <w:t xml:space="preserve">الأوّل </w:t>
      </w:r>
      <w:r>
        <w:rPr>
          <w:rtl w:val="true"/>
        </w:rPr>
        <w:t xml:space="preserve">: </w:t>
      </w:r>
      <w:r>
        <w:rPr>
          <w:rtl w:val="true"/>
        </w:rPr>
        <w:t xml:space="preserve">حول قوله صلی الله علیه و آله وسلم </w:t>
      </w:r>
      <w:r>
        <w:rPr>
          <w:rtl w:val="true"/>
        </w:rPr>
        <w:t>: «</w:t>
      </w:r>
      <w:r>
        <w:rPr>
          <w:rtl w:val="true"/>
        </w:rPr>
        <w:t>المؤمنون عند شروطهم</w:t>
      </w:r>
      <w:r>
        <w:rPr>
          <w:rtl w:val="true"/>
        </w:rPr>
        <w:t>»</w:t>
      </w:r>
      <w:bookmarkEnd w:id="37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العامّة والخاصّة في هذا الباب ، كثيرة مستفيضة من طرق العامّة والخاصّة ، والكبرى المجعولة فيها 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w:t>
      </w:r>
      <w:r>
        <w:rPr>
          <w:rStyle w:val="FootnoteAnchor"/>
          <w:rtl w:val="true"/>
        </w:rPr>
        <w:footnoteReference w:id="399"/>
      </w:r>
      <w:r>
        <w:rPr>
          <w:rFonts w:ascii="IRNazanin" w:hAnsi="IRNazanin" w:eastAsia="IRNazanin"/>
          <w:color w:val="111111"/>
          <w:sz w:val="28"/>
          <w:sz w:val="28"/>
          <w:szCs w:val="28"/>
          <w:rtl w:val="true"/>
          <w:lang w:bidi="fa-IR"/>
        </w:rPr>
        <w:t>أو المؤمنون عند شروطهم</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xml:space="preserve">وهذه كناية عن لزوم الوفاء والالتزام بالشرط ، وجارية على </w:t>
      </w:r>
      <w:bookmarkStart w:id="374" w:name="pg8101_60600"/>
    </w:p>
    <w:p>
      <w:pPr>
        <w:pStyle w:val="BookText"/>
        <w:rPr/>
      </w:pPr>
      <w:bookmarkEnd w:id="374"/>
      <w:r>
        <w:rPr>
          <w:rFonts w:ascii="Amiri" w:hAnsi="Amiri" w:eastAsia="Amiri" w:cs="Amiri"/>
          <w:color w:val="111111"/>
          <w:sz w:val="28"/>
          <w:sz w:val="28"/>
          <w:szCs w:val="28"/>
          <w:rtl w:val="true"/>
          <w:lang w:bidi="ar-SA"/>
        </w:rPr>
        <w:t xml:space="preserve">سبيل الاستعارة ، فكأنّ الشرط أمر مجسّم محسوس ، ويكون المسلم والمؤمن من وظيفة إيمانه وإسلامه ملازمته وقيامه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 من مقتضيات الإسلام وقواعده هو كون الملتزمين بها ملتزمين بشروطهم ، ولا يكونون غير معتنين بها ومفارقين لها </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7940458_1051229030"/>
      <w:bookmarkStart w:id="376" w:name="_Toc133"/>
      <w:bookmarkEnd w:id="375"/>
      <w:r>
        <w:rPr>
          <w:rtl w:val="true"/>
        </w:rPr>
        <w:t xml:space="preserve">الثاني </w:t>
      </w:r>
      <w:r>
        <w:rPr>
          <w:rtl w:val="true"/>
        </w:rPr>
        <w:t xml:space="preserve">: </w:t>
      </w:r>
      <w:r>
        <w:rPr>
          <w:rtl w:val="true"/>
        </w:rPr>
        <w:t>في المراد من الشرط المخالف</w:t>
      </w:r>
      <w:bookmarkEnd w:id="37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الاستثناء الوارد في الأخبار متّصلاً ومنفصلاً وإن كان لسانه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المخالف للكتاب</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وافق كتاب اللّه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كتاب اللّه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في كتاب اللّه</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رجوع كلّ العناوين إلى عنوان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تشهد به صحيحة</w:t>
      </w:r>
      <w:r>
        <w:rPr>
          <w:rStyle w:val="FootnoteAnchor"/>
          <w:rtl w:val="true"/>
        </w:rPr>
        <w:footnoteReference w:id="406"/>
      </w:r>
      <w:r>
        <w:rPr>
          <w:rFonts w:ascii="IRNazanin" w:hAnsi="IRNazanin" w:eastAsia="IRNazanin"/>
          <w:color w:val="111111"/>
          <w:sz w:val="28"/>
          <w:sz w:val="28"/>
          <w:szCs w:val="28"/>
          <w:rtl w:val="true"/>
          <w:lang w:bidi="fa-IR"/>
        </w:rPr>
        <w:t xml:space="preserve">عبداللّه بن سنان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اشترط شرطاً مخالفاً لكتاب اللّه عزّ وجلّ فلا يجوز له ، ولا يجوز على الذي اشترط عليه ، والمسلمون عند شروطهم فيما </w:t>
      </w:r>
      <w:r>
        <w:rPr>
          <w:rStyle w:val="FootnoteAnchor"/>
          <w:rtl w:val="true"/>
        </w:rPr>
        <w:footnoteReference w:id="407"/>
      </w:r>
      <w:r>
        <w:rPr>
          <w:rFonts w:ascii="Amiri" w:hAnsi="Amiri" w:eastAsia="Amiri" w:cs="Amiri"/>
          <w:color w:val="111111"/>
          <w:sz w:val="28"/>
          <w:sz w:val="28"/>
          <w:szCs w:val="28"/>
          <w:rtl w:val="true"/>
          <w:lang w:bidi="ar-SA"/>
        </w:rPr>
        <w:t>وافق كتاب اللّه عزّ وجلّ</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الصدر والذيل بصدد بيان كبرى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المخالف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المخالفة ، لا أ نّها عنوان برأسه في مقابل عدم المخالفة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الكبرى المجعولة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المخالف لمطلق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استفيد حكمه من الكتاب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كتب اللّه على العباد</w:t>
      </w:r>
      <w:r>
        <w:rPr>
          <w:rStyle w:val="FootnoteAnchor"/>
          <w:rtl w:val="true"/>
        </w:rPr>
        <w:footnoteReference w:id="409"/>
      </w:r>
      <w:r>
        <w:rPr>
          <w:rFonts w:ascii="Amiri" w:hAnsi="Amiri" w:eastAsia="Amiri" w:cs="Amiri"/>
          <w:color w:val="111111"/>
          <w:sz w:val="28"/>
          <w:sz w:val="28"/>
          <w:szCs w:val="28"/>
          <w:rtl w:val="true"/>
          <w:lang w:bidi="ar-SA"/>
        </w:rPr>
        <w:t xml:space="preserve">فإنّه خلاف الظاهر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 لكنّ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مطلق الحكم الشرعي ؛ فإنّ الظاهر أنّ عدم نفوذ الشرط المخالف لكتاب اللّه ، ليس من جهة مخالفته لهذا الكلام الصادر على نعت الإعجاز والتحدّي ، بل لكونه مخالفاً لحكم اللّه وما أنزل اللّه فيه ، فبعد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إلغاء هذه الخصوصية يصير الحكم كلّياً متعلّقاً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شهادة رواية محمّد بن قيس على ذلك ، فإنّ 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خالفت السنّة ، ووُلِّيت حقّاً ليست بأهله</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وإلى شهادة الرواية المرويّة من طرق العامّة في حكاية بَرِيرَة</w:t>
      </w:r>
      <w:r>
        <w:rPr>
          <w:rStyle w:val="FootnoteAnchor"/>
          <w:rtl w:val="true"/>
        </w:rPr>
        <w:footnoteReference w:id="411"/>
      </w:r>
      <w:r>
        <w:rPr>
          <w:rFonts w:ascii="Amiri" w:hAnsi="Amiri" w:eastAsia="Amiri" w:cs="Amiri"/>
          <w:color w:val="111111"/>
          <w:sz w:val="28"/>
          <w:sz w:val="28"/>
          <w:szCs w:val="28"/>
          <w:rtl w:val="true"/>
          <w:lang w:bidi="ar-SA"/>
        </w:rPr>
        <w:t xml:space="preserve">فإنّ فيها جُعل الولاء لغير من أعتق مخالفاً للكتاب ، تأمّل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الشرط الغير النافذ مطلق ما كان مخالفاً 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الكتاب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متساويين صدقاً ، كما لا يخفى </w:t>
      </w:r>
      <w:r>
        <w:rPr>
          <w:rFonts w:eastAsia="Amiri" w:cs="Amiri" w:ascii="Amiri" w:hAnsi="Amiri"/>
          <w:color w:val="111111"/>
          <w:sz w:val="28"/>
          <w:szCs w:val="28"/>
          <w:rtl w:val="true"/>
          <w:lang w:bidi="ar-SA"/>
        </w:rPr>
        <w:t xml:space="preserve">. </w:t>
      </w:r>
      <w:bookmarkStart w:id="377" w:name="pg8101_60603"/>
    </w:p>
    <w:p>
      <w:pPr>
        <w:pStyle w:val="Heading3"/>
        <w:numPr>
          <w:ilvl w:val="2"/>
          <w:numId w:val="1"/>
        </w:numPr>
        <w:rPr/>
      </w:pPr>
      <w:bookmarkStart w:id="378" w:name="__RefHeading___Toc7940460_1051229030"/>
      <w:bookmarkStart w:id="379" w:name="_Toc134"/>
      <w:bookmarkEnd w:id="377"/>
      <w:bookmarkEnd w:id="378"/>
      <w:r>
        <w:rPr>
          <w:rtl w:val="true"/>
        </w:rPr>
        <w:t xml:space="preserve">الفائدة الثالثة </w:t>
      </w:r>
      <w:r>
        <w:rPr>
          <w:rtl w:val="true"/>
        </w:rPr>
        <w:t xml:space="preserve">: </w:t>
      </w:r>
      <w:r>
        <w:rPr>
          <w:rtl w:val="true"/>
        </w:rPr>
        <w:t xml:space="preserve">في حديث </w:t>
      </w:r>
      <w:r>
        <w:rPr>
          <w:rtl w:val="true"/>
        </w:rPr>
        <w:t>«</w:t>
      </w:r>
      <w:r>
        <w:rPr>
          <w:rtl w:val="true"/>
        </w:rPr>
        <w:t>على اليد ما أخذت حتّى تؤدي</w:t>
      </w:r>
      <w:r>
        <w:rPr>
          <w:rtl w:val="true"/>
        </w:rPr>
        <w:t>»</w:t>
      </w:r>
      <w:bookmarkEnd w:id="379"/>
    </w:p>
    <w:p>
      <w:pPr>
        <w:pStyle w:val="Heading4"/>
        <w:numPr>
          <w:ilvl w:val="3"/>
          <w:numId w:val="1"/>
        </w:numPr>
        <w:rPr/>
      </w:pPr>
      <w:bookmarkStart w:id="380" w:name="__RefHeading___Toc7940462_1051229030"/>
      <w:bookmarkStart w:id="381" w:name="_Toc135"/>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التكلّم في بعض جهات ما نقل عن رسول اللّه صلی الله علیه و آله 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p>
    <w:p>
      <w:pPr>
        <w:pStyle w:val="Heading4"/>
        <w:numPr>
          <w:ilvl w:val="3"/>
          <w:numId w:val="1"/>
        </w:numPr>
        <w:rPr/>
      </w:pPr>
      <w:bookmarkStart w:id="382" w:name="__RefHeading___Toc7940464_1051229030"/>
      <w:bookmarkStart w:id="383" w:name="_Toc136"/>
      <w:bookmarkEnd w:id="382"/>
      <w:r>
        <w:rPr>
          <w:rtl w:val="true"/>
        </w:rPr>
        <w:t xml:space="preserve">وفيه جهات من البحث </w:t>
      </w:r>
      <w:r>
        <w:rPr>
          <w:rtl w:val="true"/>
        </w:rPr>
        <w:t>:</w:t>
      </w:r>
      <w:bookmarkEnd w:id="383"/>
    </w:p>
    <w:p>
      <w:pPr>
        <w:pStyle w:val="Heading5"/>
        <w:numPr>
          <w:ilvl w:val="4"/>
          <w:numId w:val="1"/>
        </w:numPr>
        <w:rPr/>
      </w:pPr>
      <w:bookmarkStart w:id="384" w:name="__RefHeading___Toc7940466_1051229030"/>
      <w:bookmarkStart w:id="385" w:name="_Toc137"/>
      <w:bookmarkEnd w:id="384"/>
      <w:r>
        <w:rPr>
          <w:rtl w:val="true"/>
        </w:rPr>
        <w:t xml:space="preserve">الاُولى </w:t>
      </w:r>
      <w:r>
        <w:rPr>
          <w:rtl w:val="true"/>
        </w:rPr>
        <w:t xml:space="preserve">: </w:t>
      </w:r>
      <w:r>
        <w:rPr>
          <w:rtl w:val="true"/>
        </w:rPr>
        <w:t>في سنده</w:t>
      </w:r>
      <w:bookmarkEnd w:id="385"/>
    </w:p>
    <w:p>
      <w:pPr>
        <w:pStyle w:val="BookText"/>
        <w:rPr/>
      </w:pPr>
      <w:r>
        <w:rPr>
          <w:rFonts w:ascii="Amiri" w:hAnsi="Amiri" w:eastAsia="Amiri" w:cs="Amiri"/>
          <w:color w:val="111111"/>
          <w:sz w:val="28"/>
          <w:sz w:val="28"/>
          <w:szCs w:val="28"/>
          <w:rtl w:val="true"/>
          <w:lang w:bidi="ar-SA"/>
        </w:rPr>
        <w:t xml:space="preserve">إنّه قد روت العامّة في بعض صحاحهم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وغيرهما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مسندةً إلى سَمُرة بن جُنْدَب مع اختلافٍ ما في بعض كلماتها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المشهور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قبضت حتّى تؤدّي</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386" w:name="pg8101_60604"/>
    </w:p>
    <w:p>
      <w:pPr>
        <w:pStyle w:val="BookText"/>
        <w:rPr/>
      </w:pPr>
      <w:bookmarkEnd w:id="386"/>
      <w:r>
        <w:rPr>
          <w:rFonts w:ascii="Amiri" w:hAnsi="Amiri" w:eastAsia="Amiri" w:cs="Amiri"/>
          <w:color w:val="111111"/>
          <w:sz w:val="28"/>
          <w:sz w:val="28"/>
          <w:szCs w:val="28"/>
          <w:rtl w:val="true"/>
          <w:lang w:bidi="ar-SA"/>
        </w:rPr>
        <w:t xml:space="preserve">وفي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الخاصّة ، فاستنادهم إليه في كتب الفقهاء قديماً </w:t>
      </w:r>
      <w:r>
        <w:rPr>
          <w:rStyle w:val="FootnoteAnchor"/>
          <w:rtl w:val="true"/>
        </w:rPr>
        <w:footnoteReference w:id="418"/>
      </w:r>
      <w:r>
        <w:rPr>
          <w:rFonts w:ascii="Amiri" w:hAnsi="Amiri" w:eastAsia="Amiri" w:cs="Amiri"/>
          <w:color w:val="111111"/>
          <w:sz w:val="28"/>
          <w:sz w:val="28"/>
          <w:szCs w:val="28"/>
          <w:rtl w:val="true"/>
          <w:lang w:bidi="ar-SA"/>
        </w:rPr>
        <w:t xml:space="preserve">وحديثاً </w:t>
      </w:r>
      <w:r>
        <w:rPr>
          <w:rStyle w:val="FootnoteAnchor"/>
          <w:rtl w:val="true"/>
        </w:rPr>
        <w:footnoteReference w:id="419"/>
      </w:r>
      <w:r>
        <w:rPr>
          <w:rFonts w:ascii="Amiri" w:hAnsi="Amiri" w:eastAsia="Amiri" w:cs="Amiri"/>
          <w:color w:val="111111"/>
          <w:sz w:val="28"/>
          <w:sz w:val="28"/>
          <w:szCs w:val="28"/>
          <w:rtl w:val="true"/>
          <w:lang w:bidi="ar-SA"/>
        </w:rPr>
        <w:t xml:space="preserve">ممّا يغنينا عن البحث عن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الروايات الخاصّة في كثير من أبواب الفقه الدالّة على الضمان تكون بمقدارٍ يمكن للفقيه اصطياد قاعدة كلّية بإلغاء الخصوصيات ، كما لا يخفى على المتدرّب المتفحّص في أبواب الإجارة </w:t>
      </w:r>
      <w:r>
        <w:rPr>
          <w:rStyle w:val="FootnoteAnchor"/>
          <w:rtl w:val="true"/>
        </w:rPr>
        <w:footnoteReference w:id="420"/>
      </w:r>
      <w:r>
        <w:rPr>
          <w:rFonts w:ascii="Amiri" w:hAnsi="Amiri" w:eastAsia="Amiri" w:cs="Amiri"/>
          <w:color w:val="111111"/>
          <w:sz w:val="28"/>
          <w:sz w:val="28"/>
          <w:szCs w:val="28"/>
          <w:rtl w:val="true"/>
          <w:lang w:bidi="ar-SA"/>
        </w:rPr>
        <w:t xml:space="preserve">والعارية </w:t>
      </w:r>
      <w:r>
        <w:rPr>
          <w:rStyle w:val="FootnoteAnchor"/>
          <w:rtl w:val="true"/>
        </w:rPr>
        <w:footnoteReference w:id="421"/>
      </w:r>
      <w:r>
        <w:rPr>
          <w:rFonts w:ascii="Amiri" w:hAnsi="Amiri" w:eastAsia="Amiri" w:cs="Amiri"/>
          <w:color w:val="111111"/>
          <w:sz w:val="28"/>
          <w:sz w:val="28"/>
          <w:szCs w:val="28"/>
          <w:rtl w:val="true"/>
          <w:lang w:bidi="ar-SA"/>
        </w:rPr>
        <w:t xml:space="preserve">والوديعة </w:t>
      </w:r>
      <w:r>
        <w:rPr>
          <w:rStyle w:val="FootnoteAnchor"/>
          <w:rtl w:val="true"/>
        </w:rPr>
        <w:footnoteReference w:id="422"/>
      </w:r>
      <w:r>
        <w:rPr>
          <w:rFonts w:ascii="Amiri" w:hAnsi="Amiri" w:eastAsia="Amiri" w:cs="Amiri"/>
          <w:color w:val="111111"/>
          <w:sz w:val="28"/>
          <w:sz w:val="28"/>
          <w:szCs w:val="28"/>
          <w:rtl w:val="true"/>
          <w:lang w:bidi="ar-SA"/>
        </w:rPr>
        <w:t xml:space="preserve">والمضاربة </w:t>
      </w:r>
      <w:r>
        <w:rPr>
          <w:rStyle w:val="FootnoteAnchor"/>
          <w:rtl w:val="true"/>
        </w:rPr>
        <w:footnoteReference w:id="423"/>
      </w:r>
      <w:r>
        <w:rPr>
          <w:rFonts w:ascii="Amiri" w:hAnsi="Amiri" w:eastAsia="Amiri" w:cs="Amiri"/>
          <w:color w:val="111111"/>
          <w:sz w:val="28"/>
          <w:sz w:val="28"/>
          <w:szCs w:val="28"/>
          <w:rtl w:val="true"/>
          <w:lang w:bidi="ar-SA"/>
        </w:rPr>
        <w:t xml:space="preserve">وغيرها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7940468_1051229030"/>
      <w:bookmarkStart w:id="388" w:name="_Toc138"/>
      <w:bookmarkEnd w:id="387"/>
      <w:r>
        <w:rPr>
          <w:rtl w:val="true"/>
        </w:rPr>
        <w:t xml:space="preserve">الثانية </w:t>
      </w:r>
      <w:r>
        <w:rPr>
          <w:rtl w:val="true"/>
        </w:rPr>
        <w:t xml:space="preserve">: </w:t>
      </w:r>
      <w:r>
        <w:rPr>
          <w:rtl w:val="true"/>
        </w:rPr>
        <w:t xml:space="preserve">في بيان مفاد </w:t>
      </w:r>
      <w:r>
        <w:rPr>
          <w:rtl w:val="true"/>
        </w:rPr>
        <w:t>«</w:t>
      </w:r>
      <w:r>
        <w:rPr>
          <w:rtl w:val="true"/>
        </w:rPr>
        <w:t>على</w:t>
      </w:r>
      <w:r>
        <w:rPr>
          <w:rtl w:val="true"/>
        </w:rPr>
        <w:t xml:space="preserve">» </w:t>
      </w:r>
      <w:r>
        <w:rPr>
          <w:rtl w:val="true"/>
        </w:rPr>
        <w:t>مع مجرورها</w:t>
      </w:r>
      <w:bookmarkEnd w:id="38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مجرورها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خبراً لفعل من الأفعال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زيد أن يضرب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خبراً لذات من الذوات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زيد عشرة دراهم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وعلى الثاني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خبراً لأمر كلّى ، كالمثال المذكور ، وقد يكون لأمر شخصي خارجي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كان كلّياً قد يكون معتبراً في ذمّة شخص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دين زيد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يكون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عشرة دراهم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جعلت خبراً للأفعال ، فالظاهر المتفاهم منها عرفاً هو الإلزام على الإيجاد ، فلا يستفاد منها إلاّ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منها أيضاً هو العهدة ، كما فيما سيأتي ، إلاّ أنّ اللازم على العهدة في الأفعال هو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جعلت خبراً لأمرٍ كلّي غير معتبر في ذمّة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زيد عن عمروٍ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مثل الأوّل إقرار ، وفي مثل الثاني شهادة على اشتغال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جعلت خبراً لأمرٍ كلّي معتبر في ذمّة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دَينك عن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فالمتفاهم العرفي منها هو العهدة ، وهي إحدى الاعتبارات العقلائية المستتبعة لأحكام عقلائية ، وهي غير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الاعتبارات العقلائية كون شيء في ذمّة شخصٍ ؛ فإنّ نفس الذمّة من الاعتبارات العقلائية ، وكأ نّها مخزن قابل لكون شيء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كون شيء فيها أيضاً من الاعتبارات العقلائية ، فاعتبار عشرة دراهم في ذمّة زيد اعتبار في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اعتبار العهدة ؛ فإنّ اعتبار شيء في الذمّة اعتبارٌ ، وأمّا اعتبار العهدة اعتبار ضمّ الذمّة إلى الذمّة عند العقلاء ، فالدين ثابت على ذمّة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المضمون في الضمان العرفي ، والضامن متعهّد بالدين ، ومعنى تعهّده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لم يؤدِّ دينه يجب عليه الخروج عن العهدة ؛ إمّا بالأخذ من المديون والردّ إلى </w:t>
      </w:r>
    </w:p>
    <w:p>
      <w:pPr>
        <w:pStyle w:val="BookText"/>
        <w:rPr/>
      </w:pPr>
      <w:r>
        <w:rPr>
          <w:rFonts w:ascii="Amiri" w:hAnsi="Amiri" w:eastAsia="Amiri" w:cs="Amiri"/>
          <w:color w:val="111111"/>
          <w:sz w:val="28"/>
          <w:sz w:val="28"/>
          <w:szCs w:val="28"/>
          <w:rtl w:val="true"/>
          <w:lang w:bidi="ar-SA"/>
        </w:rPr>
        <w:t xml:space="preserve">الدائن في صورة الإمكان ، وإمّا بالإعطاء من كيسه مع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العهدة اعتبار عقلائي مستتبع لجواز مطالبة المتعهَّد له ، فإذا طالب يجب على المتعهِّد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ما تعهّد به ؛ إمّا بالأخذ من المديون ، أو الردّ من كيسه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الحكم العقلائي في باب الضمانات ، والعامّة قد جروا في فتاواهم على هذا البناء العقلائي</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 الخاصّة في باب الضمانات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الذمّة إلى الذمّة</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تعبّدي شرعي على خلاف بناء العرف والعقلاء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لعين 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منها هو التعهّد للأداء ؛ كانت العين موجودة أو لم تكن ؛ فإنّ كلّ عين مشتملة على صورة شخصية ، وصورة نوعية ، وجهة مالية ، فإذا تعهّد أحد بعين من الأعيان ، يكون حكمه العقلائي هو الخروج عن العهدة ؛ إمّا بردّها بجميع جهاتها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الشخصية ، والنوعية ، والمالية ، وإمّا ببعض مراتبها لو لم يمكن الجميع ، فإذا كانت العين موجودة يجب ردّها ، ويكون الخروج عن العهدة بردّها شخصاً ، فإذا تلفت لم تنتقل إلى المثل أو القيمة ، بل تكون العهدة متعلّقة بالعين ، والخروج عنها إنّما يكون بردّ الصورة النوعية إن أمكن ، والمالية مع عدمه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عهدة الآخذ لنفس </w:t>
      </w:r>
    </w:p>
    <w:p>
      <w:pPr>
        <w:pStyle w:val="BookText"/>
        <w:rPr/>
      </w:pPr>
      <w:r>
        <w:rPr>
          <w:rFonts w:ascii="Amiri" w:hAnsi="Amiri" w:eastAsia="Amiri" w:cs="Amiri"/>
          <w:color w:val="111111"/>
          <w:sz w:val="28"/>
          <w:sz w:val="28"/>
          <w:szCs w:val="28"/>
          <w:rtl w:val="true"/>
          <w:lang w:bidi="ar-SA"/>
        </w:rPr>
        <w:t xml:space="preserve">العين ، وهذا حكم وضعي عقلائي مستتبع لأحكام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المطالبة ،</w:t>
      </w:r>
    </w:p>
    <w:p>
      <w:pPr>
        <w:pStyle w:val="BookText"/>
        <w:rPr/>
      </w:pPr>
      <w:r>
        <w:rPr>
          <w:rFonts w:ascii="Amiri" w:hAnsi="Amiri" w:eastAsia="Amiri" w:cs="Amiri"/>
          <w:color w:val="111111"/>
          <w:sz w:val="28"/>
          <w:sz w:val="28"/>
          <w:szCs w:val="28"/>
          <w:rtl w:val="true"/>
          <w:lang w:bidi="ar-SA"/>
        </w:rPr>
        <w:t xml:space="preserve">ووجوب الخروج عن العهدة بردّ العين ، أو ردّها ببعض مراتبها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وجه آخر وتقريب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كلّ مملوك لأحد له جهة نفع ولهيّة ، وجهة ضرر وعليهيّة عند العقلاء ، وتكون جهة لهيّته ونفعه في صورة وجوده ، وجهة عليهيّته في صورة فقدانه ، فكما أنّ اللهيّة للمالك تكون العليهيّة أيضاً على المالك إن تلفت تحت يده ، ففي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جهة العليهيّة على الآخذ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الأعيان التي تكون جهة عليهيّتها على مالكها إذا وقعت تحت يد غاصب ، تنتقل هذه الجهة إليه ، ويتوجّه ضررها عند تلفها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التقريب تصير العهدة مختصّة بالعين التالفة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العهدة متحقّقة عند العقلاء حتّى مع وجود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منشأ اعتبار العقلاء العهدة بالمعنى الأوّل في أوّل الأمر هو هذه الجهة العليهيّة ؛ بمعنى أنّ العقلاء لمّا لاحظوا جهة العليهيّة في الأموال ، واستعملوا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الجهة ، انتقلوا إلى العهدة بالمعنى الأوّل المتقدّم ؛ أي العهدة بالمعنى الأوسع حتّى يشمل نطاقها وجود العين أيضاً ، فتدبّر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389" w:name="pg8101_60608"/>
    </w:p>
    <w:p>
      <w:pPr>
        <w:pStyle w:val="Heading5"/>
        <w:numPr>
          <w:ilvl w:val="4"/>
          <w:numId w:val="1"/>
        </w:numPr>
        <w:rPr/>
      </w:pPr>
      <w:bookmarkStart w:id="390" w:name="__RefHeading___Toc7940470_1051229030"/>
      <w:bookmarkStart w:id="391" w:name="_Toc139"/>
      <w:bookmarkEnd w:id="389"/>
      <w:bookmarkEnd w:id="390"/>
      <w:r>
        <w:rPr>
          <w:rtl w:val="true"/>
        </w:rPr>
        <w:t xml:space="preserve">الثالثة </w:t>
      </w:r>
      <w:r>
        <w:rPr>
          <w:rtl w:val="true"/>
        </w:rPr>
        <w:t xml:space="preserve">: </w:t>
      </w:r>
      <w:r>
        <w:rPr>
          <w:rtl w:val="true"/>
        </w:rPr>
        <w:t>في وجه نسبة العهدة إلى اليد</w:t>
      </w:r>
      <w:bookmarkEnd w:id="391"/>
    </w:p>
    <w:p>
      <w:pPr>
        <w:pStyle w:val="BookText"/>
        <w:rPr/>
      </w:pPr>
      <w:r>
        <w:rPr>
          <w:rFonts w:ascii="Amiri" w:hAnsi="Amiri" w:eastAsia="Amiri" w:cs="Amiri"/>
          <w:color w:val="111111"/>
          <w:sz w:val="28"/>
          <w:sz w:val="28"/>
          <w:szCs w:val="28"/>
          <w:rtl w:val="true"/>
          <w:lang w:bidi="ar-SA"/>
        </w:rPr>
        <w:t xml:space="preserve">إنّ نسبة العهدة إلى اليد نسبة مجازية ، لعلّها بملاحظة أنّ اليد لمّا كانت آلة للأخذ نوعاً وموجبة للعهدة غالباً كانت العهدة عليها ، وإلاّ فالعهدة على الشخص الآخذ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نكتة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اليد لمّا كانت آخذة للمال نوعاً نسبت إليها العهدة ؛ لإفهام أنّ الآخذ هو الضامن ، فلمّا كانت اليد آخذة فهي ضامنة أيضاً </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7940472_1051229030"/>
      <w:bookmarkStart w:id="393" w:name="_Toc140"/>
      <w:bookmarkEnd w:id="392"/>
      <w:r>
        <w:rPr>
          <w:rtl w:val="true"/>
        </w:rPr>
        <w:t xml:space="preserve">الرابعة </w:t>
      </w:r>
      <w:r>
        <w:rPr>
          <w:rtl w:val="true"/>
        </w:rPr>
        <w:t xml:space="preserve">: </w:t>
      </w:r>
      <w:r>
        <w:rPr>
          <w:rtl w:val="true"/>
        </w:rPr>
        <w:t>في اختصاص الحديث باليد العدوانية</w:t>
      </w:r>
      <w:bookmarkEnd w:id="393"/>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الأخذ على وجه العدوان ، أو مخصوص به ؟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جهة أنّ المالك إذا أعطى العين على وجه الأمانة ، فهي في اعتبار العقلاء كأ نّها تحت يده ، ولم تخرج عنها ، فكما أنّ الإنسان قد يجعل الأعيان المملوكة في مخازنه الجمادية ؛ من مثل الصندوق والدكّة وغيرهما ، ولا تكون العين خارجة عن يده في هذه الحال ، كذلك إذا جعلها بنحو الأمانة في يد الغير كأ نّه جعله كإحدى مخازنه الجمادية ولو كان الآخذ صاحب الإرادة ، وبهذا الاعتبار يمكن أن يدّعى أنّ العين لم تكن مأخوذة منه ، بل تكون عنده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ذاك الاعتبار صار منشأً للانصراف إلى اليد العادية ، فلا تشمل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الأقوى </w:t>
      </w:r>
      <w:r>
        <w:rPr>
          <w:rFonts w:eastAsia="Amiri" w:cs="Amiri" w:ascii="Amiri" w:hAnsi="Amiri"/>
          <w:color w:val="111111"/>
          <w:sz w:val="28"/>
          <w:szCs w:val="28"/>
          <w:rtl w:val="true"/>
          <w:lang w:bidi="ar-SA"/>
        </w:rPr>
        <w:t xml:space="preserve">. </w:t>
      </w:r>
      <w:bookmarkStart w:id="394" w:name="pg8101_60609"/>
    </w:p>
    <w:p>
      <w:pPr>
        <w:pStyle w:val="BookText"/>
        <w:rPr/>
      </w:pPr>
      <w:bookmarkEnd w:id="394"/>
      <w:r>
        <w:rPr>
          <w:rFonts w:ascii="Amiri" w:hAnsi="Amiri" w:eastAsia="Amiri" w:cs="Amiri"/>
          <w:color w:val="111111"/>
          <w:sz w:val="28"/>
          <w:sz w:val="28"/>
          <w:szCs w:val="28"/>
          <w:rtl w:val="true"/>
          <w:lang w:bidi="ar-SA"/>
        </w:rPr>
        <w:t xml:space="preserve">ويمكن التقريب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تستعمل غالباً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الأخذ إنّما يكون بإعمال القدرة على المأخوذ منه والسلطة عليه ، فيختصّ باليد العادية </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7940474_1051229030"/>
      <w:bookmarkStart w:id="396" w:name="_Toc141"/>
      <w:bookmarkEnd w:id="395"/>
      <w:r>
        <w:rPr>
          <w:rtl w:val="true"/>
        </w:rPr>
        <w:t xml:space="preserve">الخامسة </w:t>
      </w:r>
      <w:r>
        <w:rPr>
          <w:rtl w:val="true"/>
        </w:rPr>
        <w:t xml:space="preserve">: </w:t>
      </w:r>
      <w:r>
        <w:rPr>
          <w:rtl w:val="true"/>
        </w:rPr>
        <w:t>في دلالة الحديث على ردّ المثل حتّى في القيميات</w:t>
      </w:r>
      <w:bookmarkEnd w:id="396"/>
    </w:p>
    <w:p>
      <w:pPr>
        <w:pStyle w:val="BookText"/>
        <w:rPr/>
      </w:pPr>
      <w:r>
        <w:rPr>
          <w:rFonts w:ascii="Amiri" w:hAnsi="Amiri" w:eastAsia="Amiri" w:cs="Amiri"/>
          <w:color w:val="111111"/>
          <w:sz w:val="28"/>
          <w:sz w:val="28"/>
          <w:szCs w:val="28"/>
          <w:rtl w:val="true"/>
          <w:lang w:bidi="ar-SA"/>
        </w:rPr>
        <w:t xml:space="preserve">المشهور بين فقهاء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المخالف نادراً في حكم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 يضمن بالمثلي والقيمة بالقيمي</w:t>
      </w:r>
      <w:r>
        <w:rPr>
          <w:rStyle w:val="FootnoteAnchor"/>
          <w:rtl w:val="true"/>
        </w:rPr>
        <w:footnoteReference w:id="428"/>
      </w:r>
      <w:r>
        <w:rPr>
          <w:rFonts w:ascii="Amiri" w:hAnsi="Amiri" w:eastAsia="Amiri" w:cs="Amiri"/>
          <w:color w:val="111111"/>
          <w:sz w:val="28"/>
          <w:sz w:val="28"/>
          <w:szCs w:val="28"/>
          <w:rtl w:val="true"/>
          <w:lang w:bidi="ar-SA"/>
        </w:rPr>
        <w:t xml:space="preserve">والتعاريف التي ذكرت فيهما </w:t>
      </w:r>
      <w:r>
        <w:rPr>
          <w:rStyle w:val="FootnoteAnchor"/>
          <w:rtl w:val="true"/>
        </w:rPr>
        <w:footnoteReference w:id="429"/>
      </w:r>
      <w:r>
        <w:rPr>
          <w:rFonts w:ascii="Amiri" w:hAnsi="Amiri" w:eastAsia="Amiri" w:cs="Amiri"/>
          <w:color w:val="111111"/>
          <w:sz w:val="28"/>
          <w:sz w:val="28"/>
          <w:szCs w:val="28"/>
          <w:rtl w:val="true"/>
          <w:lang w:bidi="ar-SA"/>
        </w:rPr>
        <w:t xml:space="preserve">متقاربات مشيرات إلى حقيقة واحدة ،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المثلية والقيمية خلافاً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 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هو المثل في المثلي والقيمة في القيمي كما قيل</w:t>
      </w:r>
      <w:r>
        <w:rPr>
          <w:rStyle w:val="FootnoteAnchor"/>
          <w:rtl w:val="true"/>
        </w:rPr>
        <w:footnoteReference w:id="430"/>
      </w:r>
      <w:r>
        <w:rPr>
          <w:rFonts w:ascii="Amiri" w:hAnsi="Amiri" w:eastAsia="Amiri" w:cs="Amiri"/>
          <w:color w:val="111111"/>
          <w:sz w:val="28"/>
          <w:sz w:val="28"/>
          <w:szCs w:val="28"/>
          <w:rtl w:val="true"/>
          <w:lang w:bidi="ar-SA"/>
        </w:rPr>
        <w:t xml:space="preserve">بحيث يفهم العرف من ظاهره كيفية الضمان بما ذكر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المستفاد منه ليس إلاّ أصل العهدة ؛ من دون تعرّض لكيفية الخروج منها وكيفية اشتغال العهدة ، وإنّما يكون الخروج عن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العقلائية ؛ لأقربية المثل في المثليات والقيمة في القيميات في التالف </w:t>
      </w:r>
      <w:r>
        <w:rPr>
          <w:rFonts w:eastAsia="Amiri" w:cs="Amiri" w:ascii="Amiri" w:hAnsi="Amiri"/>
          <w:color w:val="111111"/>
          <w:sz w:val="28"/>
          <w:szCs w:val="28"/>
          <w:rtl w:val="true"/>
          <w:lang w:bidi="ar-SA"/>
        </w:rPr>
        <w:t xml:space="preserve">. </w:t>
      </w:r>
      <w:bookmarkStart w:id="397" w:name="pg8101_60610"/>
    </w:p>
    <w:p>
      <w:pPr>
        <w:pStyle w:val="BookText"/>
        <w:rPr/>
      </w:pPr>
      <w:bookmarkEnd w:id="397"/>
      <w:r>
        <w:rPr>
          <w:rFonts w:ascii="Amiri" w:hAnsi="Amiri" w:eastAsia="Amiri" w:cs="Amiri"/>
          <w:color w:val="111111"/>
          <w:sz w:val="28"/>
          <w:sz w:val="28"/>
          <w:szCs w:val="28"/>
          <w:rtl w:val="true"/>
          <w:lang w:bidi="ar-SA"/>
        </w:rPr>
        <w:t xml:space="preserve">أو أنّ المتفاهم منه أنّ العين بنفسها في العهدة ، والخروج عن عهدة العين لا يكون إلاّ بردّها عند وجودها ، وردّ نوعيتها عند تلفها مع وجود المثل ، وردّ ماليتها عند فقدانه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بواسطة أنّ سوقه إنّما يكون لإفادة حال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تلفها تكون العين بصورتها النوعية في العهدة مطلقاً ، فالخروج عن العهدة بردّ المثل حتّى في القيميات مع الإمكان ، وأمّا حال التعذّر فليس مستفاداً منه ، وإنّما هو بدليل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هذا الأخير هو الظاهر منه ، فبناءً عليه نأخذ بإطلاقه في كافّة الموارد إلاّ ما دلّ الدليل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القيميات وردت بعض الروايات في موارد خاصّة حكم فيها بالقيمة ، كصحيحة أبي ولاّد</w:t>
      </w:r>
      <w:r>
        <w:rPr>
          <w:rStyle w:val="FootnoteAnchor"/>
          <w:rtl w:val="true"/>
        </w:rPr>
        <w:footnoteReference w:id="431"/>
      </w:r>
      <w:r>
        <w:rPr>
          <w:rFonts w:ascii="Amiri" w:hAnsi="Amiri" w:eastAsia="Amiri" w:cs="Amiri"/>
          <w:color w:val="111111"/>
          <w:sz w:val="28"/>
          <w:sz w:val="28"/>
          <w:szCs w:val="28"/>
          <w:rtl w:val="true"/>
          <w:lang w:bidi="ar-SA"/>
        </w:rPr>
        <w:t>ورواية اُخرى في باب عتق شقص من العبد المشترك ، حيث ورد أ نّه يقوّم على المعتق</w:t>
      </w:r>
      <w:r>
        <w:rPr>
          <w:rStyle w:val="FootnoteAnchor"/>
          <w:rtl w:val="true"/>
        </w:rPr>
        <w:footnoteReference w:id="432"/>
      </w:r>
      <w:r>
        <w:rPr>
          <w:rFonts w:ascii="Amiri" w:hAnsi="Amiri" w:eastAsia="Amiri" w:cs="Amiri"/>
          <w:color w:val="111111"/>
          <w:sz w:val="28"/>
          <w:sz w:val="28"/>
          <w:szCs w:val="28"/>
          <w:rtl w:val="true"/>
          <w:lang w:bidi="ar-SA"/>
        </w:rPr>
        <w:t>وروايات اُخرى في موارد متشتّتة ، مثل رواية السفرة المطروحة</w:t>
      </w:r>
      <w:r>
        <w:rPr>
          <w:rStyle w:val="FootnoteAnchor"/>
          <w:rtl w:val="true"/>
        </w:rPr>
        <w:footnoteReference w:id="433"/>
      </w:r>
      <w:r>
        <w:rPr>
          <w:rFonts w:ascii="Amiri" w:hAnsi="Amiri" w:eastAsia="Amiri" w:cs="Amiri"/>
          <w:color w:val="111111"/>
          <w:sz w:val="28"/>
          <w:sz w:val="28"/>
          <w:szCs w:val="28"/>
          <w:rtl w:val="true"/>
          <w:lang w:bidi="ar-SA"/>
        </w:rPr>
        <w:t xml:space="preserve">فبإلغاء الخصوصية يفهم منها أنّ القيميات تضمن بالقيمة ، فيخصّص بها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 .» .</w:t>
      </w:r>
    </w:p>
    <w:p>
      <w:pPr>
        <w:pStyle w:val="Heading5"/>
        <w:numPr>
          <w:ilvl w:val="4"/>
          <w:numId w:val="1"/>
        </w:numPr>
        <w:rPr/>
      </w:pPr>
      <w:bookmarkStart w:id="398" w:name="__RefHeading___Toc7940476_1051229030"/>
      <w:bookmarkStart w:id="399" w:name="_Toc142"/>
      <w:bookmarkEnd w:id="398"/>
      <w:r>
        <w:rPr>
          <w:rtl w:val="true"/>
        </w:rPr>
        <w:t xml:space="preserve">السادسة </w:t>
      </w:r>
      <w:r>
        <w:rPr>
          <w:rtl w:val="true"/>
        </w:rPr>
        <w:t xml:space="preserve">: </w:t>
      </w:r>
      <w:r>
        <w:rPr>
          <w:rtl w:val="true"/>
        </w:rPr>
        <w:t>في أنّ المدار على أعلى القيم</w:t>
      </w:r>
      <w:bookmarkEnd w:id="3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المناط في ضمان اليد في باب القيميات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نقدّمه 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يوم </w:t>
      </w:r>
    </w:p>
    <w:p>
      <w:pPr>
        <w:pStyle w:val="BookText"/>
        <w:rPr/>
      </w:pPr>
      <w:r>
        <w:rPr>
          <w:rFonts w:ascii="IRNazanin" w:hAnsi="IRNazanin" w:eastAsia="IRNazanin"/>
          <w:color w:val="111111"/>
          <w:sz w:val="28"/>
          <w:sz w:val="28"/>
          <w:szCs w:val="28"/>
          <w:rtl w:val="true"/>
          <w:lang w:bidi="fa-IR"/>
        </w:rPr>
        <w:t>الغصب</w:t>
      </w:r>
      <w:r>
        <w:rPr>
          <w:rStyle w:val="FootnoteAnchor"/>
          <w:rtl w:val="true"/>
        </w:rPr>
        <w:footnoteReference w:id="434"/>
      </w:r>
      <w:r>
        <w:rPr>
          <w:rFonts w:ascii="Amiri" w:hAnsi="Amiri" w:eastAsia="Amiri" w:cs="Amiri"/>
          <w:color w:val="111111"/>
          <w:sz w:val="28"/>
          <w:sz w:val="28"/>
          <w:szCs w:val="28"/>
          <w:rtl w:val="true"/>
          <w:lang w:bidi="ar-SA"/>
        </w:rPr>
        <w:t>أو يوم التلف</w:t>
      </w:r>
      <w:r>
        <w:rPr>
          <w:rStyle w:val="FootnoteAnchor"/>
          <w:rtl w:val="true"/>
        </w:rPr>
        <w:footnoteReference w:id="435"/>
      </w:r>
      <w:r>
        <w:rPr>
          <w:rFonts w:ascii="Amiri" w:hAnsi="Amiri" w:eastAsia="Amiri" w:cs="Amiri"/>
          <w:color w:val="111111"/>
          <w:sz w:val="28"/>
          <w:sz w:val="28"/>
          <w:szCs w:val="28"/>
          <w:rtl w:val="true"/>
          <w:lang w:bidi="ar-SA"/>
        </w:rPr>
        <w:t>أو يوم الأداء</w:t>
      </w:r>
      <w:r>
        <w:rPr>
          <w:rStyle w:val="FootnoteAnchor"/>
          <w:rtl w:val="true"/>
        </w:rPr>
        <w:footnoteReference w:id="436"/>
      </w:r>
      <w:r>
        <w:rPr>
          <w:rFonts w:ascii="Amiri" w:hAnsi="Amiri" w:eastAsia="Amiri" w:cs="Amiri"/>
          <w:color w:val="111111"/>
          <w:sz w:val="28"/>
          <w:sz w:val="28"/>
          <w:szCs w:val="28"/>
          <w:rtl w:val="true"/>
          <w:lang w:bidi="ar-SA"/>
        </w:rPr>
        <w:t>أو أعلى القيم من يوم الغصب إلى يوم التلف</w:t>
      </w:r>
      <w:r>
        <w:rPr>
          <w:rStyle w:val="FootnoteAnchor"/>
          <w:rtl w:val="true"/>
        </w:rPr>
        <w:footnoteReference w:id="437"/>
      </w:r>
      <w:r>
        <w:rPr>
          <w:rFonts w:ascii="Amiri" w:hAnsi="Amiri" w:eastAsia="Amiri" w:cs="Amiri"/>
          <w:color w:val="111111"/>
          <w:sz w:val="28"/>
          <w:sz w:val="28"/>
          <w:szCs w:val="28"/>
          <w:rtl w:val="true"/>
          <w:lang w:bidi="ar-SA"/>
        </w:rPr>
        <w:t>أو من يوم الغصب إلى يوم الأداء</w:t>
      </w:r>
      <w:r>
        <w:rPr>
          <w:rStyle w:val="FootnoteAnchor"/>
          <w:rtl w:val="true"/>
        </w:rPr>
        <w:footnoteReference w:id="438"/>
      </w:r>
      <w:r>
        <w:rPr>
          <w:rFonts w:ascii="IRNazanin" w:hAnsi="IRNazanin" w:eastAsia="IRNazanin"/>
          <w:color w:val="111111"/>
          <w:sz w:val="28"/>
          <w:sz w:val="28"/>
          <w:szCs w:val="28"/>
          <w:rtl w:val="true"/>
          <w:lang w:bidi="fa-IR"/>
        </w:rPr>
        <w:t xml:space="preserve">؟ وجوه ، بل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الوجه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الأدلّة الخاصّة ، بل بالنظر إلى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على ذمّة الآخذ بدل ما أخذ ، وهو في القيميات نفس القيمة ، والظاهر اتّحاد ظرف الأخذ والاستقرار في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مفاده أنّ العين ما دامت موجودة فنفسها على عهدة الآخذ ، وإذا صارت تالفة فينتقل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البدل ، وهو في القيميات القيمة ، فكان مفاده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العين حين الوجود ، والانتقال إلى القيمة حين التلف ، والظاهر اتّحاد ظرف التلف والانتقال إلى القيمة ، فيصير المعيار قيمته يوم التلف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وجه آخر لعلّ قول المحقّقين ناظر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العين بنفسها في العهدة ، والآخذ مأمور بردّها ، لكنّ ردّها في زمان وجودها بردّ نفسها ، فإذا تلفت يكون ردّها في القيميات بردّ ماليتها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غاية إمكان ردّ العين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قيمة يوم التلف ؛ فلأنّ العين التالفة في زمان تلفها لا قيمة سوقية لها ، ولا ينسب إليها القيمة إلاّ بفرض وجودها ، أو نسبة القيمة إلى أمثالها ؛ بأن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موجودة فقيمتها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أمثالها ونظائرها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خلاف الظاهر ؛ لأنّ الظاهر أنّ الآخذ لا بدّ من تأدية نفس العين ؛ وتأديتِها بالقيمة المنسوبة إلى العين تنجيزاً ، وهو لا ينطبق إلاّ على قيمة يوم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عند المحقّقين ذلك ؛ لما يستفاد من التصفّح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ولأنّ المشهور في إعواز المثلي بقيمة يوم الأداء</w:t>
      </w:r>
      <w:r>
        <w:rPr>
          <w:rStyle w:val="FootnoteAnchor"/>
          <w:rtl w:val="true"/>
        </w:rPr>
        <w:footnoteReference w:id="440"/>
      </w:r>
      <w:r>
        <w:rPr>
          <w:rFonts w:ascii="Amiri" w:hAnsi="Amiri" w:eastAsia="Amiri" w:cs="Amiri"/>
          <w:color w:val="111111"/>
          <w:sz w:val="28"/>
          <w:sz w:val="28"/>
          <w:szCs w:val="28"/>
          <w:rtl w:val="true"/>
          <w:lang w:bidi="ar-SA"/>
        </w:rPr>
        <w:t>وفي القيميات بقيمة يوم التلف</w:t>
      </w:r>
      <w:r>
        <w:rPr>
          <w:rStyle w:val="FootnoteAnchor"/>
          <w:rtl w:val="true"/>
        </w:rPr>
        <w:footnoteReference w:id="441"/>
      </w:r>
      <w:r>
        <w:rPr>
          <w:rFonts w:ascii="Amiri" w:hAnsi="Amiri" w:eastAsia="Amiri" w:cs="Amiri"/>
          <w:color w:val="111111"/>
          <w:sz w:val="28"/>
          <w:sz w:val="28"/>
          <w:szCs w:val="28"/>
          <w:rtl w:val="true"/>
          <w:lang w:bidi="ar-SA"/>
        </w:rPr>
        <w:t>وهو أيضاً منطبق على ذلك ؛ لأنّ المثليات يمكن تقويمها</w:t>
      </w:r>
    </w:p>
    <w:p>
      <w:pPr>
        <w:pStyle w:val="BookText"/>
        <w:rPr/>
      </w:pPr>
      <w:r>
        <w:rPr>
          <w:rFonts w:ascii="Amiri" w:hAnsi="Amiri" w:eastAsia="Amiri" w:cs="Amiri"/>
          <w:color w:val="111111"/>
          <w:sz w:val="28"/>
          <w:sz w:val="28"/>
          <w:szCs w:val="28"/>
          <w:rtl w:val="true"/>
          <w:lang w:bidi="ar-SA"/>
        </w:rPr>
        <w:t xml:space="preserve">والانتساب إليها ، بخلاف العين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استقرّ عليه رأي كثير من المشايخ الذين عاصرناهم</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ما أخذت على عهدة الآخذ ؛ سواء كانت موجودة أو تالفة ، ولا ينتقل بالتلف إلى قيمتها ، فهي ثابتة في العهدة إلى زمان أدائها بمرتبة المالية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الرابع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كما تكون تحت اليد وتصير على عهدة </w:t>
      </w:r>
    </w:p>
    <w:p>
      <w:pPr>
        <w:pStyle w:val="BookText"/>
        <w:rPr/>
      </w:pPr>
      <w:r>
        <w:rPr>
          <w:rFonts w:ascii="Amiri" w:hAnsi="Amiri" w:eastAsia="Amiri" w:cs="Amiri"/>
          <w:color w:val="111111"/>
          <w:sz w:val="28"/>
          <w:sz w:val="28"/>
          <w:szCs w:val="28"/>
          <w:rtl w:val="true"/>
          <w:lang w:bidi="ar-SA"/>
        </w:rPr>
        <w:t xml:space="preserve">الآخذ في الحدوث ، تكون على عهدته في البقاء وفي كلّ يوم ، وتكون مراتب تفاوت القيمة مضمونة عليه ، وللمالك في كلّ يوم مطالبة الضامن ، وعليه أداء القيمة التي في ذلك اليوم ، فإذا ردّ العين تسقط القيمة ، وإذا تلفت يكون يوم التلف آخر أيّام نسبة القيمة إلى العين ، كما عرفت آنفاً ، فردّ مالية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بعد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بردّ أعلى قيمتها من يوم الغصب إلى يوم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الخامس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بعد تلفها باقية على العهدة ، وتعتبر لها قيمة سوقية ، وتكون جميع مراتب القيم مضمونة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يبعد أن يكون الوجه الرابع أقوى الوجوه؛ لأنّ المالك في كلّ يوم له المطالبة </w:t>
      </w:r>
      <w:r>
        <w:rPr>
          <w:rFonts w:eastAsia="Amiri" w:cs="Amiri" w:ascii="Amiri" w:hAnsi="Amiri"/>
          <w:color w:val="111111"/>
          <w:sz w:val="28"/>
          <w:szCs w:val="28"/>
          <w:rtl w:val="true"/>
          <w:lang w:bidi="ar-SA"/>
        </w:rPr>
        <w:t>. .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8101_60615"/>
      <w:bookmarkStart w:id="401" w:name="pg8101_60615"/>
      <w:bookmarkEnd w:id="401"/>
    </w:p>
    <w:p>
      <w:pPr>
        <w:pStyle w:val="Heading2"/>
        <w:numPr>
          <w:ilvl w:val="1"/>
          <w:numId w:val="1"/>
        </w:numPr>
        <w:rPr/>
      </w:pPr>
      <w:bookmarkStart w:id="402" w:name="pg8101_60615"/>
      <w:bookmarkStart w:id="403" w:name="__RefHeading___Toc7940478_1051229030"/>
      <w:bookmarkStart w:id="404" w:name="_Toc143"/>
      <w:bookmarkEnd w:id="402"/>
      <w:bookmarkEnd w:id="403"/>
      <w:r>
        <w:rPr>
          <w:rtl w:val="true"/>
        </w:rPr>
        <w:t>الفهارس العامّة</w:t>
      </w:r>
      <w:bookmarkEnd w:id="404"/>
    </w:p>
    <w:p>
      <w:pPr>
        <w:pStyle w:val="Heading3"/>
        <w:numPr>
          <w:ilvl w:val="2"/>
          <w:numId w:val="1"/>
        </w:numPr>
        <w:rPr/>
      </w:pPr>
      <w:bookmarkStart w:id="405" w:name="__RefHeading___Toc7940480_1051229030"/>
      <w:bookmarkStart w:id="406" w:name="_Toc144"/>
      <w:bookmarkEnd w:id="405"/>
      <w:r>
        <w:rPr>
          <w:rtl w:val="true"/>
        </w:rPr>
        <w:t>اشارة</w:t>
      </w:r>
      <w:bookmarkEnd w:id="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8101_60617"/>
      <w:bookmarkStart w:id="408" w:name="pg8101_60617"/>
      <w:bookmarkEnd w:id="408"/>
    </w:p>
    <w:p>
      <w:pPr>
        <w:pStyle w:val="Heading3"/>
        <w:numPr>
          <w:ilvl w:val="2"/>
          <w:numId w:val="1"/>
        </w:numPr>
        <w:rPr/>
      </w:pPr>
      <w:bookmarkStart w:id="409" w:name="pg8101_60617"/>
      <w:bookmarkStart w:id="410" w:name="__RefHeading___Toc7940482_1051229030"/>
      <w:bookmarkStart w:id="411" w:name="_Toc145"/>
      <w:bookmarkEnd w:id="409"/>
      <w:bookmarkEnd w:id="410"/>
      <w:r>
        <w:rPr/>
        <w:t>1</w:t>
      </w:r>
      <w:r>
        <w:rPr>
          <w:rtl w:val="true"/>
        </w:rPr>
        <w:t xml:space="preserve"> - </w:t>
      </w:r>
      <w:r>
        <w:rPr>
          <w:rtl w:val="true"/>
        </w:rPr>
        <w:t>فهرس الآيات الكريمة</w:t>
      </w:r>
      <w:bookmarkEnd w:id="411"/>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بِأَيْدِيكُمْ إِلَى 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فَلَيْسَ مِنَ اللّه‌ِ فى شَىْ‌ءٍ إِلاَّ أَنْ تَتَّقُوا مِنْهُمْ تُقَاةً وَيُحَذِّرُكُمُ اللّه‌ُ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تَسْتَوِى الْحَسَنَةُ وَلاَ 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412" w:name="pg8101_60619"/>
    </w:p>
    <w:p>
      <w:pPr>
        <w:pStyle w:val="Heading3"/>
        <w:numPr>
          <w:ilvl w:val="2"/>
          <w:numId w:val="1"/>
        </w:numPr>
        <w:rPr/>
      </w:pPr>
      <w:bookmarkStart w:id="413" w:name="__RefHeading___Toc7940484_1051229030"/>
      <w:bookmarkStart w:id="414" w:name="_Toc146"/>
      <w:bookmarkEnd w:id="412"/>
      <w:bookmarkEnd w:id="413"/>
      <w:r>
        <w:rPr/>
        <w:t>2</w:t>
      </w:r>
      <w:r>
        <w:rPr>
          <w:rtl w:val="true"/>
        </w:rPr>
        <w:t xml:space="preserve"> - </w:t>
      </w:r>
      <w:r>
        <w:rPr>
          <w:rtl w:val="true"/>
        </w:rPr>
        <w:t>فهرس الأحاديث الشريفة</w:t>
      </w:r>
      <w:bookmarkEnd w:id="414"/>
    </w:p>
    <w:p>
      <w:pPr>
        <w:pStyle w:val="BookText"/>
        <w:rPr/>
      </w:pPr>
      <w:r>
        <w:rPr>
          <w:rFonts w:ascii="Amiri" w:hAnsi="Amiri" w:eastAsia="Amiri" w:cs="Amiri"/>
          <w:color w:val="111111"/>
          <w:sz w:val="28"/>
          <w:sz w:val="28"/>
          <w:szCs w:val="28"/>
          <w:rtl w:val="true"/>
          <w:lang w:bidi="ar-SA"/>
        </w:rPr>
        <w:t xml:space="preserve">ابنِ على الأكثر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اتّقوا على دينكم ، واحجبوه بالتقيّة ؛ فإنّه لا إيمان لمن لا تقيّة له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اجعلها نافلة ، ولا تكبّر معهم فتدخل معهم في الصلاة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أحلّه اللّه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إذا اعترض الفجر فكان كالقبطية البيضاء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إذا حلف الرجل تقيّةً لم يضرّه إذا هو اُكره واضطرّ إليه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إذا سهوت فابنِ على الأكثر ، فإذا فرغت وسلّمت فقم فصلّ ما ظننت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إذا قمت وأنت تنوي الفريضة فدخلك الشكّ بعدُ ، فأنت في الفريضة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الإعادة في الركعتين الأوّلتين، والسهو في الركعتين الأخيرتين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أفسد ابن مسعود على الناس صلاتهم بشيئين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إفطاري يوماً وقضاؤه أيسر عليّ من أن يضرب عنقي ولا يعبد اللّه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إقرأ لنفسك ، وإن لم تسمع نفسك فلا بأس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اكسره بالماء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ألا اُعلّمك شيئاً إذا فعلته ثمّ ذكرت أ نّك أتممت أو نقصت ، لم يكن عليك شيء ؟ </w:t>
      </w:r>
      <w:r>
        <w:rPr>
          <w:rFonts w:eastAsia="Amiri" w:cs="Amiri" w:ascii="Amiri" w:hAnsi="Amiri"/>
          <w:color w:val="111111"/>
          <w:sz w:val="28"/>
          <w:szCs w:val="28"/>
          <w:lang w:bidi="ar-SA"/>
        </w:rPr>
        <w:t>115</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لئن قلتَ ذلك إنّ التقيّة تجوز في شرب الخمر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التقيّة في كلّ شيء يضطرّ إليه ابن آدم فقد أحلّه اللّه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إنّ التقيّة واسعة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إنّ اللّه علّم نبيّه التنزيل والتأويل ، فعلّمه رسول اللّه صلی الله علیه و آله وسلم عليّاً علیه السلام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إنّ اللّه يحبّ أن يعبد في السرّ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أنت الذي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صِرتُ إلى اُميّةَ فالاُمور لها مصائرْ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إن دخله الشكّ بعد دخوله في الثالثة مضى في الثالثة ، ثمّ صلّى الاُخرى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إن عادوا فعُد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إن كان أحدث بين الصلاتين حادثة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أعاد الصلاتين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إن كان إماماً عدْلاً فليصلّ اُخرى وينصرف ويجعلهما تطوّعاً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إن كان قريباً رجع إلى مكانه فتشهّد ، وإلاّ طلب مكاناً نظيفاً فتشهّد فيه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إنّكم ستدعون إلى سبّي فسبّوني ، ثمّ تدعون إلى البراءة منّي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إنّكم ستعرضون على سبّي ، فإن خفتم على أنفسكم فسبّوني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إنّما التشهّد سنّة في الصلاة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إنّما جعلت التقيّة ليحقن بها الدم ، فإذا بلغ الدم فليس تقيّة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إنّما يجب السهو فيما زاد رسول اللّه صلی الله علیه و آله وسلم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إيّاكم أن تعملوا عملاً نعيّر به ؛ فإنّ ولد السوء يعيّر والده بعمله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بمنزلة الجُدر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التقيّة في كلّ شيء إلاّ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المسح على الخفّين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التقيّة في كلّ شيء يضطرّ إليه ابن آدم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التقيّة في كلّ ضرورة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التقيّة في كلّ ضرورة ، وصاحبها أعلم بها حين تنزل به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توضّأ ثلاثاً ثلاثاً </w:t>
      </w:r>
      <w:r>
        <w:rPr>
          <w:rFonts w:eastAsia="Amiri" w:cs="Amiri" w:ascii="Amiri" w:hAnsi="Amiri"/>
          <w:color w:val="111111"/>
          <w:sz w:val="28"/>
          <w:szCs w:val="28"/>
          <w:lang w:bidi="ar-SA"/>
        </w:rPr>
        <w:t>71</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ثلاثاً ثلاثاً ، من نقص عنه فلا صلاة له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لا أ تّقي فيهنّ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المسكر ، ومسح الخفّين ، ومتعة الحجّ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ثمّ ليتمّ صلاته معه على ما استطاع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حتّى تؤدّيه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الإذاعة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حين يعترض الفجر فتراه مثل نهر سورى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خالطوهم بالبرّانية وخالفوهم بالجوّانية إذا كانت الإمرة صبيانية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خالفت السنّة ، ووُلِّيت حقّاً ليست بأهله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الرخصة أحبّ إليّ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رفع ما اضطرّوا إليه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ستُعرضون من بعدي على سبّي فسبّوني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السلام علينا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سوى كتاب اللّه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شيئان يفسد الناس بهما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اسمك ، وتعالى جدّك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صاحب الوديعة والبضاعة مؤتمنان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الصلاة لا تترك بحال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الصلح جائز بين المسلمين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صلّ صلاة الغداة إذا طلع الفجر وأضاء حسناً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صلّوا في عشائرهم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صلّى حسن وحسين خلف مروان ونحن نصلّي معهم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العائد في هبته كالعائد في قيئه </w:t>
      </w:r>
      <w:r>
        <w:rPr>
          <w:rFonts w:eastAsia="Amiri" w:cs="Amiri" w:ascii="Amiri" w:hAnsi="Amiri"/>
          <w:color w:val="111111"/>
          <w:sz w:val="28"/>
          <w:szCs w:val="28"/>
          <w:lang w:bidi="ar-SA"/>
        </w:rPr>
        <w:t>198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على اليد ما قبضت حتّى تؤدّي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فإذا كان ذلك فادخل معهم في الركعة واعتدّ بها ؛ فإنّها من أفضل ركعاتك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فإنّك إن خالفت وصيّتي كان ضررك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أشدَّ من ضرر الناصب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الخيط الأبيض المعترض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فزاد رسول اللّه صلی الله علیه و آله وسلم سبعاً ، وفيهنّ الوهم ، وليس فيهنّ قراءة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الفطر يوم يفطر الناس ، والأضحى يوم يضحّي الناس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فلئن أمسح على ظهر حماري أحبّ إليّ من أن أمسح على الخفّين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فهمت ما ذكرت من الاختلاف في الوضوء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فيما وافق كتاب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ستدعون إلى سبّي فسبّوني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القراءة سنّة ، والتشهّد سنّة ، ولا تنقض السنّة الفريضة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كان الذي فرض اللّه تعالى على العباد عشر ركعات ، وفيهنّ القراءة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كذب أبو ظبيان ؛ أما بلغك قول علي علیه السلام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الكتاب الخفّين ؟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كلّ شيء يضطرّ إليه ابن آدم فقد أحلّه اللّه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كلّ شيء يعمل المؤمن بينهم لمكان التقيّة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جائز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كلّ ما ذكرت اللّه عزّ وجلّ به والنبي صلی الله علیه و آله وسلم فهو من الصلاة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كلّ ما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كلّ ما شككت فيه ممّا قد مضى فشكّك ليس بشيء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لا ، إلاّ من عدوّ تتّقيه ، أو ثلج تخاف على رجليك </w:t>
      </w:r>
      <w:r>
        <w:rPr>
          <w:rFonts w:eastAsia="Amiri" w:cs="Amiri" w:ascii="Amiri" w:hAnsi="Amiri"/>
          <w:color w:val="111111"/>
          <w:sz w:val="28"/>
          <w:szCs w:val="28"/>
          <w:lang w:bidi="ar-SA"/>
        </w:rPr>
        <w:t>12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بأن تصلّي خلف الناصب ولا تقرأ خلفه فيما يجهر فيه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 وأمّا أنا فاُصلّي معهم واُريهم أنّي أسجد وما أسجد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لا تصلّ إلاّ خلف من تثق بدينه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لا تقرأ في المكتوبة بشيء من العزائم ؛ فإنّ السجود زيادة في المكتوبة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لا دين لمن لا تقيّة له ، والتقيّة في كلّ شيء إلاّ في النبيذ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لا ، صلّ قبله أو بعده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لا ، ولكن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 فهو الانصراف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لا يعيد صلاة من سجدة ، ويعيدها من ركعة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لو قبل التطوّع لقبلت الفريضة ، ولكن اجعلها سبحة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ليست في كتاب اللّه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ليس شيء ممّا حرّم اللّه إلاّ وقد أحلّه لمن اضطرّ إليه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ما أكثر ما يكذب الناس على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ما صنعتم من شيء أو حلفتم عليه من يمين في تقيّة ، فأنتم منه في سعة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ما عبداللّه بشيءٍ أحبّ إليه من الخب ء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ما لا يطيقون ، وما استكرهوا عليه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ما من عبد يصلّي في الوقت ويفرغ ، ثمّ يأتيهم ويصلّي معهم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 .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من اشترط شرطاً مخالفاً لكتاب اللّه عزّ وجلّ فلا يجوز له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من صلّى معهم في الصفّ الأوّل كان كمن صلّى خلف رسول اللّه صلی الله علیه و آله وسلم </w:t>
      </w:r>
      <w:r>
        <w:rPr>
          <w:rFonts w:eastAsia="IRNazanin" w:cs="IRNazanin"/>
          <w:color w:val="111111"/>
          <w:sz w:val="28"/>
          <w:szCs w:val="28"/>
          <w:rtl w:val="true"/>
          <w:lang w:bidi="fa-IR"/>
        </w:rPr>
        <w:t xml:space="preserve">. .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201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في سعة ما لا يعلمون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وآمرك أن تستعمل التقيّة في دينك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والتقيّة في كلّ شيء إلاّ في النبيذ والمسح على الخُفّين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واللّه ما ذلك عليه ، وما له إلاّ ما مضى عليه عمّار بن ياسر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واللّه‌ِ ما عُبد اللّه‌ُ بشيء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واللّه ما عُبد اللّه بشيء أحبّ إليه من الخباء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وأمّا الرخصة التي صاحبها فيها بالخيار ، فإنّ اللّه نهى المؤمن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وإنّ إظهارك براءتك منّا عند تقيّتك لا يقدح فينا ولا ينقصنا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وإنّما يحسب للعبد من صلاته التي ابتدأ في أوّل صلاته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وإيّاك ثمّ إيّاك أن تترك التقيّة التي أمرتك بها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وتفسير ما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يكون قوم سوءٍ ظاهر حكمهم وفعلهم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وصلّوا معهم في مساجدهم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وعلّمنا واللّه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وعليكم بمجاملة أهل الباطل ؛ تحمّلوا الضيم منهم ، وإيّاكم ومماظّتهم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وعليه أن يدين اللّه في الباطن بخلاف ما يظهر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وقد أذنتُ لكم في تفضيل أعدائنا إن ألجأك الخوف إليه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ولا يجوز أن تقول في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ويجلس قدر ما يقول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هذا أمر شديد لن تستطيعوا ذلك، قد أنكح رسول اللّه صلی الله علیه و آله وسلم وصلّى </w:t>
      </w:r>
      <w:r>
        <w:rPr>
          <w:rFonts w:eastAsia="IRNazanin" w:cs="IRNazanin"/>
          <w:color w:val="111111"/>
          <w:sz w:val="28"/>
          <w:szCs w:val="28"/>
          <w:rtl w:val="true"/>
          <w:lang w:bidi="fa-IR"/>
        </w:rPr>
        <w:t xml:space="preserve">. .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هي التي قمت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قمت وأنت تنوي فريضة ثمّ دخلك الشكّ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هي التي قمت فيها ولها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هي على ما افتتح الصلاة عليه </w:t>
      </w:r>
      <w:r>
        <w:rPr>
          <w:rFonts w:eastAsia="Amiri" w:cs="Amiri" w:ascii="Amiri" w:hAnsi="Amiri"/>
          <w:color w:val="111111"/>
          <w:sz w:val="28"/>
          <w:szCs w:val="28"/>
          <w:lang w:bidi="ar-SA"/>
        </w:rPr>
        <w:t>108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عمر ، إنّ تسعة أعشار الدين في التقيّة ، ولا دين لمن لا تقيّة له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سفيان ، من استعمل التقيّة في دين اللّه فقد تسنّم الذروة العليا من القرآن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يا سليمان ، إنّكم على دِينٍ من كتمه أعزّه اللّه ، ومن أذاعه أذلّه اللّه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يا عمّار ، أجمع لك السهو كلّه في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شككت فخذ بالأكثر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يا معلّى ، اكتم أمرنا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يا معلّى ، إنّ التقيّة ديني ودين آبائي ، ولا دين لمن لا تقيّة له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يجزيك من القراءة معهم مثل حديث النفس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يحسب لك إذا دخلت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لا تقتدي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يحسب لك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يستقبل حتّى يستيقن أ نّه قد أتمّ ، وفي الجمعة ، وفي المغرب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يستقبل حتّى يضع كلّ شيء من ذلك موضعه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يسجد سجدتين يتشهّد فيهما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يسجدها إذا ذكرها ما لم يركع ، فإن كان قد ركع فليمض على صلاته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يعيد حتّى يحفظ ؛ إنّها ليست مثل الشفع </w:t>
      </w:r>
      <w:r>
        <w:rPr>
          <w:rFonts w:eastAsia="Amiri" w:cs="Amiri" w:ascii="Amiri" w:hAnsi="Amiri"/>
          <w:color w:val="111111"/>
          <w:sz w:val="28"/>
          <w:szCs w:val="28"/>
          <w:lang w:bidi="ar-SA"/>
        </w:rPr>
        <w:t>112</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يقضي ذلك بعينه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8101_60627"/>
      <w:bookmarkStart w:id="416" w:name="pg8101_60627"/>
      <w:bookmarkEnd w:id="416"/>
    </w:p>
    <w:p>
      <w:pPr>
        <w:pStyle w:val="Heading3"/>
        <w:numPr>
          <w:ilvl w:val="2"/>
          <w:numId w:val="1"/>
        </w:numPr>
        <w:rPr/>
      </w:pPr>
      <w:bookmarkStart w:id="417" w:name="pg8101_60627"/>
      <w:bookmarkStart w:id="418" w:name="__RefHeading___Toc7940486_1051229030"/>
      <w:bookmarkStart w:id="419" w:name="_Toc147"/>
      <w:bookmarkEnd w:id="417"/>
      <w:bookmarkEnd w:id="418"/>
      <w:r>
        <w:rPr/>
        <w:t>3</w:t>
      </w:r>
      <w:r>
        <w:rPr>
          <w:rtl w:val="true"/>
        </w:rPr>
        <w:t xml:space="preserve"> - </w:t>
      </w:r>
      <w:r>
        <w:rPr>
          <w:rtl w:val="true"/>
        </w:rPr>
        <w:t>فهرس أسماء المعصومين علیهم السلام</w:t>
      </w:r>
      <w:bookmarkEnd w:id="419"/>
    </w:p>
    <w:p>
      <w:pPr>
        <w:pStyle w:val="BookText"/>
        <w:rPr/>
      </w:pPr>
      <w:r>
        <w:rPr>
          <w:rFonts w:ascii="IRNazanin" w:hAnsi="IRNazanin" w:eastAsia="IRNazanin"/>
          <w:color w:val="111111"/>
          <w:sz w:val="28"/>
          <w:sz w:val="28"/>
          <w:szCs w:val="28"/>
          <w:rtl w:val="true"/>
          <w:lang w:bidi="fa-IR"/>
        </w:rPr>
        <w:t xml:space="preserve">النبي، محمّد،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علیه السلام ، الإمام الثاني</w:t>
      </w:r>
    </w:p>
    <w:p>
      <w:pPr>
        <w:pStyle w:val="BookText"/>
        <w:rPr/>
      </w:pPr>
      <w:r>
        <w:rPr>
          <w:rFonts w:ascii="IRNazanin" w:hAnsi="IRNazanin" w:eastAsia="IRNazanin"/>
          <w:color w:val="111111"/>
          <w:sz w:val="28"/>
          <w:sz w:val="28"/>
          <w:szCs w:val="28"/>
          <w:rtl w:val="true"/>
          <w:lang w:bidi="fa-IR"/>
        </w:rPr>
        <w:t xml:space="preserve">الحسن بن علي علیه السلام ، الإمام الثاني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 علیه السلام ، الإمام الثالث</w:t>
      </w:r>
    </w:p>
    <w:p>
      <w:pPr>
        <w:pStyle w:val="BookText"/>
        <w:rPr/>
      </w:pPr>
      <w:r>
        <w:rPr>
          <w:rFonts w:ascii="IRNazanin" w:hAnsi="IRNazanin" w:eastAsia="IRNazanin"/>
          <w:color w:val="111111"/>
          <w:sz w:val="28"/>
          <w:sz w:val="28"/>
          <w:szCs w:val="28"/>
          <w:rtl w:val="true"/>
          <w:lang w:bidi="fa-IR"/>
        </w:rPr>
        <w:t xml:space="preserve">الحسين بن علي علیه السلام ، الإمام الثالث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الباقر،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الصادق، 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أبو إبراهيم، أبو الحسن الماضي، أبو الحسن، موسى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 ، الإمام السابع</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جعفر علیه السلام ، الإمام السابع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الحسن الرضا، الرضا، أبو الحسن علي بن موسى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موسى علیه السلام ،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أبو جعفر الثاني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 التاسع</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التاسع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420" w:name="pg8101_60629"/>
    </w:p>
    <w:p>
      <w:pPr>
        <w:pStyle w:val="Heading3"/>
        <w:numPr>
          <w:ilvl w:val="2"/>
          <w:numId w:val="1"/>
        </w:numPr>
        <w:rPr/>
      </w:pPr>
      <w:bookmarkStart w:id="421" w:name="__RefHeading___Toc7940488_1051229030"/>
      <w:bookmarkStart w:id="422" w:name="_Toc148"/>
      <w:bookmarkEnd w:id="420"/>
      <w:bookmarkEnd w:id="421"/>
      <w:r>
        <w:rPr/>
        <w:t>4</w:t>
      </w:r>
      <w:r>
        <w:rPr>
          <w:rtl w:val="true"/>
        </w:rPr>
        <w:t xml:space="preserve"> - </w:t>
      </w:r>
      <w:r>
        <w:rPr>
          <w:rtl w:val="true"/>
        </w:rPr>
        <w:t>فهرس الأعلام</w:t>
      </w:r>
      <w:bookmarkEnd w:id="422"/>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إبراهيم بن شيبة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ابن أبي زينب الكاتب النعماني، أبو عبداللّه محمّد بن إبراهيم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يعفور</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p>
    <w:p>
      <w:pPr>
        <w:pStyle w:val="BookText"/>
        <w:rPr/>
      </w:pPr>
      <w:r>
        <w:rPr>
          <w:rFonts w:ascii="IRNazanin" w:hAnsi="IRNazanin" w:eastAsia="IRNazanin"/>
          <w:color w:val="111111"/>
          <w:sz w:val="28"/>
          <w:sz w:val="28"/>
          <w:szCs w:val="28"/>
          <w:rtl w:val="true"/>
          <w:lang w:bidi="fa-IR"/>
        </w:rPr>
        <w:t xml:space="preserve">ابن شاذان، الفضل بن شاذان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ابن مسعود، عبداللّه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أبو الجارود زياد بن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الجارود</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أبو الحسن بن الحصين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أبو الصباح إبراهيم بن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الصباح الكناني</w:t>
      </w:r>
    </w:p>
    <w:p>
      <w:pPr>
        <w:pStyle w:val="BookText"/>
        <w:rPr/>
      </w:pPr>
      <w:r>
        <w:rPr>
          <w:rFonts w:ascii="Amiri" w:hAnsi="Amiri" w:eastAsia="Amiri" w:cs="Amiri"/>
          <w:color w:val="111111"/>
          <w:sz w:val="28"/>
          <w:sz w:val="28"/>
          <w:szCs w:val="28"/>
          <w:rtl w:val="true"/>
          <w:lang w:bidi="ar-SA"/>
        </w:rPr>
        <w:t xml:space="preserve">أبو العبّاس، السفّاح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أبو بصير ليث المرادي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أبو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 أبو بكر</w:t>
      </w:r>
    </w:p>
    <w:p>
      <w:pPr>
        <w:pStyle w:val="BookText"/>
        <w:rPr/>
      </w:pPr>
      <w:r>
        <w:rPr>
          <w:rFonts w:ascii="Amiri" w:hAnsi="Amiri" w:eastAsia="Amiri" w:cs="Amiri"/>
          <w:color w:val="111111"/>
          <w:sz w:val="28"/>
          <w:sz w:val="28"/>
          <w:szCs w:val="28"/>
          <w:rtl w:val="true"/>
          <w:lang w:bidi="ar-SA"/>
        </w:rPr>
        <w:t xml:space="preserve">أبو حمزة الثمالي، ثابت بن دينار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أبو داود، سليمان بن أشعث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أبو ظبيان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أبو كهمس، الهيثم بن عبيد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أبو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سالم</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الأعجمي، أبو عمر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الأقطع، سليمان بن خالد </w:t>
      </w:r>
      <w:r>
        <w:rPr>
          <w:rFonts w:eastAsia="Amiri" w:cs="Amiri" w:ascii="Amiri" w:hAnsi="Amiri"/>
          <w:color w:val="111111"/>
          <w:sz w:val="28"/>
          <w:szCs w:val="28"/>
          <w:lang w:bidi="ar-SA"/>
        </w:rPr>
        <w:t>25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بريرة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الترمذي، محمّد بن عيسى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حريز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 حريز بن عبداللّه</w:t>
      </w:r>
    </w:p>
    <w:p>
      <w:pPr>
        <w:pStyle w:val="BookText"/>
        <w:rPr/>
      </w:pPr>
      <w:r>
        <w:rPr>
          <w:rFonts w:ascii="Amiri" w:hAnsi="Amiri" w:eastAsia="Amiri" w:cs="Amiri"/>
          <w:color w:val="111111"/>
          <w:sz w:val="28"/>
          <w:sz w:val="28"/>
          <w:szCs w:val="28"/>
          <w:rtl w:val="true"/>
          <w:lang w:bidi="ar-SA"/>
        </w:rPr>
        <w:t xml:space="preserve">الحضرمي، أبو بكر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حكم بن حكيم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الحميري، محمّد بن عبداللّه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w:t>
      </w:r>
    </w:p>
    <w:p>
      <w:pPr>
        <w:pStyle w:val="BookText"/>
        <w:rPr/>
      </w:pPr>
      <w:r>
        <w:rPr>
          <w:rFonts w:ascii="Amiri" w:hAnsi="Amiri" w:eastAsia="Amiri" w:cs="Amiri"/>
          <w:color w:val="111111"/>
          <w:sz w:val="28"/>
          <w:sz w:val="28"/>
          <w:szCs w:val="28"/>
          <w:rtl w:val="true"/>
          <w:lang w:bidi="ar-SA"/>
        </w:rPr>
        <w:t>محمّد كاظم بن الحسين</w:t>
      </w:r>
    </w:p>
    <w:p>
      <w:pPr>
        <w:pStyle w:val="BookText"/>
        <w:rPr/>
      </w:pPr>
      <w:r>
        <w:rPr>
          <w:rFonts w:ascii="Amiri" w:hAnsi="Amiri" w:eastAsia="Amiri" w:cs="Amiri"/>
          <w:color w:val="111111"/>
          <w:sz w:val="28"/>
          <w:sz w:val="28"/>
          <w:szCs w:val="28"/>
          <w:rtl w:val="true"/>
          <w:lang w:bidi="ar-SA"/>
        </w:rPr>
        <w:t xml:space="preserve">الخزاعي، علي بن علي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داود بن زربي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درست بن أبي منصور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الساباطي، عمّار بن موسى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السجستاني، حريز بن عبداللّه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سفيان بن سعيد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الأقطع، سليمان بن خالد</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السيّد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علي بن الحسين</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شيخنا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مرتضى بن محمّد أمين </w:t>
      </w:r>
    </w:p>
    <w:p>
      <w:pPr>
        <w:pStyle w:val="BookText"/>
        <w:rPr/>
      </w:pPr>
      <w:r>
        <w:rPr>
          <w:rFonts w:ascii="Amiri" w:hAnsi="Amiri" w:eastAsia="Amiri" w:cs="Amiri"/>
          <w:color w:val="111111"/>
          <w:sz w:val="28"/>
          <w:sz w:val="28"/>
          <w:szCs w:val="28"/>
          <w:rtl w:val="true"/>
          <w:lang w:bidi="ar-SA"/>
        </w:rPr>
        <w:t>صاحب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رضا بن محمّد هادي</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العامري، عبداللّه بن سليمان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عبدالأعلى آل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عبدالأعلى بن أعين مولى آل سام</w:t>
      </w:r>
    </w:p>
    <w:p>
      <w:pPr>
        <w:pStyle w:val="BookText"/>
        <w:rPr/>
      </w:pPr>
      <w:r>
        <w:rPr>
          <w:rFonts w:ascii="Amiri" w:hAnsi="Amiri" w:eastAsia="Amiri" w:cs="Amiri"/>
          <w:color w:val="111111"/>
          <w:sz w:val="28"/>
          <w:sz w:val="28"/>
          <w:szCs w:val="28"/>
          <w:rtl w:val="true"/>
          <w:lang w:bidi="ar-SA"/>
        </w:rPr>
        <w:t xml:space="preserve">عبدالأعلى بن أعين مولى آل سام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عبداللّه بن عجلان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عبيداللّه بن زياد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العلاّمة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عمّار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 عمّار بن موسى</w:t>
      </w:r>
    </w:p>
    <w:p>
      <w:pPr>
        <w:pStyle w:val="BookText"/>
        <w:rPr/>
      </w:pP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عمرو بن ربيع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عمرو بن مروان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محمّد بن الحسن</w:t>
      </w:r>
    </w:p>
    <w:p>
      <w:pPr>
        <w:pStyle w:val="BookText"/>
        <w:rPr/>
      </w:pP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محمّد بن الحسن</w:t>
      </w:r>
    </w:p>
    <w:p>
      <w:pPr>
        <w:pStyle w:val="BookText"/>
        <w:rPr/>
      </w:pPr>
      <w:r>
        <w:rPr>
          <w:rFonts w:ascii="Amiri" w:hAnsi="Amiri" w:eastAsia="Amiri" w:cs="Amiri"/>
          <w:color w:val="111111"/>
          <w:sz w:val="28"/>
          <w:sz w:val="28"/>
          <w:szCs w:val="28"/>
          <w:rtl w:val="true"/>
          <w:lang w:bidi="ar-SA"/>
        </w:rPr>
        <w:t xml:space="preserve">فخر المحقّقين، محمّد بن الحسن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الفضل بن شاذان</w:t>
      </w:r>
    </w:p>
    <w:p>
      <w:pPr>
        <w:pStyle w:val="BookText"/>
        <w:rPr/>
      </w:pPr>
      <w:r>
        <w:rPr>
          <w:rFonts w:ascii="Amiri" w:hAnsi="Amiri" w:eastAsia="Amiri" w:cs="Amiri"/>
          <w:color w:val="111111"/>
          <w:sz w:val="28"/>
          <w:sz w:val="28"/>
          <w:szCs w:val="28"/>
          <w:rtl w:val="true"/>
          <w:lang w:bidi="ar-SA"/>
        </w:rPr>
        <w:t xml:space="preserve">قاسم بن عروة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الكشّي، محمّد بن عمر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الكميت بن زيد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المأمون، خليفة العبّاسي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 علي بن الحسين</w:t>
      </w:r>
    </w:p>
    <w:p>
      <w:pPr>
        <w:pStyle w:val="BookText"/>
        <w:rPr/>
      </w:pP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204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ميمون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ميثم بن يحيى التمّار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ميسّر بن عبدالعزيز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ناصح المؤذّن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 الكاتب</w:t>
      </w:r>
    </w:p>
    <w:p>
      <w:pPr>
        <w:pStyle w:val="BookText"/>
        <w:rPr/>
      </w:pPr>
      <w:r>
        <w:rPr>
          <w:rFonts w:ascii="Amiri" w:hAnsi="Amiri" w:eastAsia="Amiri" w:cs="Amiri"/>
          <w:color w:val="111111"/>
          <w:sz w:val="28"/>
          <w:sz w:val="28"/>
          <w:szCs w:val="28"/>
          <w:rtl w:val="true"/>
          <w:lang w:bidi="ar-SA"/>
        </w:rPr>
        <w:t>النعماني، أبو عبداللّه محمّد بن إبراهيم</w:t>
      </w:r>
    </w:p>
    <w:p>
      <w:pPr>
        <w:pStyle w:val="BookText"/>
        <w:rPr/>
      </w:pPr>
      <w:r>
        <w:rPr>
          <w:rFonts w:ascii="Amiri" w:hAnsi="Amiri" w:eastAsia="Amiri" w:cs="Amiri"/>
          <w:color w:val="111111"/>
          <w:sz w:val="28"/>
          <w:sz w:val="28"/>
          <w:szCs w:val="28"/>
          <w:rtl w:val="true"/>
          <w:lang w:bidi="ar-SA"/>
        </w:rPr>
        <w:t xml:space="preserve">الوشّاء، الحسن بن علي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هشام بن الهذيل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الهمداني، رضا بن محمّد هادي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اليزدي، محمّد كاظم بن عبدالعظيم </w:t>
      </w:r>
      <w:r>
        <w:rPr>
          <w:rFonts w:eastAsia="Amiri" w:cs="Amiri" w:ascii="Amiri" w:hAnsi="Amiri"/>
          <w:color w:val="111111"/>
          <w:sz w:val="28"/>
          <w:szCs w:val="28"/>
          <w:lang w:bidi="ar-SA"/>
        </w:rPr>
        <w:t>121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عمران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423" w:name="pg8101_60633"/>
    </w:p>
    <w:p>
      <w:pPr>
        <w:pStyle w:val="Heading3"/>
        <w:numPr>
          <w:ilvl w:val="2"/>
          <w:numId w:val="1"/>
        </w:numPr>
        <w:rPr/>
      </w:pPr>
      <w:bookmarkStart w:id="424" w:name="__RefHeading___Toc7940490_1051229030"/>
      <w:bookmarkStart w:id="425" w:name="_Toc149"/>
      <w:bookmarkEnd w:id="423"/>
      <w:bookmarkEnd w:id="424"/>
      <w:r>
        <w:rPr/>
        <w:t>5</w:t>
      </w:r>
      <w:r>
        <w:rPr>
          <w:rtl w:val="true"/>
        </w:rPr>
        <w:t xml:space="preserve"> - </w:t>
      </w:r>
      <w:r>
        <w:rPr>
          <w:rtl w:val="true"/>
        </w:rPr>
        <w:t>فهرس الكتب الواردة في المتن</w:t>
      </w:r>
      <w:bookmarkEnd w:id="425"/>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p>
    <w:p>
      <w:pPr>
        <w:pStyle w:val="BookText"/>
        <w:rPr/>
      </w:pP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بدائع الدرر في قاعدة نفي الضرر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تفسير النعماني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درر الفوائد للمحقّق الحائري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رسالة المحكم والمتشابه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رسالة قاعدة من ملك للشيخ الأنصاري</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رسالة لا ضرر للإمام الخميني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الدرر في</w:t>
      </w:r>
    </w:p>
    <w:p>
      <w:pPr>
        <w:pStyle w:val="BookText"/>
        <w:rPr/>
      </w:pPr>
      <w:r>
        <w:rPr>
          <w:rFonts w:ascii="Amiri" w:hAnsi="Amiri" w:eastAsia="Amiri" w:cs="Amiri"/>
          <w:color w:val="111111"/>
          <w:sz w:val="28"/>
          <w:sz w:val="28"/>
          <w:szCs w:val="28"/>
          <w:rtl w:val="true"/>
          <w:lang w:bidi="ar-SA"/>
        </w:rPr>
        <w:t>قاعدة نفي الضرر</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w:t>
      </w:r>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كتاب حريز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المكاسب المحرّمة للإمام الخميني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النوادر لأحمد بن محمّد بن عيسى </w:t>
      </w:r>
      <w:r>
        <w:rPr>
          <w:rFonts w:eastAsia="Amiri" w:cs="Amiri" w:ascii="Amiri" w:hAnsi="Amiri"/>
          <w:color w:val="111111"/>
          <w:sz w:val="28"/>
          <w:szCs w:val="28"/>
          <w:lang w:bidi="ar-SA"/>
        </w:rPr>
        <w:t>35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8101_60635"/>
      <w:bookmarkStart w:id="427" w:name="pg8101_60635"/>
      <w:bookmarkEnd w:id="427"/>
    </w:p>
    <w:p>
      <w:pPr>
        <w:pStyle w:val="Heading3"/>
        <w:numPr>
          <w:ilvl w:val="2"/>
          <w:numId w:val="1"/>
        </w:numPr>
        <w:rPr/>
      </w:pPr>
      <w:bookmarkStart w:id="428" w:name="pg8101_60635"/>
      <w:bookmarkStart w:id="429" w:name="__RefHeading___Toc7940492_1051229030"/>
      <w:bookmarkStart w:id="430" w:name="_Toc150"/>
      <w:bookmarkEnd w:id="428"/>
      <w:bookmarkEnd w:id="429"/>
      <w:r>
        <w:rPr/>
        <w:t>6</w:t>
      </w:r>
      <w:r>
        <w:rPr>
          <w:rtl w:val="true"/>
        </w:rPr>
        <w:t xml:space="preserve"> - </w:t>
      </w:r>
      <w:r>
        <w:rPr>
          <w:rtl w:val="true"/>
        </w:rPr>
        <w:t>فهرس مصادر التحقيق</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إبراهيم البهادري ومحمّد هادي به ، الطبعة الاُولى ، مجلّدان ، قم ، منشورات اُسوة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حسن المصطفوي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جزءان في مجلّد واحد ، قم ، المؤتمر العالمي لألفية الشيخ المفيد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في مسائل الخلاف بين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أبوالبركات عبدالرحمن بن محمّد بن أبي سعيد الأنباري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بيروت ، المكتبة العصرية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بن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عدّة من العلماء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المطبعة العلمية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أثيرالدين أبو عبداللّه محمّد بن يوسف بن علي بن يوسف بن حيّان الآندلسي الشهير بأبي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انتشارات دار احياء تراث العربي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الدرر في قاعدة نفي الضرر ، ضمن 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رشد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مجلّدان ، قم ، منشورات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آية اللّه العظمى السيّد محمّد الحجة الكوه كمري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أبوطالب التجليل التبريزي ، الطبعة الثانية ، قم ، مؤسّسة النشر الإسلامي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أحمد حبيب قصير العاملي ، بيروت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دار إحياء التراث العربي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الحسن بن يوسف بن المطهّر ، 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صدر منه حتّى الآن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مدرسة الإمام المهديّ علیه السلام ، الطبعة الاُولى ، قم ، مدرسة الإمام المهديّ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المعروف بالفاضل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 اللطيف الكوه كمري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بالاُفست عن طبعة النجف الأشرف ، المطبعة 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السبحاني التبريزي ، تحقيق مؤسّسة تنظيم و نشر آثار الإمام الخميني قدّس سرّه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تنظيم و نشر آثار الإمام الخميني قدّس سرّه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المدارك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مكتبة الصدوق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علي بن الحسين بن عبدالعالي الكركي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محمّد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نينوى الحديثة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النضيد في شرح منطق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بيدار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طهران ، وزارة الثقافة الإسلامية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علي الإيرواني الغروي ، تحقيق باقر الفخّار الأصفهاني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ذوي القربى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المصطفى لإحياء التراث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المحقّق الكركي و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الشيخ علي بن الحسين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 منشورات الاحتجاج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جزءان في مجلّد واحد ،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الغوالي في فروع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الخوئي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اللطفي، نجف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عبدالكريم الحائري اليزدي ، تعليق آية اللّه الشيخ محمّد علي الأراكي والمؤلّف ، تحقيق الشيخ محمّد المؤمن القمّي ، الطبعة الخامسة ، جزءان في مجلّد واحد ، قم ، مؤسّسة النشر الإسلامي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الأحسائي ، مخطوط في المكتبة المرعشيّة ، تحت رقم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علي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صادق آل بحر العلوم ، قم ، منشورات الشريف الرضيّ ، بالاُفست عن طبعة النجف الأشرف ، المطبعة الحيدرية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الطبعة الاُولى ،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فقهية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تحقيق تراث الشيخ الأعظم ، الطبعة الاُولى ، قم ، مكتبة الفقهية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عقد اللآلي في فروع العلم الاجمالي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علي الإيرواني الغروي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 مطبعة سنگى آقا ميرزا عبدالرحيم علمى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روائع الأمالي في فروع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ضياءالدين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والآثار الإسلامية ، الطبعة الاُولى ، مجلّدان ، قم ، 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بيان أحكام الشرع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w:t>
      </w:r>
    </w:p>
    <w:p>
      <w:p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عبدالباقي ، مجلّدان ، بيروت ، 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كمال يوسف الحوت ، الطبعة الاُولى ، مجلّدان ، بيروت ، دار الجنان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يوسف عبدالرحمن المرعشلي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عبدالرحمان 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الدكتور عبدالغفّار سليمان البنداري والسيّد كسروي حسن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الكتب العلمية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ابن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عبدالحسين محمّد علي بقّال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قم ، مؤسّسة إسماعيليان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الرضي على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محمّد بن الحسن الأسترآبادي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يوسف حسن عمر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تهران ، منشورات مؤسّسة الصادق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محمود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طهران ، انتشارات علميه إسلامية ،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الكتبي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بن عبداللّه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عبدالرحمن عميرة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شريف الرضيّ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و تحقيق حسن حسن زاده الآملي ومسعود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شذور الذهب في معرفة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جمال الدين بن يوسف بن أحمد بن عبداللّه بن هشام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محيي الدين </w:t>
      </w:r>
    </w:p>
    <w:p>
      <w:pPr>
        <w:pStyle w:val="BookText"/>
        <w:rPr/>
      </w:pPr>
      <w:r>
        <w:rPr>
          <w:rFonts w:ascii="Amiri" w:hAnsi="Amiri" w:eastAsia="Amiri" w:cs="Amiri"/>
          <w:color w:val="111111"/>
          <w:sz w:val="28"/>
          <w:sz w:val="28"/>
          <w:szCs w:val="28"/>
          <w:rtl w:val="true"/>
          <w:lang w:bidi="ar-SA"/>
        </w:rPr>
        <w:t xml:space="preserve">عبدالحميد ، الطبعة الثانية ، قم ، مؤسّسة دار الهجرة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شوارق الإلهام في شرح 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عبد الرزّاق بن علي بن الحسين اللاهيجي الفيّاض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أكبر أسد عليزاده ، الطبعة الاُولى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 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العلم للملايين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الشيخ قاسم الشمّاعي الرفاعي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 الإعلام الإسلامي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مجلّدان ، قم ، مؤسّسة النشر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w:t>
      </w:r>
    </w:p>
    <w:p>
      <w:pPr>
        <w:pStyle w:val="BookText"/>
        <w:rPr/>
      </w:pPr>
      <w:r>
        <w:rPr>
          <w:rFonts w:ascii="Amiri" w:hAnsi="Amiri" w:eastAsia="Amiri" w:cs="Amiri"/>
          <w:color w:val="111111"/>
          <w:sz w:val="28"/>
          <w:sz w:val="28"/>
          <w:szCs w:val="28"/>
          <w:rtl w:val="true"/>
          <w:lang w:bidi="ar-SA"/>
        </w:rPr>
        <w:t xml:space="preserve">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تعليقات عدّة من الفقهاء العظام ، إعداد أحمد المحسني السبزواري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مجلّدان، قم ،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عبدالعزيز بن عبداللّه بن باز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 بيروت ، دار المعرفة للطباعة والنشر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في الاُصول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 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دار إحياء العلوم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علي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الجزيري ، الطبعة السابعة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محمّد شريف الأخباري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رحمة اللّه الرحمتي الأراكي ، الطبعة الاُولى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قم ، مؤسّسة آل البيت علیهم السلام 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w:t>
      </w:r>
    </w:p>
    <w:p>
      <w:pPr>
        <w:pStyle w:val="BookText"/>
        <w:rPr/>
      </w:pPr>
      <w:r>
        <w:rPr>
          <w:rFonts w:ascii="Amiri" w:hAnsi="Amiri" w:eastAsia="Amiri" w:cs="Amiri"/>
          <w:color w:val="111111"/>
          <w:sz w:val="28"/>
          <w:sz w:val="28"/>
          <w:szCs w:val="28"/>
          <w:rtl w:val="true"/>
          <w:lang w:bidi="ar-SA"/>
        </w:rPr>
        <w:t xml:space="preserve">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في الفقه والاُصول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مكّي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الهادي الحكيم ، الطبعة الثانية ، مجلّدان ، قم ، مكتبة المفيد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الطبعة الحجرية ، المجلّد الأوّل ، طهران ، المكتبة العلمية الإسلامية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والمجلّد الثاني ، طهران ، المستنسخة سنة</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 بن عمر الزمخشري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مصطفى حسين أحمد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الكتاب العربي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قم ، مؤسّسة النشر الإسلامي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المكتبة المرتضوية لإحياء الآثار الجعفرية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النشر الإسلامي ،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فتح العزيز ويليه التلخيص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منشورات مؤسّسة المطبوعات الديني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نجف ، منشورات المطبعة الحيدرية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مكتب الإعلام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مدارك الأحكام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الصاغانية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محمّد ابن النعمان العكبري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المؤتمر العالمي ، لألفية الشيخ المفيد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ومستدركاتها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بيروت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عبداللّه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إشراف يوسف عبدالرحمن المرعشلي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دار التفسير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 لّهين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ترجمه فارسى بديع الملك ميرزا عماد الدولة و ترجمه و مقدمه و تعليقات فرانسوى از هنرى كربين ، چاپ دوم ، طهران ، كتابخانه طهورى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 الصلاة ، الزكاة ، الخمس ، الصوم ، الرهن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آقا رضا بن محمّد هادي الهمداني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المؤسّسة الجعفرية لإحياء التراث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مؤسّسة 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الزكاة والخمس والصوم والرهن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 ترتيب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قم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حمدي عبدالمجيد السلفي ، الطبعة الثانية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مكتبة ابن تيمية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ويليه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الفرج عبدالرحمان بن أبي عمر محمّد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الكتب العربي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المحرّمة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والبيع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الميرزا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الآملي ، الطبعة الاُولى ، مجلّدان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الخوئي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تلامذة المحقّق الخوئي ، تحقيق مؤسّسة إحياء آثار الإمام الخوئي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إحياء آثار الإمام الخوئي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عبدالعزيز بن نحرير بن عبدالعزيز 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سيّدالشهداء ، الطبعة الاُولى ، مجلّدان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بن علي الحسيني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سعيد رضا علي عسكري ، الطبعة الاُولى ، قم ، مؤسّسة دار الحديث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حسينعلي المنتظري ، الطبعة الاُولى ، قم ، نشر تفكّر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التقرير في مباحث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المحقّق البروجردي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الموحّدي الفاضل اللنكراني ، تحقيق مركز فقه الأئمّة الأطهار علیهم السلام ، الطبعة الاُولى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الدراية في شرح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قدس محمّدي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صالح ، انتشارات الهجرة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8101_60653"/>
      <w:bookmarkStart w:id="432" w:name="pg8101_60653"/>
      <w:bookmarkEnd w:id="432"/>
    </w:p>
    <w:p>
      <w:pPr>
        <w:pStyle w:val="Heading3"/>
        <w:numPr>
          <w:ilvl w:val="2"/>
          <w:numId w:val="1"/>
        </w:numPr>
        <w:rPr/>
      </w:pPr>
      <w:bookmarkStart w:id="433" w:name="pg8101_60653"/>
      <w:bookmarkStart w:id="434" w:name="__RefHeading___Toc7940494_1051229030"/>
      <w:bookmarkStart w:id="435" w:name="_Toc151"/>
      <w:bookmarkEnd w:id="433"/>
      <w:bookmarkEnd w:id="434"/>
      <w:r>
        <w:rPr/>
        <w:t>7</w:t>
      </w:r>
      <w:r>
        <w:rPr>
          <w:rtl w:val="true"/>
        </w:rPr>
        <w:t xml:space="preserve"> - </w:t>
      </w:r>
      <w:r>
        <w:rPr>
          <w:rtl w:val="true"/>
        </w:rPr>
        <w:t>فهرس الموضوعات</w:t>
      </w:r>
      <w:bookmarkEnd w:id="435"/>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التقيّة</w:t>
      </w:r>
    </w:p>
    <w:p>
      <w:pPr>
        <w:pStyle w:val="BookText"/>
        <w:rPr/>
      </w:pPr>
      <w:r>
        <w:rPr>
          <w:rFonts w:ascii="Amiri" w:hAnsi="Amiri" w:eastAsia="Amiri" w:cs="Amiri"/>
          <w:color w:val="111111"/>
          <w:sz w:val="28"/>
          <w:sz w:val="28"/>
          <w:szCs w:val="28"/>
          <w:rtl w:val="true"/>
          <w:lang w:bidi="ar-SA"/>
        </w:rPr>
        <w:t>يقع الكلام في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التقيّة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بحسب ذاتها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بحسب المتّقي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بحسب المتّقى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بحسب المتّقى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عموم أخبار التقيّة وإطلاقها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حول الموارد التي لا يجوز التقيّة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المحرّمات والواجبات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الخفّين ومتعة الحجّ وشرب المسكر والنبيذ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من أمير المؤمنين وسائر الأئمّة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ترك التقيّة هل يفسد العمل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أقسام التقيّة المستفادة من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تفصيل الشيخ الأعظم في المقام وبيان وجه الخدشة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دلّ على الإجزاء في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حول الأدلّة الدالّة على الإجزاء في التقيّة الاضطرارية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حول ما دلّت على الإجزاء فيما تقتضي التقيّة إتيان المأمور به على خلاف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حول الأدلّة الدالّة على الإجزاء في التقيّة المداراتية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دلالة الأخبار على صحّة العمل ولو للاختلاف في الموضوعات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عدم ثبوت الموضوعات بحكم حاكم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الروايات الدالّة على صحّة الصلاة مع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اختصاص المداراتية بالتقيّة من العامّة ولو مع عدم الخوف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عدم المندوحة في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اعتبار عدم المندوحة في التقيّة من غير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صحّة عبادة من اضطرّ نفسه إلى الفرد الاضطراري وإن عصى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عدم اعتبار عدم المندوحة في التقيّة من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حمل الأخبار الظاهرة في لزوم إعمال الحيلة على الاستحباب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ترتّب جميع آثار الصحّة على العمل الصادر 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الأدلّة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العقود والإيقاعات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التكاليف النفسية والغيرية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الأدلّة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فروع العلم الإجمالي</w:t>
      </w:r>
    </w:p>
    <w:p>
      <w:pPr>
        <w:pStyle w:val="BookText"/>
        <w:rPr/>
      </w:pPr>
      <w:r>
        <w:rPr>
          <w:rFonts w:ascii="IRNazanin" w:hAnsi="IRNazanin" w:eastAsia="IRNazanin"/>
          <w:color w:val="111111"/>
          <w:sz w:val="28"/>
          <w:sz w:val="28"/>
          <w:szCs w:val="28"/>
          <w:rtl w:val="true"/>
          <w:lang w:bidi="fa-IR"/>
        </w:rPr>
        <w:t xml:space="preserve">هاهنا سبع مسائل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أنّ ما بيده ظهر أو 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بعدم إتيان العصر مع إتيان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بعدم إتيان الظهر والعصر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بإتيان العصر والشكّ في أنّ ما بيده ظهر أو عصر 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أنّ ما بيده مغرب أو 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العلم بترك سجدتين من ركعتين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حكم حدوث العلم بترك سجدتين بعد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حكم العلم بترك سجدتين من الركعتين في غير الركعة الأخيرة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حكم العلم بترك إحدى السجدتين من الركعة الأخيرة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بحث حول كون السلام انصرافاً 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تفصيل المحقّق العراقي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حكم حدوث العلم بترك سجدتين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عدم إمكان إحراز الموضوع بالأصل وإشارة إلى اعتبارات القضايا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الشكّ حال الركعة البنائية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حول موضوع البناء على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مختار شيخنا العلاّمة الحائري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دوران الركعة بين آخر الظهر وأوّل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ما إذا كان في الوقت المشترك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ما إذا كان في الوقت المختصّ بالعصر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الثلاث والأربع في العشاء وتذكّر نسيان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تذكّر في أثناء العصر أ نّه ترك ركعة من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مختار صاحب العروة في المقام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مختار الشهيدين في المقام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الفوائد الخمسة</w:t>
      </w:r>
    </w:p>
    <w:p>
      <w:pPr>
        <w:pStyle w:val="BookText"/>
        <w:rPr/>
      </w:pPr>
      <w:r>
        <w:rPr>
          <w:rFonts w:ascii="Amiri" w:hAnsi="Amiri" w:eastAsia="Amiri" w:cs="Amiri"/>
          <w:color w:val="111111"/>
          <w:sz w:val="28"/>
          <w:sz w:val="28"/>
          <w:szCs w:val="28"/>
          <w:rtl w:val="true"/>
          <w:lang w:bidi="ar-SA"/>
        </w:rPr>
        <w:t xml:space="preserve">الفائدة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المراد بملك الشيء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اختصاص القاعدة بإقرار الأصيل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رجوع هذه القاعدة إلى قواعد اُخرى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اشتراط وقوع الإقرار بالشيء في زمان مالكيته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المراد بملك 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 منع الشيخ الأعظم من الاستدلال على القاعدة بقاعدة 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عدم قيام الإجماع على هذه القاعدة برأسها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النسبة بين هذه القاعدة وقاعدة الائتمان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النسبة بين القاعدة الفخرية وقاعدتي من ملك والائتمان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تداخل 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بيان متعلّق الإرادة والكراهة وكيفية تعلّقهما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قياس الأوامر التشريعية بالعلل التكوينية وما يترتّب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إبطال أصالة الفورية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إبطال أصالة التعبّدية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إبطال حمل صيغة الأمر على الوجوب عند 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حول تمايز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التبيّن الفعلي للفجر في الليالي المقمرة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الاستدلال بالكتاب لاعتبار التبيّن الفعلي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بالسنّة لاعتبار التبيّن الفعلي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تعليقة على رسالة التقابل</w:t>
      </w:r>
    </w:p>
    <w:p>
      <w:pPr>
        <w:pStyle w:val="BookText"/>
        <w:rPr/>
      </w:pPr>
      <w:r>
        <w:rPr>
          <w:rFonts w:ascii="Amiri" w:hAnsi="Amiri" w:eastAsia="Amiri" w:cs="Amiri"/>
          <w:color w:val="111111"/>
          <w:sz w:val="28"/>
          <w:sz w:val="28"/>
          <w:szCs w:val="28"/>
          <w:rtl w:val="true"/>
          <w:lang w:bidi="ar-SA"/>
        </w:rPr>
        <w:t xml:space="preserve">التحقيق في تعريف التقابل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تعريف التقابل عند الحكماء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عدم قبول القسمة للتقابل بالمعنى الذي ذكرناه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نقد ما ذكروه من أقسام التقابل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ذبح حيوانات به وسيله دستگاه</w:t>
      </w:r>
    </w:p>
    <w:p>
      <w:pPr>
        <w:pStyle w:val="BookText"/>
        <w:rPr/>
      </w:pPr>
      <w:r>
        <w:rPr>
          <w:rFonts w:ascii="IRNazanin" w:hAnsi="IRNazanin" w:eastAsia="IRNazanin"/>
          <w:color w:val="111111"/>
          <w:sz w:val="28"/>
          <w:sz w:val="28"/>
          <w:szCs w:val="28"/>
          <w:rtl w:val="true"/>
          <w:lang w:bidi="fa-IR"/>
        </w:rPr>
        <w:t xml:space="preserve">پاسخ امام خمينى در جواب استفتاء از ذبح حيوانات به وسيله دستگاه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وجه حرمت ذبيحه توسط دستگاه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مباشرت ذابح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تسميه از ذابح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ذبح از قفا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ضميمة</w:t>
      </w:r>
    </w:p>
    <w:p>
      <w:pPr>
        <w:pStyle w:val="BookText"/>
        <w:rPr/>
      </w:pPr>
      <w:r>
        <w:rPr>
          <w:rFonts w:ascii="Amiri" w:hAnsi="Amiri" w:eastAsia="Amiri" w:cs="Amiri"/>
          <w:color w:val="111111"/>
          <w:sz w:val="28"/>
          <w:sz w:val="28"/>
          <w:szCs w:val="28"/>
          <w:rtl w:val="true"/>
          <w:lang w:bidi="ar-SA"/>
        </w:rPr>
        <w:t xml:space="preserve">فيها ثلاث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حال العقود والإيقاعات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هاهنا مقامان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العقد والإيقاع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أصالة اللزوم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ضابط تشخيص العقود جوازاً ولزوماً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دلالة آية الميثاق على لزوم العقود المعاوضية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الشروط المخالفة للكتاب والمباحث المتعلّقة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تذكر في ضمن مطالب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الشرط 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وفيه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مجرورها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نسبة العهدة إلى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الحديث باليد العدوانية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الحديث على ردّ المثل حتّى في القيميات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المدار على أعلى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وجهه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الجعفي ومعمّر بن يحيى بن سام ومحمّد بن مسلم وزرارة بن أعين ، كما صرّح بهم في نفس الرواية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قول الباقر والصادق عليهماالسلام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إيمان لمن لا تقيّة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 قول الباقر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في كلّ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وأمثالهما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من أفضل أعمال المؤمن ، يصون بها نفسه وإخوانه عن الفاجرين ، وقضاء حقوق الإخوان أشرف أعمال المتّقين ، يستجلب مودّة الملائكة المقرّبين ، وشوق الحور 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في قاعدة نفي الضرر ،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بعد أسطر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عن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التقيّة ديني ، ودين آبائي ، إلاّ في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شرب المسكر ، والمسح على الخفّين ، وترك الجهر ببسم اللّه الرحمن الرحيم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أقسام الحجّ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الأمر والنهي ، أبواب الأمر والنهي ،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كالصحيحة هو وقوع سهل بن زياد في سندها ، وقد أفاد طاب ثراه في 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سهل بن زياد وإن ضعّف ، لكنّ المتتبّع في رواياته يطمئنّ بوثاقته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كثرة رواياته وإتقانها واعتناء المشايخ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ما يطمئنّ من توثيق أصحاب الرجال ، كما رجّحنا بذلك وثاقة إبراهيم بن هاشم القمّي ومحمّد بن إسماعيل النيشابوري راوية الفضل بن شاذان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أستبعد كون الزبيري أيضاً من هذا القبيل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رواية زكريّا بن إدريس القمّي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الأوّل عليه السلام عن الرجل يصلّي بقوم يكرهون أن يجهر ببسم اللّه الرحمن الرحيم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القراءة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تفسير العيّاشي ، عن زرقان صاحب ابن أبي داود ، عن ابن أبي داود أ نّه رجع من عند المعتصم وهو مغتم ، فقلت له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سارقاً أقرّ على نفسه بالسرقة وسأل الخليفة تطهيره بإقامة الحدّ عليه ، فجمع لذلك الفقهاء في مجلسه وقد أحضر محمّد بن علي عليه السلام فسألنا عن القطع في أيّ موضع يجب أن يقطع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الكرسوع لقول اللّه في التيمّم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فَامْسَحُوا بِوُجُوهِكُمْ وَأَيْدِيكُمْ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 معي على ذلك قوم ،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القطع من المرفق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الدليل على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وَأَيْدِيَكُمْ إِلَى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إلى محمّد بن علي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هذا يا أبا جعفر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تكلّم القوم فيه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دعني ممّا تكلّموا به ، أيّ شيء عندك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اعفني عن هذا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أقسمت عليك باللّه لما أخبرت بما عندك فيه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إذ أقسمت عليّ باللّه إنّي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أخطأوا فيه السنّة ، فإنّ القطع يجب أن يكون من مفصل اُصول الأصابع فيترك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لقول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سبعة أعضاء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 واليدين ، والركبتين ، والرجلين ، فإذا قطعت يده من الكرسوع أو المرفق لم يبق له يد يسجد عليها ، وقال اللّه تبارك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الْمَسَاجِدَ 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الأعضاء السبعة التي يسجد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تَدْعُوا مَعَ اللّه‌ِ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للّه لم 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فأعجب المعتصم ذلك فأمر بقطع يد السارق من مفصل الأصابع دون الكفّ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حدّ السرقة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في التهذيب بإسناده عن يعقوب ، عن الحسن بن علي بن فضّال ، عن شعيب العقرقوفي ، عن أبي حمزة الثمالي ، وهي موثّقة بالحسن بن فضّال ، فقد قضى عمره كلّه قائلاً بإمامة عبداللّه بن الإمام الصادق عليه السلام ورجوعه وإن كان ثابتاً ، إلاّ أ نّه لا يوجب صيرورة رواياته السابقة 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تبق الأرض إلاّ وفيها منّا عالم ، يعرف الحقّ من الباطل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جعلت التقيّة ليحقن بها الدم ، فإذا بلغت التقيّة الدم فلا تقيّة ، وأيم اللّه لو دعيتم لتنصرونا لقلتم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نفعل إنّما نتّقى ، ولكانت التقيّة أحبّ إليكم من آبائكم واُمّهاتكم ، ولو قد قام القائم ما احتاج إلى مساءلتكم عن ذلك ، ولأقام في كثير منكم من أهل النفاق حدّ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أمير المؤمنين عليه السلام أ 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 سيظهر عليكم بعدي رجل رحب البلعوم ، مندحق البطن ، يأكل ما يجد ، ويطلب ما لا يجد ، فاقتلوه ولن تقتلوه ، ألا وإنّه سيأمركم بسبّي ، والبراءة منّي ، فأمّا السبّ فسبّوني فإنّه لي زكاة ، ولكم نجاة ، وأمّا البراءة فلا تتبرّأوا منّي ، فإنّي ولدت على الفطرة ، وسبقت إلى الإيمان والهجرة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الأمر والنهي ، أبواب الأمر والنهي ،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حجر بن عديّ ، قال ، قال لي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تصنع أنت إذا ضربت واُمرت بلعنتي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أصنع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العنّي ولا تبرأ منّي فإنّي على دين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الجزء الأوّل ، ضمن مصنّفات الشيخ المفيد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عجلان ، 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الضحّاك قد ظهر بالكوفة ويوشك أن ندعى إلى البراءة من علي عليه السلام فكيف نصنع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فابرأ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أيّهما أحبّ إليك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تمضوا على ما مضى عليه عمّار بن ياسر ، اُخذ بمكّة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إبرأ من رسول اللّه صلى الله عليه و آله وسلم فبرأ منه فأنزل اللّه عزّ وجلّ عذره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أُكْرِهَ وَقَلْبُهُ مُطْمَئِنٌّ بِالاْءِيمَانِ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عمران الميثمي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ميثم النهرواني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دعاني أمير المؤمنين علي بن أبي طالب عليه السلام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أنت يا ميثم إذا دعاك دعيّ بني 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البراءة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أنا واللّه لا أبرأ منك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واللّه يقتلك ويصلبك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أصبر ، فذلك في اللّه قليل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ميثم إذاً تكون معي في درجتي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يوسف بن كليب المسعودي ، عن يحيى بن سليمان العدوي ، عن أبي مريم الأنصاري عن محمّد بن علي الباقر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 علي عليه السلام على منبر الكوفة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سيعرض عليكم سبّي وستذبحون عليه ، فإن عرض عليكم سبّي فسبّوني وإن عرض عليكم البراءة منّي فإنّي على دين محمّد صلى الله عليه و آله وسلم ، ولم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تبرَّؤوا منّي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أحمد بن المفضّل ، عن الحسن بن صالح ، عن جعفر بن محمّد عليهماالسلامقال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ليذبحنّ على 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بيده إلى حلقه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أمروكم بسبّي فسبّوني وإن أمروكم أن تتبرّؤوا منّي فإنّي على دين محمّد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ينههم عن إظهار البراءة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أباح لهم سبّه عند الإكراه لأنّ اللّه تعالى قد أباح عند الإكراه التلفّظ بكلمة الكفر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أُكْرِهَ وَقَلْبُهُ مُطْمَئِنٌّ بِالاْءِيمَانِ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الفضلاء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أبا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في كلّ شيء يضطرّ إليه ابن آدم فقد أحلّه اللّه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زرارة ، عن أبي جعفر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في كلّ ضرورة ، وصاحبها أعلم بها حين تنزل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بعضها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أحاديث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معلّى بن خنيس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عبداللّه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معلّى ، اُكتم أمرنا ولا تذعه فإنّه من كتم أمرنا ولم يذعه أعزّه اللّه في الدنيا ، وجعله نوراً بين عينيه يقوده إلى الجنّة ، يا معلّى ، إنّ التقيّة ديني ودين آبائي ، ولا دين لمن لا تقيّة له ، يا معلّى ، إنّ اللّه يحبّ أن يعبد في السرّ كما يحبّ أن يعبد في العلانية ، والمذيع لأمرنا كالجاحد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قيل لعلي بن محمّد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أكمل الناس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أعملهم بالتقيّة وأقضاهم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عبدالأعلى مولى آل سام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فانقطع ظفري ، فجعلت على إصبعي مرارة ، فكيف أصنع بالوضوء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يعرف هذا وأشباهه من كتاب اللّه عزّ وجلّ ،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عَلَيْكُمْ فِى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رفاعة ، عن رجل ، 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العبّاس بالحيرة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عبداللّه ، ما تقول في الصيام اليوم ؟ فقلت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ذاك إلى الإمام ، إن صمت صمنا وإن أفطرت أفطرنا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 عليّ بالمائدة ، فأكلت معه وأنا أعلم واللّه أ نّه يوم من شهر رمضان ، فكان إفطاري يوماً وقضاؤه أيسر عليّ من أن يضرب عنقي ولا يعبد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ما يمسك عنه الصائم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حريز بن عبداللّه ، 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 عن اُمّتي تسعة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والنسيان وما اُكرهوا عليه ، وما لا يعلمون ، وما لا يطيقون ، وما اضطرّوا إليه ، والحسد ، والطيرة ، والتفكّر في الوسوسة في الخلوة ما لم ينطقوا بشفة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رواها صفوان بن يحيى ، وأحمد بن محمّد بن أبي نصر جميعاً ، عن أبي الحسن عليه السلامفي الرجل يستكره على اليمين ، فيحلف بالطلاق والعتاق وصدقة ما يملك ، أيلزمه ذلك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 قال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عن اُمّتي ما اُكرهوا عليه ، وما لم يطيقوا ، وما أخطأوا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الصلح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المجامع الروائية رواية بهذا النصّ إلاّ ما يقرب منها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في سعة ما لم 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موثّقة من جهة سماعة ، فإنّه وإن كان ثقة في حديثه ، إلاّ أ نّه كان من الواقفة ، كما صرّح بذلك الشيخان الجليلان الصدوق والطوسي 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المحكم والمتشابه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لا بدّ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الوسائل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 عن أبيه ، عن علي بن إبراهيم ، عن محمّد بن عيسى ، عن يونس بن عبد الرحمان ، عن هشام بن سالم ، ولا كلام في رجال السند ، إلاّ في محمّد بن عيسى العبيدي ، وقد استثناه ابن وليد من رجال يونس وتبعه الصدوق ، وضعّفه جمع ، لكن هو ثقة عند المصنّف قدس سره ، كما يظهر من تعبيره بالموثّقة ، وإن كان الصحيح أن يعبّر عنها بالصحيحة كما عبّر بها في سائر كتبه وصرّح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 نّه ثقة 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المحرّمة ،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تخريجها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 والجوّانية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عبداللّه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عليه 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اُوصيكم بتقوى اللّه عزّ وجلّ ، ولا تحملوا الناس على أكتافكم فتذلّوا ، إنّ اللّه تبارك وتعالى يقول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وقُولُوا لِلنَّاسِ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عودوا مرضاهم ، واشهدوا جنائزهم ، واشهدوا لهم وعليهم ، وصلّوا معهم في مساجدهم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ما يمسك عنه الصائم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ما يمسك عنه الصائم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الجارود الهمداني الخارفي الحوفي الكوفي الأعمى ، فقد ولد مكفوفاً ولم ير الدنيا قطّ ، وكان تابعياً ضعيفاً ، صحب الباقر والصادق عليهماالسلام ثمّ تغيّر لمّا خرج زيد بن علي ، فصار زيدياً ، وإليه نسبت الفرقة الجارودية الضالّة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فيه روايات ذامّة تصفه بأ نّه كذّاب مكذّب كافر عليه لعنة اللّه ، وأ نّه أعمى القلب مقلوب قلبه ، وأ نّه مات تائهاً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عليهماالسلاموروى عنه محمّد بن سنان ومحمّد بن بكر الأرجني ومنصور بن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الحديثة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الموافق لما عن النسخة الخطّية للتهذيب ، والظاهر أ نّه الصحيح ، لوقوع الحسن بن الحسين في طريق الشيخ والنجاشي إلى عمر بن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المذكور في الرجال والمعروف دون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بن الربيع هو أبو أحمد البصري الثقة ، روى عن أبي عبداللّه عليه السلام ، وروى عنه الحسن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 الإمام الصادق عليه السلام فإنّ لعمر كتاباً عنه عليه السلام ، 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رحمه الله بإسناده عن ابن عقدة ، عن أحمد بن محمّد بن يحيى الخازني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الحسين ، عن إبراهيم بن علي المرافقي ، عن ابن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إلى ابن عقدة وإن كان صحيحاً ، إلاّ أنّ أحمد بن محمّد بن يحيى الخازني مجهول ، كما أنّ الحسن بن الحسين مشترك ، فالرواية ساقطة سنداً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بعضها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بإسناده عن محمّد بن علي بن محبوب ، عن القاسم بن عروة ، عن عبيد بن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السند من جهة جهالة القاسم بن عروة وعدم قيام دليل على وثاقته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الوضوء ،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 رسالة في التقيّة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المصنّف قدس سره ، كما يأتي تحقيقه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لا توجد في المجامع الروائية بعينها ، والظاهر أ نّها مأخوذة من صحيحة زرارة الواردة في المستحاضة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تدع الصلاة على حال ، فإنّ النبي صلى الله عليه و آله وسلمقال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ضعيفة بإبراهيم بن شيبة نفسه ، وهو يروي عن الجواد عليه السلام وروى عنه أحمد بن محمّد ابن أبي نصر البزنطي وموسى بن جعفر بن وهب ، ولكن لم يرد في حقّه توثيق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أبي جعفر محمّد بن علي عليهماالسلام أ 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تصلّوا خلف ناصب ولا كرامة ، إلاّ أن تخافوا على أنفسكم أن تشهّروا ويشار إليكم ، فصلّوا في بيوتكم ثمّ صلّوا معهم ، واجعلوا صلاتكم معهم تطوّعاً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الرضا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تصلّ خلف أحد ، إلاّ خلف 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من تثق به وتدين بدينه وورعه ، وآخر من تتّقي سيفه وسوطه وشرّه وبوائقه وشنعته ، فصلّ خلفه على سبيل التقيّة والمداراة ، وأذّن لنفسك وأقم ، واقرأ فيها ، لأ نّه غير مؤتمن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ما يمسك عنه الصائم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الجزء الثاني ، ضمن مصنّفات الشيخ المفيد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مذكورة في ذيل رواية محمّد بن الفضل وتبتدئ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عليه كتاب أبي الحسن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ابتدئ من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وتوضّأ كما أمرك اللّه تعالى </w:t>
      </w:r>
      <w:r>
        <w:rPr>
          <w:rFonts w:eastAsia="IRNazanin" w:cs="IRNazanin"/>
          <w:b w:val="false"/>
          <w:bCs w:val="false"/>
          <w:i w:val="false"/>
          <w:iCs w:val="false"/>
          <w:color w:val="333333"/>
          <w:sz w:val="20"/>
          <w:szCs w:val="20"/>
          <w:rtl w:val="true"/>
        </w:rPr>
        <w:t>. . .»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الكشّي عن حمدويه وإبراهيم ، عن محمّد بن إسماعيل الرازي ، عن أحمد ابن سليمان ، عن داود الرقّي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عليه السلام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كم عدّة الطهارة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أوجبه اللّه فواحدة ، وأضاف إليها رسول اللّه صلى الله عليه و آله وسلم واحدة لضعف الناس ، ومن توضّأ ثلاثاً ثلاثاً فلا صلاة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معه في ذا حتّى جاءه داود بن زربي ، فسأله عن عدّة الطهارة ؟ فقال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 ثلاثاً ، من نقص عنه فلا صلاة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فارتعدت فرائصي ، وكاد أن يدخلني الشيطان ، فأبصر أبو عبداللّه عليه السلام إليّ وقد تغيّر لوني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 يا داود ، هذا هو الكفر أو ضرب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فخرجنا من عنده ، وكان ابن زربي إلى جوار بستان أبي جعفر المنصور ، وكان قد اُلقي إلى أبي جعفر أمر داود بن زربي ، وأنّه رافضي يختلف إلى جعفر بن محمّد ، فقال أبو جعفر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مطّلع على طهارته ، فإن هو توضّأ وضوء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لأعرف طهارته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حقّقت عليه القول وقتلته ، فاطّلع وداود يتهيّأ للصلاة من حيث لا يراه ، فأسبغ داود بن زربي الوضوء ثلاثاً ثلاثاً كما أمره أبو عبداللّه عليه السلام ، فما تمّ وضوؤه حتّى بعث إليه أبو جعفر المنصور فدعاه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أن دخلت عليه رحّب بي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داود ، قيل فيك شيء باطل ، وما أنت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اطّلعت على طهارتك وليس طهارتك طهارة الرافضة ، فاجعلني في حلّ ، وأمر له بمائة ألف درهم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داود الرقّي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التقيت أنا وداود بن زربي عند أبي عبداللّه عليه السلام ، فقال له داود بن زربي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حقنت دماءنا في دار الدنيا ، ونرجو أن ندخل بيمينك وبركتك الجنّة ، فقال أبو عبداللّه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اللّه ذلك بك وبإخوانك من جميع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عبداللّه عليه السلاملداود بن زربي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 داود الرقّي بما مرّ عليكم حتّى تسكن روعته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فحدّثته بالأمر كلّه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أفتيته ، لأ نّه كان أشرف على القتل من يد هذا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داود بن زربي ، توضّأ مثنى مثنى ، ولا تزدنّ عليه ، فإنّك إن زدت عليه فلا صلاة 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والرواية ضعيفة لجهالة أحمد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بإسناده ، عن محمّد بن الحسن الصفّار ، عن يعقوب بن يزيد ، عن الحسن ابن علي الوشّاء ، عن داود بن زربي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 السلام عن الوضوء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توضّأ ثلاثاً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 تشهد بغداد وعساكرهم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فكنت يوماً أتوضّأ في دار المهدي ، فرآني بعضهم وأنا لا أعلم 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من زعم أ نّك فلاني وأنت تتوضّأ هذا الوضوء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واللّه أمرني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ترديده قدس سره بين الحسنة والصحيحة من جهة أبي سليمان داود بن زربي الخندقي البندار الكوفي ، فإنّه قد عدّه بعضهم كالفاضل المجلسي من الممدوحين ، إذ يفهم من رواية داود بن كثير المذكورة في المتن ومن رواية اُخرى ، سلامة عقيدته وكونه مورداً لعطف الإمام عليه السلاموأمانته ، لائتمانه عليه السلامداود على مقدار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وثّقوه اعتماداً على توثيق الشيخ المفيد إيّاه المؤيّد بنقل العلاّمة وابن داود التوثيق عن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الصادق والكاظم عليهماالسلام وروى عنه محمّد بن أبي عمير والضحّاك بن الأشعث ويونس بن عبد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الجزء الثاني ، ضمن مصنّفات الشيخ المفيد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عن أحمد بن إدريس ، عن محمّد بن أحمد ، عن يعقوب بن يزيد ، عن محمّد بن أبي حمزة ، عمّن ذكره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ورواها الشيخ بإسناده عن محمّد بن أحمد بن يحيى ، عن يعقوب بن يزيد ، عن محمّد بن أبي حمزة ، عمّن ذكره ، عن أبي عبداللّه عليه السلام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القراءة في الصلاة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 رسالة في التقيّة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روائع الأمالي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صورة ما إذا كان قاصداً لإتيان العصر قبل الشروع ؛ لاحظ الدرر الغوالي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عقد اللآلي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عقد اللآلي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ملفّق من صحيحة ابن أبي يعفور ورواية محمّد بن مسلم المذكورتين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كان جنباً أو على غير وضوء أعاد الصلوات المكتوبات اللواتي فاتته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ما ذكرت صلاة فاتتك صلّيتها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قضاء الصلوات،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التشهّد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التسليم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رحمه الله بإسناده عن ابن مسكان ، عن أبي بصير ، وقال في مشيخة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فيه عن عبداللّه بن مسكان فقد رويته عن أبي ومحمّد بن الحسن رضي اللّه عنهما ، عن محمّد بن يحيى العطّار ، عن محمّد بن الحسين بن أبي الخطّاب ، عن صفوان ابن يحيى ، عن عبداللّه بن مسكان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السجود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التسليم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التسليم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التشهّد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التشهّد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التشهّد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التشهّد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التشهّد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بإسناده عن الحسين بن سعيد ، عن فضالة ، عن الحسين بن عثمان ، عن سماعة ، عن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موثّقة بسماعة ؛ حيث ذكر الشيخان الصدوق والطوسي رحمهمااللهأ نّه كان واقفياً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التشهّد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الوسائل التي عندنا 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وإن كان صحيحاً ، لكنّ الظاهر خطأ النسخة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بإسناده عن منصور ، وطريقه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رضى الله عنه ، عن محمّد بن يحيى العطّار ، عن محمّد بن أحمد ، عن محمّد بن عبد الحميد ، عن سيف بن عميرة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الركوع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بعد أسطر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الركوع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الركوع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السجود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السجود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المقيّد بعدم كونه </w:t>
      </w:r>
      <w:r>
        <w:rPr>
          <w:rFonts w:eastAsia="IRNazanin" w:cs="IRNazanin"/>
          <w:b w:val="false"/>
          <w:bCs w:val="false"/>
          <w:i w:val="false"/>
          <w:iCs w:val="false"/>
          <w:color w:val="333333"/>
          <w:sz w:val="20"/>
          <w:szCs w:val="20"/>
          <w:rtl w:val="true"/>
        </w:rPr>
        <w:t>. . .»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الترك المقيّد بكونه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الاستصحاب ،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الأمالي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زياد الوشّاء الخزّاز صحب الرضا والهادي عليهماالسلام ولم يرد بحقّه توثيق صريح ، وإنّما مدحه النجاشي بكونه من وجوه هذه الطائفة وعيونها ، والرواية صحيحة بناءً على استفادة الوثاقة من مثل هذه التعابير وإلاّ فحسنة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الكاظم والرضا عليهماالسلاموعن جميل بن درّاج وعبداللّه بن سنان ، وروى عنه أحمد بن محمّد بن عيسى والحسين بن سعيد وعبداللّه بن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أدلّة وجوب البناء على الأكثر ، 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النيّة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النيّة ،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النيّة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عقد اللآلي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المحقّق البروجردي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زاد في صلاته فعليه الإعادة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زرارة وابن بكير ابني أعين عن أبي جعفر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استيقن أنّه زاد في صلاته المكتوبة ركعة لم يعتدّ بها ، واستقبل صلاته استقبالاً إذا كان قد استيقن يقيناً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زين العابدين عليه السلام أ 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الرجل إحدى يديه على الاُخرى عمل ، وليس في الصلاة عمل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القاسم بن عروة من أصحاب الإمام الصادق عليه السلام ذكره الكشّي والشيخ والنجاشي من غير أن يوثّقوه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 ابن داود أ نّه ممدوح ، فبناءً على حجّية توثيقات المتأخّرين تصير روايته 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وثّقه المفيد رحمه الله في المسائل الصاغانية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فيروي القاسم عن أبي بصير وأبان بن عثمان وزرارة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ويروي عنه ابن أبي عمير والحسين بن سعيد ومحمّد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 ضمن مصنّفات الشيخ المفيد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القراءة في الصلاة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عقد اللآلي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الصلاة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الغوالي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روائع الأمالي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كموثّق عمّار بن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 السلام عن الرجل يكون في الصلاة ، فيقرأ فيرى حيّة بحياله ، يجوز له أن يتناولها فيقتلها ؟ فقال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بينه وبينها خطوة واحدة فليخط وليقتلها ، وإلاّ فلا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وكصحيح حريز ، عن أبي عبداللّه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كنت في صلاة الفريضة فرأيت غلاماً لك قد أبق أو غريماً لك عليه مال أو حيّة تخافها على نفسك ، فاقطع الصلاة ، واتبع غلامك أو غريمك ، واقتل الحيّة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التسليم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التسليم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التسليم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أرسلها صاحب الاحتجاج عن الحميري ، ولم يذكر طريقه إليه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الغوالي في فروع العلم الإجمالي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المستند في شرح العروة الوثقى ، ضمن موسوعة الإمام الخوئي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النيّة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عن العيّاشي ، عن حمدويه ، عن محمّد بن الحسين ، عن الحسن بن محبوب ، عن عبدالعزيز بن المهتدي ، عن عبداللّه بن أبي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لأجل ضعف طريق الشيخ إلى العيّاشي بأبي المفضّل المخلّط الضعيف ، وبولد العيّاشي ، فقد ذكره الشيخ الطوسي في رجاله مقتصراً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فاضل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عبداللّه بن المغيرة ورواية معاوية المتقدّمتين في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 أبي الرقمع وقد أرسل له أصحابه يدعونه إلى الصبوح في يوم بارد ، وقالوا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تريد أن نصنع لك طعاماً ؟ وكان فقيراً ليس له كسوة تقيه البرد ، فكتب إليهم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أصحابنا قصدوا الصبوح بسحرةوأتى رسولهم إليّ خصيصاًقالوا اقترح شيئاً نجد لك طبخهقلت اطبخوا لي جبّة وقميصاً أي خيطوا لي جبّة وقميصاً ، فذكر الخياطة بلفظ الطبخ لوقوعه في صحبة طبخ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التلخيص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 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عدم تضمين من ائتمنه المالك بالإذن أو الشارع بالأمر وقبول قوله وعدم جواز اتّهامه ؛ لقوله صلى الله عليه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لك أن تتّهم من قد ائتمنته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الوديعة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صلى الله عليه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لك أن تتّهم من قد ائتمنته ، ولا تأتمن الخائن وقد جرّبته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لك أن تأتمن من خانك ، ولا تتّهم من ائتمنت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الوديعة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ظاهرهما عدم جواز الاتّهام مطلقاً ولو بعد زوال الائتمان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الوديعة ،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المعنى وإن كان بحسب الظاهر أنسب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 نّه يكاد يقطع بعدم إرادته</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عن الصادق عليه السلام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يَحِلُّ لَهُنَّ أَنْ يَكْتُمْنَ مَا خَلَقَ اللّه‌ُ فِى أَرْحَامِهِنَّ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فوّض اللّه إلى النساء ثلاثة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الحيض والطهر والحمل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عن أبي جعفر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والحيض للنساء ؛ إذا ادّعت صدّقت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ذكرنا من مقابلة الإرادة للكراهة مسامحة ومسالمة مع القومأ وإلاّ فالتحقيق أنّ الكراهة والحبّ متقابلان ، وهما في مبادئ الإرادة التي هي الحالة الإجماعية الحاصلة عقيبهما ، فالمحرّك للفاعل في التكوين والآمر في التشريع لا يكون إلاّ الإرادة ؛ سواء في ذلك الأمر والنهي ، والفعل والترك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يكون الترك معلولاً لعدم الإرادة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نهاية الأفكار ، القسم الأوّل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نفس المحقّق القمّي رحمه الله المثبتة في أسفل الصفحة ،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والمفروض أ نّا نتكلّم بعد فرض كونها أدلّة </w:t>
      </w:r>
      <w:r>
        <w:rPr>
          <w:rFonts w:eastAsia="IRNazanin" w:cs="IRNazanin"/>
          <w:b w:val="false"/>
          <w:bCs w:val="false"/>
          <w:i w:val="false"/>
          <w:iCs w:val="false"/>
          <w:color w:val="333333"/>
          <w:sz w:val="20"/>
          <w:szCs w:val="20"/>
          <w:rtl w:val="true"/>
        </w:rPr>
        <w:t>. . .»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حقّقنا في المجلّد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المرضيّ عندنا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اصطلاحان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الطبيعي والمقولات العشرأ وهو مقابل الجوهر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مصطلح المنطقي في الكلّيات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مقابل الذاتي ، وعبارة عن الخارج المحمول على الشيء ؛ أي المتّحد معه في الخارج ، والمختلف في العقل ، المأخوذ على نحو اللا بشرطية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والذاتية والعرضية في هذا الباب تختلف باختلاف الاعتبار ، مثلاً الحيوان والناطق إذا لوحظا من حيث كونهما جزأين للماهية الإنسانية فهما جنس وفصل ، وإذا لوحظا من حيث اختلافهما في العقل واتّحادهما في الخارج ، فكلّ واحد منهما عرض للآخر ، فالجنس عرض عامّ للفصل ، والفصل عرض خاصّ للجنس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والأعراض الذاتية فيما نحن فيه باصطلاح المنطقي لا الطبيعي ، فجميع موضوعات المسائل من الأعراض الذاتية لموضوع العلم ، فالاُصولي ينظر ويتوجّه إلى الحجّة في الفقه ويتفحّص عن الأعراض الذاتية لها ؛ وهي خبر الواحد والاستصحاب وأمثالهما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لا يختلف موضوع علمه باختلاف المذاهب في مصاديق الحجّة ، فعند الاُصولي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يرى الأدلّة أربعة والأخباري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يرى الدليل إلاّ الأخبار موضوع علم الاُصول هو الحجّة في الفقه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المنطق ، المقولات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الجوهر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الأغراض إمّا أن تكون أغراضاً أوّلية ، وإمّا أن تكون ثانوية وثالثية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الأغراض الأوّلية فهي العلم بالمسائل ، فإنّ كلّ مدوّن للعلم أو متعلّم له لا يكون غرضه الأوّلي إلاّ العلم بها ، ومعلوم أنّ اختلاف العلم باختلاف متعلّقاته ، وإلاّ فالعلم من حيث هو علم لا يختلف في العلوم ، فالاختلاف رجع بالآخرة إلى اختلاف نفس المسائل التي هي متعلّقات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الأغراض الثانوية والثالثية وأمثالهما ، فلا يكون لها ميزان حتّى يكون الاختلاف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الصلاة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التقرير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رقاق من كتّان يتّخذ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بالعراق من أرض بابل ، وهو بلد السريانيين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صاعداً كالعمود ، اُنظر 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الشفاء ، المنطق ، المقولات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امام خمينى در تاريخ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استفتاء از حلّيت يا حرمتِ ذبح حيوانات به وسيله دستگاه هاى خودكار برقى در حالى كه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نوار ضبط صوتى كه قبلاً پر شده است و براى هر كشتار پخش مى شود، مرقوم گرديده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أبواب الذبائح،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أبواب الذبائح،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أبواب الذبائح،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أبواب الذبائح،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الفائدة تقرير لما أفاده السيّد البروجردي ، راجع ما يأتي في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27770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الهبات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الخميني قدس سره في كتاب البيع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يستدلّ للمطلوب بقوله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أَرَدتُمُ اسْتِبْدَالَ زَوْجٍ مَكَانَ زَوْجٍ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أَفْضَى بَعْضُكُمْ إِلَى بَعْضٍ وَأَخَذْنَ مِنْكُمْ مِيثَاقاً غَلِيظاً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حكي عن بعض أجلّة العصر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بعض مقرّري بحثه المراد منه آية اللّه العظمى السيّد البروجردي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قرينة على أنّ الفائدة المذكورة هي تقرير لبحث السيّد البروجردي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تقريرات البيع ، المؤمن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الحاكم النيسابوري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صحيحة ابن سنان التي تأتي في الصفحة الآتية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المسلمين عند شروطهم ، إلاّ شرطاً حرّم حلالاً ، أو أحلّ حراماً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شرط اللّه قبل شرطكم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بإسناده عن الحسن بن محبوب ، وطريقه إليه صحيح ، كما رواها الكليني عن العدّة ، عن سهل بن زياد وأحمد بن محمّد جميعاً ، عن ابن محبوب ، عن عبداللّه بن سنان ، عنه عليه السلام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وتهذيب الأحكام ، والموجود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أحمد 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اليد ما أخذت حتّى تؤدّي</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اللفظ في كتب الفقه والحديث السنّيين ، وإنّما قال السيّد ابن زهرة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ويحتجّ على المخالف بقوله صلى الله عليه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اليد ما قبضت حتّى تؤدّي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أحمد 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العارية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الوديعة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المضاربة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الزكاة ، أبواب من تجب عليه ،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وهاهنا تقريب آخر لاستفادة الضمان من الحديث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اليد 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عالم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العين على اليد ثابتة ، ولو تلفت لا يكون التلف موجباً لانعدام العين في عالم الاعتبار ، بل هي ثابتة على يد الآخذ ، وموجودة فيها ، وقابلة للأداء ولو بصورتها النوعية ، تدبّر تعرف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الإجارة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عن المحقّق في أحد قوليه ، اُنظر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أجد مخالفاً منّا في ذلك ، بل ولا متأمّلاً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أجده في شيء من ذلك بيننا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ونسبه الشيخ الأعظم إلى المشهور ، 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الأكثر ، وقد تقدّمت الإشارة إلى بعض من اختار هذا القول في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بعضهم في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ما عثرنا عليه من هذه الفائدة ، والحمد للّه أوّلاً وآخراً ، وظاهراً وباطناً ، وهو حسبنا ونعم الوكيل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3.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41896</Words>
  <Characters>164021</Characters>
  <CharactersWithSpaces>204461</CharactersWithSpaces>
  <Paragraphs>1694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2026-08-27T14:26:06Z</dcterms:created>
  <dc:creator>ghaemiyeh.com</dc:creator>
  <dc:description/>
  <dc:language>en-US</dc:language>
  <cp:lastModifiedBy/>
  <dcterms:modified xsi:type="dcterms:W3CDTF">2026-08-27T17:56:15Z</dcterms:modified>
  <cp:revision>1</cp:revision>
  <dc:subject/>
  <dc:title>موسوعة الامام الخمینی قدس سرة الشریف المجلد 20 الرسالات الفقیة و الاصولیة</dc:title>
</cp:coreProperties>
</file>

<file path=docProps/custom.xml><?xml version="1.0" encoding="utf-8"?>
<Properties xmlns="http://schemas.openxmlformats.org/officeDocument/2006/custom-properties" xmlns:vt="http://schemas.openxmlformats.org/officeDocument/2006/docPropsVTypes"/>
</file>