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الموازنة بین العدالة والرعایة فی عهد الإمام علی علیه السلام لمالک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7386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12738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127390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7127392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127394_1051229030">
            <w:r>
              <w:rPr>
                <w:webHidden/>
                <w:rStyle w:val="IndexLink"/>
                <w:rtl w:val="true"/>
              </w:rPr>
              <w:t>المحور الأول دولة العدالة والرعاية في العهد العلوي</w:t>
            </w:r>
            <w:r>
              <w:rPr>
                <w:rStyle w:val="IndexLink"/>
                <w:rtl w:val="true"/>
              </w:rPr>
              <w:tab/>
            </w:r>
            <w:r>
              <w:rPr>
                <w:rStyle w:val="IndexLink"/>
              </w:rPr>
              <w:t>16</w:t>
            </w:r>
          </w:hyperlink>
        </w:p>
        <w:p>
          <w:pPr>
            <w:pStyle w:val="Contents2"/>
            <w:tabs>
              <w:tab w:val="clear" w:pos="8743"/>
              <w:tab w:val="right" w:pos="9026" w:leader="dot"/>
            </w:tabs>
            <w:rPr/>
          </w:pPr>
          <w:hyperlink w:anchor="__RefHeading___Toc7127396_1051229030">
            <w:r>
              <w:rPr>
                <w:webHidden/>
                <w:rStyle w:val="IndexLink"/>
                <w:rtl w:val="true"/>
              </w:rPr>
              <w:t>المحور الثاني نصوص مختارة من العهد</w:t>
            </w:r>
            <w:r>
              <w:rPr>
                <w:rStyle w:val="IndexLink"/>
                <w:rtl w:val="true"/>
              </w:rPr>
              <w:tab/>
            </w:r>
            <w:r>
              <w:rPr>
                <w:rStyle w:val="IndexLink"/>
              </w:rPr>
              <w:t>33</w:t>
            </w:r>
          </w:hyperlink>
        </w:p>
        <w:p>
          <w:pPr>
            <w:pStyle w:val="Contents2"/>
            <w:tabs>
              <w:tab w:val="clear" w:pos="8743"/>
              <w:tab w:val="right" w:pos="9026" w:leader="dot"/>
            </w:tabs>
            <w:rPr/>
          </w:pPr>
          <w:hyperlink w:anchor="__RefHeading___Toc7127398_1051229030">
            <w:r>
              <w:rPr>
                <w:webHidden/>
                <w:rStyle w:val="IndexLink"/>
                <w:rtl w:val="true"/>
              </w:rPr>
              <w:t>الخاتمة</w:t>
            </w:r>
            <w:r>
              <w:rPr>
                <w:rStyle w:val="IndexLink"/>
                <w:rtl w:val="true"/>
              </w:rPr>
              <w:t>.</w:t>
              <w:tab/>
            </w:r>
            <w:r>
              <w:rPr>
                <w:rStyle w:val="IndexLink"/>
              </w:rPr>
              <w:t>43</w:t>
            </w:r>
          </w:hyperlink>
        </w:p>
        <w:p>
          <w:pPr>
            <w:pStyle w:val="Contents2"/>
            <w:tabs>
              <w:tab w:val="clear" w:pos="8743"/>
              <w:tab w:val="right" w:pos="9026" w:leader="dot"/>
            </w:tabs>
            <w:rPr/>
          </w:pPr>
          <w:hyperlink w:anchor="__RefHeading___Toc7127400_1051229030">
            <w:r>
              <w:rPr>
                <w:webHidden/>
                <w:rStyle w:val="IndexLink"/>
                <w:rtl w:val="true"/>
              </w:rPr>
              <w:t>المصادر</w:t>
            </w:r>
            <w:r>
              <w:rPr>
                <w:rStyle w:val="IndexLink"/>
                <w:rtl w:val="true"/>
              </w:rPr>
              <w:tab/>
            </w:r>
            <w:r>
              <w:rPr>
                <w:rStyle w:val="IndexLink"/>
              </w:rPr>
              <w:t>47</w:t>
            </w:r>
          </w:hyperlink>
        </w:p>
        <w:p>
          <w:pPr>
            <w:pStyle w:val="Contents2"/>
            <w:tabs>
              <w:tab w:val="clear" w:pos="8743"/>
              <w:tab w:val="right" w:pos="9026" w:leader="dot"/>
            </w:tabs>
            <w:rPr/>
          </w:pPr>
          <w:hyperlink w:anchor="__RefHeading___Toc7127402_1051229030">
            <w:r>
              <w:rPr>
                <w:webHidden/>
                <w:rStyle w:val="IndexLink"/>
                <w:rtl w:val="true"/>
              </w:rPr>
              <w:t>المحتويات</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1_75673"/>
      <w:bookmarkStart w:id="1" w:name="pg8011_75673"/>
      <w:bookmarkEnd w:id="1"/>
    </w:p>
    <w:p>
      <w:pPr>
        <w:pStyle w:val="Heading2"/>
        <w:numPr>
          <w:ilvl w:val="1"/>
          <w:numId w:val="1"/>
        </w:numPr>
        <w:rPr/>
      </w:pPr>
      <w:bookmarkStart w:id="2" w:name="pg8011_75673"/>
      <w:bookmarkStart w:id="3" w:name="__RefHeading___Toc7127386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الموازنة بين العدالة والرعاية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كاظم كاطع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 عبد السادة علي</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738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الاجتماعية الموازنة بين العدالة والرعاية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سناء كاظم كاطع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إيناس عبد السادة علي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8011_7568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127390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متلازماً مع صلاحيّة النصوص الشريفة للعترة النبوية لكل الأزمنة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ارتأت مؤسسة علوم نهج البلاغة أن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خصبة للعلوم الإنسانية، التي هي من أشرف العلوم ومدار بناء الإنسان وإصلاح متعلقاته الحياتية، وذلك ضمن سلسلة بحثية علمية وموسومة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تصدرها المؤسسة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w:t>
      </w:r>
    </w:p>
    <w:p>
      <w:pPr>
        <w:pStyle w:val="BookText"/>
        <w:rPr/>
      </w:pPr>
      <w:r>
        <w:rPr>
          <w:rFonts w:ascii="Amiri" w:hAnsi="Amiri" w:eastAsia="Amiri" w:cs="Amiri"/>
          <w:color w:val="111111"/>
          <w:sz w:val="28"/>
          <w:sz w:val="28"/>
          <w:szCs w:val="28"/>
          <w:rtl w:val="true"/>
          <w:lang w:bidi="ar-SA"/>
        </w:rPr>
        <w:t>الآمنة والمفعمة بالخير والعطاء والعيش بحرية وكرامة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البحث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الموازنة بين العدالة والرعية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الدراسات الاجتماعية، حيث تناول البحث ثنائية العدل والرعاية عند الإمام علي عليه السلام وأثرهما في بناء الدولة وحفظ حقوق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الباحثين خير الجزاء فقد بذلتا جهدهما وعلى اللّٰه أجرهما،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8011_75688"/>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127392_1051229030"/>
      <w:bookmarkStart w:id="12" w:name="_Toc4"/>
      <w:bookmarkEnd w:id="11"/>
      <w:r>
        <w:rPr>
          <w:rtl w:val="true"/>
        </w:rPr>
        <w:t>مقدمة</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التجرد عن الصفات والخصال التي يختص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 ضرورة بحثية بحتة، تفرضها الحقيقة التي عبر عنها لسان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تجعلونا أرباباً، وقولوا فينا ما شئتم، ولن تبلغو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 نبلغ کنه علي وحقيقته، ولن نصل إلى معرفته وهو الذي لا يعرفه إلا اللّٰه ورسوله، لذا لن نتحدث عن شخص </w:t>
      </w:r>
    </w:p>
    <w:p>
      <w:pPr>
        <w:pStyle w:val="BookText"/>
        <w:rPr/>
      </w:pPr>
      <w:r>
        <w:rPr>
          <w:rFonts w:ascii="IRNazanin" w:hAnsi="IRNazanin" w:eastAsia="IRNazanin"/>
          <w:color w:val="111111"/>
          <w:sz w:val="28"/>
          <w:sz w:val="28"/>
          <w:szCs w:val="28"/>
          <w:rtl w:val="true"/>
          <w:lang w:bidi="fa-IR"/>
        </w:rPr>
        <w:t>علي بصفاته الربانية وعلمه اللدني، إنما عن حیثیات دنیوية تتعلق بالدولة والمجتمع في فكر علي بوصفه مؤسس لفكر ينظم العلاقة بين مؤسسة الدولة من حيث كونها الراعي، وبين المجتمع الذي يمثل رعايا هذه المؤسسة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طرح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لواليه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بالغة الأهمية، ألا وهي الموازنة بين ضرورتين تشكلان أساس وظائف الدولة التنظيمية في علاقتها مع رعاياها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شكّلت الموازنة بين العدل والرعاية جوهراً فكرياً تأسيسياً لهذا العهد، مع ملاحظة أن هذه الموازنة قد حققت علاقة فريدة بين الوظيفتين بالربط بينهما بشكل يجعل كل منهما يتضمن في الآخر ولا يتحقق إلا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أخترنا هاتين الوظيفتين لأن الفكر العربي والإسلامي على مدى تاريخه ركّز على واحدة منهما، وهي العدل وأهمل الثانية، وهي الرعاية، فنجد هذا الفكر قد انشغل لردح من الزمان بالجدل حول دولة العدل وقضية المستبد العادل، في حين إن وظيفة الرعاية لا تقل أهمية عن وظيفة العدل، ونحن نعزو ذلك إلى أن الفكر العربي والإسلامي بحسب تتبع الباحث هو فکر سلطوي لا رعوي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فضلنا الحديث عن الإمام علي عليه السلام المؤسس، الذي أسس لنظام الرعاية ضمن نظام العدل، ونظام العدل ضمن نظام الرعاية، أسس للمعادلة الموازنة بين الوظيفتين، وكان إهمال هذه الموازنة قصوراً في الفكر العربي والإسلامي، وهو الفكر المؤدلج </w:t>
      </w:r>
    </w:p>
    <w:p>
      <w:pPr>
        <w:pStyle w:val="BookText"/>
        <w:rPr/>
      </w:pPr>
      <w:r>
        <w:rPr>
          <w:rFonts w:ascii="Amiri" w:hAnsi="Amiri" w:eastAsia="Amiri" w:cs="Amiri"/>
          <w:color w:val="111111"/>
          <w:sz w:val="28"/>
          <w:sz w:val="28"/>
          <w:szCs w:val="28"/>
          <w:rtl w:val="true"/>
          <w:lang w:bidi="ar-SA"/>
        </w:rPr>
        <w:t>المنكفئ على الذات وغير المنفتح على الآخر حتى وإن كان من أبناء جلدته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تأسيس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لنظام الرعاية في عهده لواليه على مصر، وليد واقع دولة الخلافة التي أستلمها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تعاني من قصور كبير في وظائفها تجاه رعاياها، فكان العهد برنامج عمل لإحداث التغيير الاجتماعي الشامل، فكانت الرعاية نظاماً دقيقاً لقيادة التغيير الاجتماعي هذا وتوجيهه الوجهة الصحيحة ضمن نظام العدل بين الرعية</w:t>
      </w:r>
      <w:r>
        <w:rPr>
          <w:rFonts w:eastAsia="Amiri" w:cs="Amiri" w:ascii="Amiri" w:hAnsi="Amiri"/>
          <w:color w:val="111111"/>
          <w:sz w:val="28"/>
          <w:szCs w:val="28"/>
          <w:rtl w:val="true"/>
          <w:lang w:bidi="ar-SA"/>
        </w:rPr>
        <w:t>.</w:t>
      </w:r>
      <w:bookmarkStart w:id="13" w:name="pg8011_75696"/>
    </w:p>
    <w:p>
      <w:pPr>
        <w:pStyle w:val="Heading2"/>
        <w:numPr>
          <w:ilvl w:val="1"/>
          <w:numId w:val="1"/>
        </w:numPr>
        <w:rPr/>
      </w:pPr>
      <w:bookmarkStart w:id="14" w:name="__RefHeading___Toc7127394_1051229030"/>
      <w:bookmarkStart w:id="15" w:name="_Toc5"/>
      <w:bookmarkEnd w:id="13"/>
      <w:bookmarkEnd w:id="14"/>
      <w:r>
        <w:rPr>
          <w:rtl w:val="true"/>
        </w:rPr>
        <w:t>المحور الأول دولة العدالة والرعاية في العهد العلوي</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مفهوم العدل قد جاء في نطاق واسع وشامل ولم يحصر بزاوية أو مجال ما، فاللّٰه سبحانه وتعالى ذكر العدل في كتابه الكريم في ألفاظ متعددة ومتنوعة وحثّ عليها كقيمة أساسية وجبت كفرض على المسلمين في كل مجالات حياتهم، ابتداءا من العدل في الحكم إلى معاملة الأسرة والزوجة وجميع الناس، </w:t>
      </w:r>
    </w:p>
    <w:p>
      <w:pPr>
        <w:pStyle w:val="BookText"/>
        <w:rPr/>
      </w:pPr>
      <w:r>
        <w:rPr>
          <w:rFonts w:ascii="IRNazanin" w:hAnsi="IRNazanin" w:eastAsia="IRNazanin"/>
          <w:color w:val="111111"/>
          <w:sz w:val="28"/>
          <w:sz w:val="28"/>
          <w:szCs w:val="28"/>
          <w:rtl w:val="true"/>
          <w:lang w:bidi="fa-IR"/>
        </w:rPr>
        <w:t xml:space="preserve">لذلك يمكننا القول مع ما قاله مطهري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دققنا النظر في القرآن وجدناه يدور حول محور واحد وهو العدل من كل الأفكار القرآنية، من التوحيد الى المعاد، ومن النبوة الى الإمامة والزعامة، ومن الآمال الفردية الى الأهداف الاجتماعية، فالعدل في القرآن قرین التوحيد وركن المعاد وهدف تشریع النبوة وفلسفة الزعامة والإمامة و معیار کمال الفرد و مقیاس سلامة المجتمع</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ومن بين الآيات التي ذكرها اللّٰه عز وجل في قضية العدل وأهميته نورد مايلي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عَدْلٌ وَلَا وَلَا تَنْفَعُهَا</w:t>
      </w:r>
    </w:p>
    <w:p>
      <w:pPr>
        <w:pStyle w:val="BookText"/>
        <w:rPr/>
      </w:pPr>
      <w:r>
        <w:rPr>
          <w:rFonts w:ascii="Amiri" w:hAnsi="Amiri" w:eastAsia="Amiri" w:cs="Amiri"/>
          <w:color w:val="111111"/>
          <w:sz w:val="28"/>
          <w:sz w:val="28"/>
          <w:szCs w:val="28"/>
          <w:rtl w:val="true"/>
          <w:lang w:bidi="ar-SA"/>
        </w:rPr>
        <w:t>شَفَاعَةٌ وَلَا هُمْ يُنْصَرُونَ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يمكن ملاحظة أن اللّٰه سبحانه وتعالى قد أنزل كتابه ليكون القاعدة الفكرية والمنهج العملي الذي يريد للإنسان أن يتحرك فيه على أساس قيم الفضيلة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إلى جانب أن العدل صفة من صفات اللّٰه جل جلاله، فقد ركز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قضية العدل مؤكدا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خير من عبادة سبعين سنة، قيام ليلها وصيام 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ميزان اللّٰه في الارض فمن أخذه قاده الى الجنة ومن ترکه ساقه الى النار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كان العدل المنهج الواضح الذي سار عليه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طيلة مسيرتهم، وما رسالة الحقوق للأمام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مثال ممکن الاستشهاد فيه على تركيز أهل البيت عموما على حقوق الناس وواجباتهم والحكم بينهم بالعدل وتعليمهم المضامين الأساسية لحقوق </w:t>
      </w:r>
    </w:p>
    <w:p>
      <w:pPr>
        <w:pStyle w:val="BookText"/>
        <w:rPr/>
      </w:pPr>
      <w:r>
        <w:rPr>
          <w:rFonts w:ascii="Amiri" w:hAnsi="Amiri" w:eastAsia="Amiri" w:cs="Amiri"/>
          <w:color w:val="111111"/>
          <w:sz w:val="28"/>
          <w:sz w:val="28"/>
          <w:szCs w:val="28"/>
          <w:rtl w:val="true"/>
          <w:lang w:bidi="ar-SA"/>
        </w:rPr>
        <w:t>كل منهم على بعض</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فضلا عن ذلك، فإن العدل أصل من أصول الدين عند الشيعة الإمامية، حيث جاء كل من العدل والإمامة كأصلين من أصول مذهب التشيع مع سائر أصول الإسلام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والنبوة والمعاد</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ويعرّف العدل بأنه إعطاء كل ذي حق حقه، مما يؤكد اختلافه عن المساواة كمفهوم يختزل مراعاة التساوي بين طرفين أو عدة أطراف، في اشتراط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الاستحقاق، وأخذ الأولويات </w:t>
      </w:r>
    </w:p>
    <w:p>
      <w:pPr>
        <w:pStyle w:val="BookText"/>
        <w:rPr/>
      </w:pPr>
      <w:r>
        <w:rPr>
          <w:rFonts w:ascii="Amiri" w:hAnsi="Amiri" w:eastAsia="Amiri" w:cs="Amiri"/>
          <w:color w:val="111111"/>
          <w:sz w:val="28"/>
          <w:sz w:val="28"/>
          <w:szCs w:val="28"/>
          <w:rtl w:val="true"/>
          <w:lang w:bidi="ar-SA"/>
        </w:rPr>
        <w:t>بنظر الاعتبار، وإعطاء كلا نصيبه بموجب 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يشترط وجودها في المساواة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ويعد تعريف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من أفضل التعاريف وأجزلها معنى، حينما بينه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الأمور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بذلك الظلم عند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في غير موضعه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التأكيد الرباني على مسألة العدل وضرورته جعل منه الهدف الأسمى والغاية المقصودة من الشريعة الإسلامية، بل هو جوهر الإسلام الصحيح وقيمته العليا التي لا </w:t>
      </w:r>
    </w:p>
    <w:p>
      <w:pPr>
        <w:pStyle w:val="BookText"/>
        <w:rPr/>
      </w:pPr>
      <w:r>
        <w:rPr>
          <w:rFonts w:ascii="Amiri" w:hAnsi="Amiri" w:eastAsia="Amiri" w:cs="Amiri"/>
          <w:color w:val="111111"/>
          <w:sz w:val="28"/>
          <w:sz w:val="28"/>
          <w:szCs w:val="28"/>
          <w:rtl w:val="true"/>
          <w:lang w:bidi="ar-SA"/>
        </w:rPr>
        <w:t>يجوز تجاوزها مع الناس كافة مسلمين كانوا أو غير مسلمين، في وقت السلم والحرب معا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كان حفظ العدل وإشاعة العدالة في المجتمع مطلب أساس في السياسة الإسلامية النبوية والعلوية ومقوم من مقومات الدولة الإسلامية ببعديها الرسالي والعلوي والتي تميزت فيها القيم السياسية بالبعد الأخلاقي وكان في مقدمتها العدل والإنصاف، فالسياسة الإسلامية عرفت العدل كمفهوم واقعي وتطبيقي ملازم لمقولات الشريعة الإسلامية ومبادئه، فأصبحت للعدالة معنی وظيفيا بحيث شكلت إحدى الأهداف والمهام الأساسية التي تسعى الجماعة السياسية تحقيقها في النظام السياسي الإسلامي القائم آنذاك</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قدّم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أرض الواقع ومنذ توليه السلطة دولة العدالة المرتكزة على الأسس الأخلاقية والتكوينية العظيمة لحاكمها، وفي ذلك وصف جورج جرداق في سفره الكامل عدالة الإمام علي عليه السلام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مذهبا مكتسبا، وإن أصبحت في نهجه مذهبا فيما بعد، وليست خطة أوضحتها سياسة الدولة، وإن كان هذا الجانب من مفاهيمها لديه، وليست طريقا يسلكها عن عمد فتوصله من أهل المجتمع الى مكان الصدارة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لأنها في بنيانه الأخلاقي والأدبي أصل يتحد بأصول، وطبع لا يمكنه أن يجوز ذاته فيخرج عليها، </w:t>
      </w:r>
    </w:p>
    <w:p>
      <w:pPr>
        <w:pStyle w:val="BookText"/>
        <w:rPr/>
      </w:pPr>
      <w:r>
        <w:rPr>
          <w:rFonts w:ascii="IRNazanin" w:hAnsi="IRNazanin" w:eastAsia="IRNazanin"/>
          <w:color w:val="111111"/>
          <w:sz w:val="28"/>
          <w:sz w:val="28"/>
          <w:szCs w:val="28"/>
          <w:rtl w:val="true"/>
          <w:lang w:bidi="fa-IR"/>
        </w:rPr>
        <w:t>حتى كأن هذه العدالة مادة ركب منها بنیانه الجسماني نفسه في جملة ماركب منه، فإذا هي دم في دمه وروح في روحه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وحينما ركز جل وصاياه ورسائله الى الولاة بمحور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لأنه میزان العدالة الذي لا يميل الى قريب ولا يسایر نافذا ولا يجوز فيه إلا الحق</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حقق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أقام دولة العدالة الواضحة مضامينها في عهده الى الأشتر كل أمنيات البشرية وأحلامها في العيش في مجتمع فاضل عادل صالح لا مجال للظلم فيه، منطلق من مبدأ الإنسانية في التعامل مع الآخر دون أي أعتبار آخر، مشکلا </w:t>
      </w:r>
    </w:p>
    <w:p>
      <w:pPr>
        <w:pStyle w:val="BookText"/>
        <w:rPr/>
      </w:pPr>
      <w:r>
        <w:rPr>
          <w:rFonts w:ascii="IRNazanin" w:hAnsi="IRNazanin" w:eastAsia="IRNazanin"/>
          <w:color w:val="111111"/>
          <w:sz w:val="28"/>
          <w:sz w:val="28"/>
          <w:szCs w:val="28"/>
          <w:rtl w:val="true"/>
          <w:lang w:bidi="fa-IR"/>
        </w:rPr>
        <w:t xml:space="preserve">نظاما متكاملا متماسكا من خلال بيان حاجة كل فرد للآخر دون إمكانية لاستغناء أحدهما عن الآخر،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الرعية طبقات لا يصلح بعضها إلا ببعض ولا غنی ببعضها عن بعض</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عسر على الوجود ولادة هكذا دولة دون أن تنسب لشخص عظيم كعلي أبن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فمفهوم الدولة وتطوره في الفكر السياسي الغربي تطلب بحثا ووقتا طويا للارتقاء إالى مستوى تمدين الحياة المجتمعية التي سيطرت عليها الكنيسة برجالاتها المستبدين وأفكارها المتسلطة والتي ساعدت، فيما بعد، في التأهيل والتأسيس لثورة التحرر والتقاطع </w:t>
      </w:r>
    </w:p>
    <w:p>
      <w:pPr>
        <w:pStyle w:val="BookText"/>
        <w:rPr/>
      </w:pPr>
      <w:r>
        <w:rPr>
          <w:rFonts w:ascii="Amiri" w:hAnsi="Amiri" w:eastAsia="Amiri" w:cs="Amiri"/>
          <w:color w:val="111111"/>
          <w:sz w:val="28"/>
          <w:sz w:val="28"/>
          <w:szCs w:val="28"/>
          <w:rtl w:val="true"/>
          <w:lang w:bidi="ar-SA"/>
        </w:rPr>
        <w:t>مع كل فكر تسلطي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الظهور السياسي لمفهوم الدولة في التاريخ السياسي العربي كان متأخرا عن الفكر السياسي الذي لازمه، ومن ثم، لا وجود لظهور الدولة هناك كما ظهرت في التاريخ الإسلامي والتي تجسدت في البيان السياسي الذي أصدره الرسول الأعظم في يثرب والمعروف بوثيقة المدينة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بلورت الرسالة النبوية فكرة الدولة التي توضحت في الممارسات السياسية والدينية التي كان المسلمون يطلقون عليها السنة النبوية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حتى أن مشروعية الدولة وقيامها قد أدركت بالفطرة والعقل وبهما أدركوا بديهية الموضوع السياسي الملازم لتطبيق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الإسلام والملازم لتثبيت قواعد المنهج الإسلامي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مرتكز إقامة العدل كمبرر أساس الى وجود الدولة ليتم من خلال الاستناد عليه توزيع الخيرات، والوقوف بوجه الظالمين الطغاة، ومناصرة الضعفاء ورعايتهم، على أساس ذلك، تضمنت دولة العدالة في العهد الرسالي والإمامي باعتبارهما خط واحد في السياسة، الجمع ما بين العدالة والرعاية والموازنة بينهما في حالة فريدة من نوعها، لم تكن لها سابقة ولا لاحقة في التاريخ السياسي إجمالا، التي لابد من أن يكون لظلم الفقير والضعيف وإضاعة الحقوق مجالا فيه لصالح طبقة الأثرياء والأقوياء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البيت عموما كانوا قد تعاملوا مع شرائح المجتمع كافة على أساس إنساني فقط، وذلك واضحا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الذي خص رعايته لكل فئات المجتمع لاسيما الطبقة السفلى داعيا الى مشاركتها في إدارة البلاد ليطرح بذلك أسس ومبادئ عامة ليسلكها الناس ولاة وحكاما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أوصى عليه السلام مالك على أن يكون محبا للرعية محترما المشاعر الناس المنتمين لأي فئة كانت مسلمة أو من أهل الكتاب، وذلك تثبیتا لإنسانية الإسلام وتقوية لبنية النظام السياسي، وهو ما قاله عليه السلام بالنص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فأنهم صنفان، إما أخ لك في الدين، وإما نظير لك في الخلق</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xml:space="preserve">، مؤكدا أن يغمر عفوه </w:t>
      </w:r>
    </w:p>
    <w:p>
      <w:pPr>
        <w:pStyle w:val="BookText"/>
        <w:rPr/>
      </w:pPr>
      <w:r>
        <w:rPr>
          <w:rFonts w:ascii="Amiri" w:hAnsi="Amiri" w:eastAsia="Amiri" w:cs="Amiri"/>
          <w:color w:val="111111"/>
          <w:sz w:val="28"/>
          <w:sz w:val="28"/>
          <w:szCs w:val="28"/>
          <w:rtl w:val="true"/>
          <w:lang w:bidi="ar-SA"/>
        </w:rPr>
        <w:t>وصفحه الرعية،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وترضى أن يعطيك اللّٰه من عفوه و صفحه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 كما دعى عليه السلام إلى إلغاء التمييز في العطاء بين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 وأنصف الناس من نفسك، ومن خاصة أهلك ومن لك فيه هدى من رعیتك، فإنك إلا تفعل تظلم، ومن ظلم عباد اللّٰه كان اللّٰه خصمه دون عباده</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ذلك، يمكن القول،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مواقفه وآرائه وسياساته، كان منهجا فريدا في سياسة الدولة الساعية نحو تحقيق العدالة وتضمينها الرعاية لطبقات المجتمع كافة، ففي عهده الى الأشتر ذكر أمورا </w:t>
      </w:r>
    </w:p>
    <w:p>
      <w:pPr>
        <w:pStyle w:val="BookText"/>
        <w:rPr/>
      </w:pPr>
      <w:r>
        <w:rPr>
          <w:rFonts w:ascii="Amiri" w:hAnsi="Amiri" w:eastAsia="Amiri" w:cs="Amiri"/>
          <w:color w:val="111111"/>
          <w:sz w:val="28"/>
          <w:sz w:val="28"/>
          <w:szCs w:val="28"/>
          <w:rtl w:val="true"/>
          <w:lang w:bidi="ar-SA"/>
        </w:rPr>
        <w:t xml:space="preserve">كثيرة منها ما يعود الى الوالي ومنها ما يعود الى الرعية ومنها ما يعود لكليهما وذلك حينما قال في مستهل عهده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وعارة بلادها</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أفضل قرة عين الولاة استقامة العدل في البلاد، وظهور مودة الرعية</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أساس ذلك، عدت قيام دولة العدالة الرعوية العلوية ضرورة ملحة لتحقيق التوازن الاجتماعي والسياسي وكبح النوازع البشرية وتهذيبها، وفض المنازعات الحاصلة بین طبقات المجتمع ورعاية أفراد المجتمع كافة، واحتضان المحتاجين والضعفاء، الأمر الذي يؤكد الجانب الوظيفي لقيامها وممارستها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نشر الأمن وفض النزاعات و تحکیم سلطة العدل</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حيث أكد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وظيفة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حكومة ممكن أن تؤول إليها الأمور في تسييس أحوال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في أحقاق الحق وأبطال الباطل جاعلا العدل والإنصاف القضية الأساسية والمسؤولية العظمى التي ألقاها على ولاته في دولته العادلة، وهذا ما يمكن تلمسه بوضوح في عهده إلى واليه في مصر مالك الأشتر النخعي</w:t>
      </w:r>
      <w:r>
        <w:rPr>
          <w:rFonts w:eastAsia="Amiri" w:cs="Amiri" w:ascii="Amiri" w:hAnsi="Amiri"/>
          <w:color w:val="111111"/>
          <w:sz w:val="28"/>
          <w:szCs w:val="28"/>
          <w:rtl w:val="true"/>
          <w:lang w:bidi="ar-SA"/>
        </w:rPr>
        <w:t xml:space="preserve">. </w:t>
      </w:r>
      <w:bookmarkStart w:id="16" w:name="pg8011_75729"/>
    </w:p>
    <w:p>
      <w:pPr>
        <w:pStyle w:val="Heading2"/>
        <w:numPr>
          <w:ilvl w:val="1"/>
          <w:numId w:val="1"/>
        </w:numPr>
        <w:rPr/>
      </w:pPr>
      <w:bookmarkStart w:id="17" w:name="__RefHeading___Toc7127396_1051229030"/>
      <w:bookmarkStart w:id="18" w:name="_Toc6"/>
      <w:bookmarkEnd w:id="16"/>
      <w:bookmarkEnd w:id="17"/>
      <w:r>
        <w:rPr>
          <w:rtl w:val="true"/>
        </w:rPr>
        <w:t>المحور الثاني نصوص مختارة من العهد</w:t>
      </w:r>
      <w:bookmarkEnd w:id="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محاولة تفكيك نصوص وثيقة شمولية تحيط بجوانب إدارة الدولة كافة، وكيفية قيام الحاكم بهذه الإدارة، بمستوى وثيقة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لهي محاولة وإن كانت معقدة إلا أنها خطوة مهمة في التعرف على نظرية الحكم وإدارة الدولة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وفهم المنظور العقلي والإنساني الذي انطلق منه لتأسيس </w:t>
      </w:r>
    </w:p>
    <w:p>
      <w:pPr>
        <w:pStyle w:val="BookText"/>
        <w:rPr/>
      </w:pPr>
      <w:r>
        <w:rPr>
          <w:rFonts w:ascii="Amiri" w:hAnsi="Amiri" w:eastAsia="Amiri" w:cs="Amiri"/>
          <w:color w:val="111111"/>
          <w:sz w:val="28"/>
          <w:sz w:val="28"/>
          <w:szCs w:val="28"/>
          <w:rtl w:val="true"/>
          <w:lang w:bidi="ar-SA"/>
        </w:rPr>
        <w:t>دولة العدالة والرعاية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بداية لا بد من عدم الفصل بين وظيفة الحاكم ووظيفة الدولة، فالحاکم موظف خدمة عامة لدى الدولة، وقائم بوظيفتها والمسؤول عن رعايتها ورعاية الرعية والعدل بها 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مطلع العهد نقرأ العبارة أدناه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نرى أن مسألة استصلاح أهلها تصب في مضمون الرعاية، وعمارة بلادها كذلك، فعارة البلاد وجه من أوجه الرعاية بالرعية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جباية الخراج فإنها وإن كانت ذات مضامین </w:t>
      </w:r>
    </w:p>
    <w:p>
      <w:pPr>
        <w:pStyle w:val="BookText"/>
        <w:rPr/>
      </w:pPr>
      <w:r>
        <w:rPr>
          <w:rFonts w:ascii="Amiri" w:hAnsi="Amiri" w:eastAsia="Amiri" w:cs="Amiri"/>
          <w:color w:val="111111"/>
          <w:sz w:val="28"/>
          <w:sz w:val="28"/>
          <w:szCs w:val="28"/>
          <w:rtl w:val="true"/>
          <w:lang w:bidi="ar-SA"/>
        </w:rPr>
        <w:t>تتعلق بالعدالة بمختلف مضامينها الاقتصادية والاجتماعية والسياسية، فإن هذا الأمر يحقق رعاية بالدولة والمجتمع والفرد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تلمس ذلك في موضع آخر من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تفقد أمر الخراج بما يصلح أهله فإن في صلاحه وصلاحهم صلاحاً لمن سواهم، ولا صلاح لمن سواهم إلا بهم، لأن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نظرك في عمارة الأرض أبلغ من نظرك في استجلاب الخراج، لأن ذلك لا يدرك إلا بالعمارة، ومن طلب الخراج بغیر عمارة أخرب البلاد وأهلك العباد، ولم يستقم أمره إلا قليلاً، فإن شكوا ثقلاً أو علة أو انقطاع شرب أو بالة أو إحالة أرض اغتمرها غرق أو أجحف بها عطش، خففت عنهم بما ترجو أن يصلح به أمرهم، </w:t>
      </w:r>
    </w:p>
    <w:p>
      <w:pPr>
        <w:pStyle w:val="BookText"/>
        <w:rPr/>
      </w:pPr>
      <w:r>
        <w:rPr>
          <w:rFonts w:ascii="IRNazanin" w:hAnsi="IRNazanin" w:eastAsia="IRNazanin"/>
          <w:color w:val="111111"/>
          <w:sz w:val="28"/>
          <w:sz w:val="28"/>
          <w:szCs w:val="28"/>
          <w:rtl w:val="true"/>
          <w:lang w:bidi="fa-IR"/>
        </w:rPr>
        <w:t>ولا يثقلن عليك شيء خففت به المؤونة عنهم، فإنه ذخر یعودون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في رفقك بهم، فربما حدث من الأمور ما إذا عولت فيه عليهم من بعد احتملوه طيبة أنفسهم به، فإن العمران محتمل ما حملته، وإنما یؤتی خراب الأرض من إعواز أهلها، وإنما يعوز أهلها لإشراف أنفس الولاة على الجمع، وسوء ظنهم بالبقاء، وقلة انتفاعهم بالعبر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المضامين، أو الوظائف، التي ذكرت في بداية العهد، إنما تأسس لعلاقة </w:t>
      </w:r>
    </w:p>
    <w:p>
      <w:pPr>
        <w:pStyle w:val="BookText"/>
        <w:rPr/>
      </w:pPr>
      <w:r>
        <w:rPr>
          <w:rFonts w:ascii="Amiri" w:hAnsi="Amiri" w:eastAsia="Amiri" w:cs="Amiri"/>
          <w:color w:val="111111"/>
          <w:sz w:val="28"/>
          <w:sz w:val="28"/>
          <w:szCs w:val="28"/>
          <w:rtl w:val="true"/>
          <w:lang w:bidi="ar-SA"/>
        </w:rPr>
        <w:t>الحاكم بالرعية وفق معطيات الرعاية العادلة التي يجب أن تتوفر لدى صاحب السلطة واليد العليا في تسيير مقاليد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فأعطهم من عفوك وصفحك مثل الذي تحب أن يعطيك اللّٰه من عفوه و صفحه، فإنك فوقهم، ووالي الأمر عليك فوقك، واللّٰه فوق من ولاك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يرتبط معنى الرعاية هنا بإنصاف الرعية من هوى الراعي وخاصته، فالاحتكام إلى هوى النفس ومحاباة الأقربين يورث معاداة </w:t>
      </w:r>
    </w:p>
    <w:p>
      <w:pPr>
        <w:pStyle w:val="BookText"/>
        <w:rPr/>
      </w:pPr>
      <w:r>
        <w:rPr>
          <w:rFonts w:ascii="IRNazanin" w:hAnsi="IRNazanin" w:eastAsia="IRNazanin"/>
          <w:color w:val="111111"/>
          <w:sz w:val="28"/>
          <w:sz w:val="28"/>
          <w:szCs w:val="28"/>
          <w:rtl w:val="true"/>
          <w:lang w:bidi="fa-IR"/>
        </w:rPr>
        <w:t>اللّٰه و الخصومة معه والابتعاد بالأمة عن طريق الحق والعدل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أنصف الناس من نفسك ومن خاصة أهلك ومن لك فيه هوی من رعيتك، فإنك إلا تفعل تظلم، ومن ظلم عباد اللّٰه كان اللّٰه خصمه دون عباده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الحق والعدل من أوجب الأُسس التي تقوم عليها الدولة، إذ الحكم بالعدل والحق يحقق رضا الرعية ويوفر للراعي شروط الإدارة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أحب الأمور إليك أوسطها في الحق، وأعمها في العدل، وأجمعها لرضى الرعية، فإن سخط العامة يجحف برضى الخاصة، وإن سخط الخاصة يغتفر مع رضى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أحد من الرعية أثقل على الوالي مؤونة في الرخاء، وأقل معونة له في البلاء، وأكره للإنصاف، وأسأل بالإلحاف، </w:t>
      </w:r>
    </w:p>
    <w:p>
      <w:pPr>
        <w:pStyle w:val="BookText"/>
        <w:rPr/>
      </w:pPr>
      <w:r>
        <w:rPr>
          <w:rFonts w:ascii="IRNazanin" w:hAnsi="IRNazanin" w:eastAsia="IRNazanin"/>
          <w:color w:val="111111"/>
          <w:sz w:val="28"/>
          <w:sz w:val="28"/>
          <w:szCs w:val="28"/>
          <w:rtl w:val="true"/>
          <w:lang w:bidi="fa-IR"/>
        </w:rPr>
        <w:t>وأقل شكرا عند الاعطاء، وأبطأ عذرا عند المنع، وأضعف صبرا عند ملمات الدهر، 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عماد الدين وجماع المسلمين والعدة للأعداء العامة من الأمة، فلیکن صغوك لهم و ميلك معهم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ويؤدي أستحصال رضا الرعية إلى حسن ظنهم براعيهم، مما يحقق بدوره موازنة في العلاقة بين الطرفين لها في المحصلة نصيب في حسن الإدارة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ليس شئ بأدعى إلى حسن ظن را برعيته من إحسانه إليهم، وتخفيفه المؤونات عليهم، وترك استكراهه إياهم على ما ليس قبلهم، فليكن منك في ذلك أمر يجتمع لك به حسن الظن برعيتك، فإن حسن الظن يقطع عنك نصباً طويلاً، وإن أحق من حسن ظنك به لمن </w:t>
      </w:r>
    </w:p>
    <w:p>
      <w:pPr>
        <w:pStyle w:val="BookText"/>
        <w:rPr/>
      </w:pPr>
      <w:r>
        <w:rPr>
          <w:rFonts w:ascii="Amiri" w:hAnsi="Amiri" w:eastAsia="Amiri" w:cs="Amiri"/>
          <w:color w:val="111111"/>
          <w:sz w:val="28"/>
          <w:sz w:val="28"/>
          <w:szCs w:val="28"/>
          <w:rtl w:val="true"/>
          <w:lang w:bidi="ar-SA"/>
        </w:rPr>
        <w:t>حسن بلاؤك عنده، وإن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يستدعي توجه الحاكم نحو استحصال رضى الرعية بالحق والعدل، أن لا يستشير من هم يحوزون على مداني الصفات والأخلاق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سيميلون بالحاكم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على الراعي الركون إلى من يملكون شرف العلم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ذلك على الحاكم اختيار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الأفضل للبت في قضايا الرعية، وفق شروط و مزایا حددها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 ولا يتمادى في الزلة، ولا يحصر من الفيء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أكثر تعاهد قضائه، وافسح له في البذل ما يزيل علته وتقل معه حاجته إلى الناس، وأعطه من المنزلة لديك ما لا يطمع فيه غيره من خاصتك ليأمن بذلك </w:t>
      </w:r>
    </w:p>
    <w:p>
      <w:pPr>
        <w:pStyle w:val="BookText"/>
        <w:rPr/>
      </w:pPr>
      <w:r>
        <w:rPr>
          <w:rFonts w:ascii="Amiri" w:hAnsi="Amiri" w:eastAsia="Amiri" w:cs="Amiri"/>
          <w:color w:val="111111"/>
          <w:sz w:val="28"/>
          <w:sz w:val="28"/>
          <w:szCs w:val="28"/>
          <w:rtl w:val="true"/>
          <w:lang w:bidi="ar-SA"/>
        </w:rPr>
        <w:t>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اختيار الأفضل في هذا الجانب ينطلق من حقيقة إن المجتمع متنوع الطبقات والفئات، ولابد من إيجاد الروابط والصلات الصحيحة التي تؤلف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الرعية طبقات لا يصلح بعضها إلا ببعض، ولا غنی ببعضها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w:t>
      </w:r>
      <w:r>
        <w:rPr>
          <w:rFonts w:eastAsia="IRNazanin" w:cs="IRNazanin"/>
          <w:color w:val="111111"/>
          <w:sz w:val="28"/>
          <w:szCs w:val="28"/>
          <w:rtl w:val="true"/>
          <w:lang w:bidi="fa-IR"/>
        </w:rPr>
        <w:t xml:space="preserve">». </w:t>
      </w:r>
      <w:bookmarkStart w:id="19" w:name="pg8011_75750"/>
    </w:p>
    <w:p>
      <w:pPr>
        <w:pStyle w:val="Heading2"/>
        <w:numPr>
          <w:ilvl w:val="1"/>
          <w:numId w:val="1"/>
        </w:numPr>
        <w:rPr/>
      </w:pPr>
      <w:bookmarkStart w:id="20" w:name="__RefHeading___Toc7127398_1051229030"/>
      <w:bookmarkStart w:id="21" w:name="_Toc7"/>
      <w:bookmarkEnd w:id="19"/>
      <w:bookmarkEnd w:id="20"/>
      <w:r>
        <w:rPr>
          <w:rtl w:val="true"/>
        </w:rPr>
        <w:t>الخاتمة</w:t>
      </w:r>
      <w:r>
        <w:rPr>
          <w:rtl w:val="true"/>
        </w:rPr>
        <w:t>.</w:t>
      </w:r>
      <w:bookmarkEnd w:id="21"/>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لواليه على مصر مالك الأشتر، متضمناً نهجاً للحكم وإدارة الدولة ورعاية الرعية، قدم بهذا العهد صورة إنسانية متكاملة لا يشوبها هوى ولا تشوهها الشبهات، لما احتواه مضمون العهد من قيم إنسانية قبل كل شيء، قيم لا تفرق بين أبناء الرعية وفق خطوط تمييز زائفة تبتعد بصاحب السلطة عن أداء مهمته التي أوكلت إليه بالشكل الإنساني الأمثل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تضمنه العهد من منهج متكامل لإدارة الدولة، وفق مضامين العدل والرعاية، أعطته </w:t>
      </w:r>
    </w:p>
    <w:p>
      <w:pPr>
        <w:pStyle w:val="BookText"/>
        <w:rPr/>
      </w:pPr>
      <w:r>
        <w:rPr>
          <w:rFonts w:ascii="Amiri" w:hAnsi="Amiri" w:eastAsia="Amiri" w:cs="Amiri"/>
          <w:color w:val="111111"/>
          <w:sz w:val="28"/>
          <w:sz w:val="28"/>
          <w:szCs w:val="28"/>
          <w:rtl w:val="true"/>
          <w:lang w:bidi="ar-SA"/>
        </w:rPr>
        <w:t xml:space="preserve">استمرارية لم ولن تتمتع بها أي وثيقة أخرى، وقد تجلّت هذه الاستمرارية في اعتمادها، بعد ما يقارب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 الأمم المتحدة بوصفها أحد مصادر التشريع للقانون الدولي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استوقفت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العام الأسبق للأمم المتحدة كوفي أنان، ورأى بأنها عبارة يجب أن تنشدها البشرية، ونادی بوجوب أن تعلق على كل المؤسسات الحقوقية في العالم، وجعلته ينادي بأن تدرس الأجهزة الحقوقية والقانونية عهد الإمام مالك الأشتر، وترشيحه لكي يكون أحد مصادر التشريع في القانون الدولي، </w:t>
      </w:r>
    </w:p>
    <w:p>
      <w:pPr>
        <w:pStyle w:val="BookText"/>
        <w:rPr/>
      </w:pPr>
      <w:r>
        <w:rPr>
          <w:rFonts w:ascii="Amiri" w:hAnsi="Amiri" w:eastAsia="Amiri" w:cs="Amiri"/>
          <w:color w:val="111111"/>
          <w:sz w:val="28"/>
          <w:sz w:val="28"/>
          <w:szCs w:val="28"/>
          <w:rtl w:val="true"/>
          <w:lang w:bidi="ar-SA"/>
        </w:rPr>
        <w:t xml:space="preserve">وبعد مداولات استمرّت لمدّة سنتين في الأمم المتحدة صوّتت غالبية دول العالم على كون عهد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كأحد مصادر التشريع للقانون الدولي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أصدرت لجنة حقوق الإنسان في نيويورك قرارها التاريخي، أعلنت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يعتبر خليفة المسلمين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 حاکم ظهر في تاريخ البشرية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مستندة بوثائق شملت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باللغة الانجليزية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تمت دراسة هذا العهد من المختصين بالقانون الدولي وحقوق الإنسان، وبعد مرور عدة أعوام أعلنت اللجنة القانونية في الأمم المتحدة التي قامت بطرح قول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صنفان إما أخ لك في الدين أو نظير لك </w:t>
      </w:r>
    </w:p>
    <w:p>
      <w:pPr>
        <w:pStyle w:val="BookText"/>
        <w:rPr/>
      </w:pP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للتصويت، وقد مرّت عليه مراحل ثم رُشِّح للتصويت، وصوتت عليه الدول بأنه أحد مصادر التشريع في القانون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إلا أن نختم بقول الكاتب المسيحيّ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عرفت إماماً لدين يوصي ولاته بمثل هذا القول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إما أخٌ لك في الدين، أو نظير لك في الخلق، أعطِهم من عفوك وصفحك مثل الذي تحبّ أن يعطيك اللّٰه من عفوه و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جسّدت هذه العبارة كل معاني الإنسانية المتمثلة في رعاية الرعية بالعدل، والعدل بينهم في الرعاية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عليك يا سيدنا ومولانا يوم ولدت ويوم أستشهدت ويوم تبعث حيا</w:t>
      </w:r>
      <w:r>
        <w:rPr>
          <w:rFonts w:eastAsia="Amiri" w:cs="Amiri" w:ascii="Amiri" w:hAnsi="Amiri"/>
          <w:color w:val="111111"/>
          <w:sz w:val="28"/>
          <w:szCs w:val="28"/>
          <w:rtl w:val="true"/>
          <w:lang w:bidi="ar-SA"/>
        </w:rPr>
        <w:t xml:space="preserve">. </w:t>
      </w:r>
      <w:bookmarkStart w:id="22" w:name="pg8011_75758"/>
    </w:p>
    <w:p>
      <w:pPr>
        <w:pStyle w:val="Heading2"/>
        <w:numPr>
          <w:ilvl w:val="1"/>
          <w:numId w:val="1"/>
        </w:numPr>
        <w:rPr/>
      </w:pPr>
      <w:bookmarkStart w:id="23" w:name="__RefHeading___Toc7127400_1051229030"/>
      <w:bookmarkStart w:id="24" w:name="_Toc8"/>
      <w:bookmarkEnd w:id="22"/>
      <w:bookmarkEnd w:id="23"/>
      <w:r>
        <w:rPr>
          <w:rtl w:val="true"/>
        </w:rPr>
        <w:t>المصادر</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المطهري، العدل الإلهي،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 دار الفقه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علي ميزان الحق، إعداد وتنسيق صادق اليعقوبي، دار الملاك،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الساعدي، شرح رسالة الحقوق للأمام زین العابدین علیه السلام، دار المرتضی، 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الريشهري، العدل في الرؤية التوحيدية للوجود، تعريب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هاشم،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الحسون، العدل عند مذهب أهل البيت، المعاونية الثقافية للمجمع العالمي لأهل البيت عليهم السلام،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عادل عبد الرحمن البدري، معالم الفكر السياسي ونظرية الدولة في الإسلام، المجمع العالمي للتقريب بين المذاهب الاسلامية،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جورج جرداق، الأمام علي صوت العدالة الإنسانية، مشورات ذوي القربی،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شرح الشيخ محمد عبده، مؤسسة التاريخ العربي،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bookmarkStart w:id="25" w:name="pg8011_75759"/>
    </w:p>
    <w:p>
      <w:pPr>
        <w:pStyle w:val="Heading2"/>
        <w:numPr>
          <w:ilvl w:val="1"/>
          <w:numId w:val="1"/>
        </w:numPr>
        <w:rPr/>
      </w:pPr>
      <w:bookmarkStart w:id="26" w:name="__RefHeading___Toc7127402_1051229030"/>
      <w:bookmarkStart w:id="27" w:name="_Toc9"/>
      <w:bookmarkEnd w:id="25"/>
      <w:bookmarkEnd w:id="26"/>
      <w:r>
        <w:rPr>
          <w:rtl w:val="true"/>
        </w:rPr>
        <w:t>المحتويات</w:t>
      </w:r>
      <w:bookmarkEnd w:id="27"/>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العدالة والرعاية في العهد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مختارة من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العدل الإلهي،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الخاقاني، دار الفقه للطباعة والنشر، ص </w:t>
      </w:r>
      <w:r>
        <w:rPr>
          <w:rFonts w:eastAsia="IRNazanin" w:cs="IRNazanin"/>
          <w:b w:val="false"/>
          <w:bCs w:val="false"/>
          <w:i w:val="false"/>
          <w:iCs w:val="false"/>
          <w:color w:val="333333"/>
          <w:sz w:val="20"/>
          <w:szCs w:val="20"/>
        </w:rPr>
        <w:t>46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علي ميزان الحق، إعداد وتنسيق صادق اليعقوبي، دار الملاك،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الساعدي، شرح رسالة الحقوق للأمام زین العابدین علیه السلام، دار المرتضى، بيروت، </w:t>
      </w:r>
      <w:r>
        <w:rPr>
          <w:rFonts w:eastAsia="IRNazanin" w:cs="IRNazanin"/>
          <w:b w:val="false"/>
          <w:bCs w:val="false"/>
          <w:i w:val="false"/>
          <w:iCs w:val="false"/>
          <w:color w:val="333333"/>
          <w:sz w:val="20"/>
          <w:szCs w:val="20"/>
        </w:rPr>
        <w:t>2005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العدل في الرؤية التوحيدية للوجود، تعريب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هاشم، دار الحديث</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الحسون، العدل عند مذهب أهل البيت، المعاونية الثقافية للمجمع العالمي لأهل البيت عليهم السلام،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 الرحمن البدري، معالم الفكر السياسي ونظرية الدولة في الإسلام، المجمع العالمي للتقريب بين المذاهب الاسلامية،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الأمام علي صوت العدالة الإنسانية، مشورات ذوي القربی،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مؤسسة التاريخ العربي،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 الرحمن البدري، مصدر سبق ذكره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مصدر سبق ذكره، ص </w:t>
      </w:r>
      <w:r>
        <w:rPr>
          <w:rFonts w:eastAsia="IRNazanin" w:cs="IRNazanin"/>
          <w:b w:val="false"/>
          <w:bCs w:val="false"/>
          <w:i w:val="false"/>
          <w:iCs w:val="false"/>
          <w:color w:val="333333"/>
          <w:sz w:val="20"/>
          <w:szCs w:val="20"/>
        </w:rPr>
        <w:t>458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عبد الرحمن البدري، مصدر سبق ذكره، ص </w:t>
      </w:r>
      <w:r>
        <w:rPr>
          <w:rFonts w:eastAsia="IRNazanin" w:cs="IRNazanin"/>
          <w:b w:val="false"/>
          <w:bCs w:val="false"/>
          <w:i w:val="false"/>
          <w:iCs w:val="false"/>
          <w:color w:val="333333"/>
          <w:sz w:val="20"/>
          <w:szCs w:val="20"/>
        </w:rPr>
        <w:t>242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3918</Words>
  <Characters>18403</Characters>
  <CharactersWithSpaces>22176</CharactersWithSpaces>
  <Paragraphs>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2026-08-27T13:50:55Z</dcterms:created>
  <dc:creator>ghaemiyeh.com</dc:creator>
  <dc:description/>
  <dc:language>en-US</dc:language>
  <cp:lastModifiedBy/>
  <dcterms:modified xsi:type="dcterms:W3CDTF">2026-08-27T17:20:57Z</dcterms:modified>
  <cp:revision>1</cp:revision>
  <dc:subject/>
  <dc:title>الموازنة بین العدالة والرعایة فی عهد الإمام علی علیه السلام لمالک الأشتر رضی اللّٰه عنه</dc:title>
</cp:coreProperties>
</file>

<file path=docProps/custom.xml><?xml version="1.0" encoding="utf-8"?>
<Properties xmlns="http://schemas.openxmlformats.org/officeDocument/2006/custom-properties" xmlns:vt="http://schemas.openxmlformats.org/officeDocument/2006/docPropsVTypes"/>
</file>