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عید امامت و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6289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3476291_372815092">
            <w:r>
              <w:rPr>
                <w:webHidden/>
                <w:rStyle w:val="IndexLink"/>
                <w:rtl w:val="true"/>
              </w:rPr>
              <w:t>غدیر خم عید امامت و ولایت</w:t>
            </w:r>
            <w:r>
              <w:rPr>
                <w:rStyle w:val="IndexLink"/>
                <w:rtl w:val="true"/>
              </w:rPr>
              <w:tab/>
            </w:r>
            <w:r>
              <w:rPr>
                <w:rStyle w:val="IndexLink"/>
              </w:rPr>
              <w:t>4</w:t>
            </w:r>
          </w:hyperlink>
        </w:p>
        <w:p>
          <w:pPr>
            <w:pStyle w:val="Contents2"/>
            <w:tabs>
              <w:tab w:val="clear" w:pos="8743"/>
              <w:tab w:val="right" w:pos="9026" w:leader="dot"/>
            </w:tabs>
            <w:rPr/>
          </w:pPr>
          <w:hyperlink w:anchor="__RefHeading___Toc3476293_372815092">
            <w:r>
              <w:rPr>
                <w:webHidden/>
                <w:rStyle w:val="IndexLink"/>
                <w:rtl w:val="true"/>
              </w:rPr>
              <w:t xml:space="preserve">پیامبر </w:t>
            </w:r>
            <w:r>
              <w:rPr>
                <w:rStyle w:val="IndexLink"/>
                <w:rtl w:val="true"/>
              </w:rPr>
              <w:t>(</w:t>
            </w:r>
            <w:r>
              <w:rPr>
                <w:rStyle w:val="IndexLink"/>
                <w:rtl w:val="true"/>
              </w:rPr>
              <w:t>ص</w:t>
            </w:r>
            <w:r>
              <w:rPr>
                <w:rStyle w:val="IndexLink"/>
                <w:rtl w:val="true"/>
              </w:rPr>
              <w:t xml:space="preserve">) </w:t>
            </w:r>
            <w:r>
              <w:rPr>
                <w:rStyle w:val="IndexLink"/>
                <w:rtl w:val="true"/>
              </w:rPr>
              <w:t>رهبر جامعه جهانى اسلام</w:t>
            </w:r>
            <w:r>
              <w:rPr>
                <w:rStyle w:val="IndexLink"/>
                <w:rtl w:val="true"/>
              </w:rPr>
              <w:tab/>
            </w:r>
            <w:r>
              <w:rPr>
                <w:rStyle w:val="IndexLink"/>
              </w:rPr>
              <w:t>5</w:t>
            </w:r>
          </w:hyperlink>
        </w:p>
        <w:p>
          <w:pPr>
            <w:pStyle w:val="Contents2"/>
            <w:tabs>
              <w:tab w:val="clear" w:pos="8743"/>
              <w:tab w:val="right" w:pos="9026" w:leader="dot"/>
            </w:tabs>
            <w:rPr/>
          </w:pPr>
          <w:hyperlink w:anchor="__RefHeading___Toc3476295_372815092">
            <w:r>
              <w:rPr>
                <w:webHidden/>
                <w:rStyle w:val="IndexLink"/>
                <w:rtl w:val="true"/>
              </w:rPr>
              <w:t>سرگذشت غدیر</w:t>
            </w:r>
            <w:r>
              <w:rPr>
                <w:rStyle w:val="IndexLink"/>
                <w:rtl w:val="true"/>
              </w:rPr>
              <w:tab/>
            </w:r>
            <w:r>
              <w:rPr>
                <w:rStyle w:val="IndexLink"/>
              </w:rPr>
              <w:t>6</w:t>
            </w:r>
          </w:hyperlink>
        </w:p>
        <w:p>
          <w:pPr>
            <w:pStyle w:val="Contents2"/>
            <w:tabs>
              <w:tab w:val="clear" w:pos="8743"/>
              <w:tab w:val="right" w:pos="9026" w:leader="dot"/>
            </w:tabs>
            <w:rPr/>
          </w:pPr>
          <w:hyperlink w:anchor="__RefHeading___Toc3476297_372815092">
            <w:r>
              <w:rPr>
                <w:webHidden/>
                <w:rStyle w:val="IndexLink"/>
                <w:rtl w:val="true"/>
              </w:rPr>
              <w:t>بررسى و تحلیل تازه اى در آیه تبلیغ</w:t>
            </w:r>
            <w:r>
              <w:rPr>
                <w:rStyle w:val="IndexLink"/>
                <w:rtl w:val="true"/>
              </w:rPr>
              <w:tab/>
            </w:r>
            <w:r>
              <w:rPr>
                <w:rStyle w:val="IndexLink"/>
              </w:rPr>
              <w:t>9</w:t>
            </w:r>
          </w:hyperlink>
        </w:p>
        <w:p>
          <w:pPr>
            <w:pStyle w:val="Contents2"/>
            <w:tabs>
              <w:tab w:val="clear" w:pos="8743"/>
              <w:tab w:val="right" w:pos="9026" w:leader="dot"/>
            </w:tabs>
            <w:rPr/>
          </w:pPr>
          <w:hyperlink w:anchor="__RefHeading___Toc3476299_372815092">
            <w:r>
              <w:rPr>
                <w:webHidden/>
                <w:rStyle w:val="IndexLink"/>
                <w:rtl w:val="true"/>
              </w:rPr>
              <w:t>ولایت، اكمال دین</w:t>
            </w:r>
            <w:r>
              <w:rPr>
                <w:rStyle w:val="IndexLink"/>
                <w:rtl w:val="true"/>
              </w:rPr>
              <w:tab/>
            </w:r>
            <w:r>
              <w:rPr>
                <w:rStyle w:val="IndexLink"/>
              </w:rPr>
              <w:t>10</w:t>
            </w:r>
          </w:hyperlink>
        </w:p>
        <w:p>
          <w:pPr>
            <w:pStyle w:val="Contents2"/>
            <w:tabs>
              <w:tab w:val="clear" w:pos="8743"/>
              <w:tab w:val="right" w:pos="9026" w:leader="dot"/>
            </w:tabs>
            <w:rPr/>
          </w:pPr>
          <w:hyperlink w:anchor="__RefHeading___Toc3476301_372815092">
            <w:r>
              <w:rPr>
                <w:webHidden/>
                <w:rStyle w:val="IndexLink"/>
                <w:rtl w:val="true"/>
              </w:rPr>
              <w:t xml:space="preserve">تفسیر </w:t>
            </w:r>
            <w:r>
              <w:rPr>
                <w:rStyle w:val="IndexLink"/>
                <w:rtl w:val="true"/>
              </w:rPr>
              <w:t>«</w:t>
            </w:r>
            <w:r>
              <w:rPr>
                <w:rStyle w:val="IndexLink"/>
                <w:rtl w:val="true"/>
              </w:rPr>
              <w:t>ولایت و مولى</w:t>
            </w:r>
            <w:r>
              <w:rPr>
                <w:rStyle w:val="IndexLink"/>
                <w:rtl w:val="true"/>
              </w:rPr>
              <w:t>»</w:t>
              <w:tab/>
            </w:r>
            <w:r>
              <w:rPr>
                <w:rStyle w:val="IndexLink"/>
              </w:rPr>
              <w:t>10</w:t>
            </w:r>
          </w:hyperlink>
        </w:p>
        <w:p>
          <w:pPr>
            <w:pStyle w:val="Contents2"/>
            <w:tabs>
              <w:tab w:val="clear" w:pos="8743"/>
              <w:tab w:val="right" w:pos="9026" w:leader="dot"/>
            </w:tabs>
            <w:rPr/>
          </w:pPr>
          <w:hyperlink w:anchor="__RefHeading___Toc3476303_372815092">
            <w:r>
              <w:rPr>
                <w:webHidden/>
                <w:rStyle w:val="IndexLink"/>
                <w:rtl w:val="true"/>
              </w:rPr>
              <w:t>منابع</w:t>
            </w:r>
            <w:r>
              <w:rPr>
                <w:rStyle w:val="IndexLink"/>
                <w:rtl w:val="true"/>
              </w:rPr>
              <w:tab/>
            </w:r>
            <w:r>
              <w:rPr>
                <w:rStyle w:val="IndexLink"/>
              </w:rPr>
              <w:t>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89_72213"/>
      <w:bookmarkStart w:id="1" w:name="pg7089_72213"/>
      <w:bookmarkEnd w:id="1"/>
    </w:p>
    <w:p>
      <w:pPr>
        <w:pStyle w:val="Heading2"/>
        <w:numPr>
          <w:ilvl w:val="1"/>
          <w:numId w:val="1"/>
        </w:numPr>
        <w:rPr/>
      </w:pPr>
      <w:bookmarkStart w:id="2" w:name="pg7089_72213"/>
      <w:bookmarkStart w:id="3" w:name="__RefHeading___Toc3476289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غدیر عید امامت و ولایت</w:t>
      </w:r>
    </w:p>
    <w:p>
      <w:pPr>
        <w:pStyle w:val="BookText"/>
        <w:rPr/>
      </w:pPr>
      <w:r>
        <w:rPr>
          <w:rFonts w:ascii="IRNazanin" w:hAnsi="IRNazanin" w:eastAsia="IRNazanin"/>
          <w:color w:val="111111"/>
          <w:sz w:val="28"/>
          <w:sz w:val="28"/>
          <w:szCs w:val="28"/>
          <w:rtl w:val="true"/>
          <w:lang w:bidi="fa-IR"/>
        </w:rPr>
        <w:t>مقالات ›</w:t>
      </w:r>
    </w:p>
    <w:p>
      <w:pPr>
        <w:pStyle w:val="BookText"/>
        <w:rPr/>
      </w:pPr>
      <w:r>
        <w:rPr>
          <w:rFonts w:ascii="IRNazanin" w:hAnsi="IRNazanin" w:eastAsia="IRNazanin"/>
          <w:color w:val="111111"/>
          <w:sz w:val="28"/>
          <w:sz w:val="28"/>
          <w:szCs w:val="28"/>
          <w:rtl w:val="true"/>
          <w:lang w:bidi="fa-IR"/>
        </w:rPr>
        <w:t>عقاید ›</w:t>
      </w:r>
    </w:p>
    <w:p>
      <w:pPr>
        <w:pStyle w:val="BookText"/>
        <w:rPr/>
      </w:pP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صرفه جو</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6291_372815092"/>
      <w:bookmarkStart w:id="6" w:name="_Toc2"/>
      <w:bookmarkEnd w:id="5"/>
      <w:r>
        <w:rPr>
          <w:rtl w:val="true"/>
        </w:rPr>
        <w:t>غدیر خم عید امامت و ولایت</w:t>
      </w:r>
      <w:bookmarkStart w:id="7" w:name="pg7089_72214"/>
      <w:bookmarkEnd w:id="6"/>
    </w:p>
    <w:p>
      <w:pPr>
        <w:pStyle w:val="BookText"/>
        <w:rPr/>
      </w:pPr>
      <w:bookmarkEnd w:id="7"/>
      <w:r>
        <w:rPr>
          <w:rFonts w:ascii="IRNazanin" w:hAnsi="IRNazanin" w:eastAsia="IRNazanin"/>
          <w:color w:val="111111"/>
          <w:sz w:val="28"/>
          <w:sz w:val="28"/>
          <w:szCs w:val="28"/>
          <w:rtl w:val="true"/>
          <w:lang w:bidi="fa-IR"/>
        </w:rPr>
        <w:t>خلافت از نظر دانشمندان شیعه، یك منصب الهى است كه از جانب خداوند به بافضیلت ترین و داناترین امت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عنوان برقرار كننده حكومت و زمامدارى، مبین و بازگو كننده آئین اسلام است كه پیامبر خدا، بر اثر نبودن فرصت و یا نامساعد بودن شرایط، موفق به بیان آنها نشده و بیان آن را به عهده اوصیاى خود نهاده است، اما خلافت از نظر دانشمندان اهل تسنن، یك منصب عرفى و عادى است و هدف از این مقام، جز حفظ كیان و شئون مادى مسلمانان چیزى نیست و خلیفه وقت براى اداره امور اقتصادى، سیاسى و قضایى از طریق مراجعه به افكار عمومى انتخاب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شیعه امام شرایطى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معصوم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فرد نسبت به شریعت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یك مقام انتصابى است نه انتخابى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دوازده امامى، بر آن است كه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جهان اسلام، با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با یازده فرزند پاكش است</w:t>
      </w:r>
      <w:r>
        <w:rPr>
          <w:rFonts w:eastAsia="IRNazanin" w:cs="IRNazanin"/>
          <w:color w:val="111111"/>
          <w:sz w:val="28"/>
          <w:szCs w:val="28"/>
          <w:rtl w:val="true"/>
          <w:lang w:bidi="fa-IR"/>
        </w:rPr>
        <w:t>.</w:t>
      </w:r>
    </w:p>
    <w:p>
      <w:pPr>
        <w:pStyle w:val="Heading2"/>
        <w:numPr>
          <w:ilvl w:val="1"/>
          <w:numId w:val="1"/>
        </w:numPr>
        <w:rPr/>
      </w:pPr>
      <w:bookmarkStart w:id="8" w:name="__RefHeading___Toc3476293_372815092"/>
      <w:bookmarkStart w:id="9" w:name="_Toc3"/>
      <w:bookmarkEnd w:id="8"/>
      <w:r>
        <w:rPr>
          <w:rtl w:val="true"/>
        </w:rPr>
        <w:t xml:space="preserve">پیامبر </w:t>
      </w:r>
      <w:r>
        <w:rPr>
          <w:rtl w:val="true"/>
        </w:rPr>
        <w:t>(</w:t>
      </w:r>
      <w:r>
        <w:rPr>
          <w:rtl w:val="true"/>
        </w:rPr>
        <w:t>ص</w:t>
      </w:r>
      <w:r>
        <w:rPr>
          <w:rtl w:val="true"/>
        </w:rPr>
        <w:t xml:space="preserve">) </w:t>
      </w:r>
      <w:r>
        <w:rPr>
          <w:rtl w:val="true"/>
        </w:rPr>
        <w:t>رهبر جامعه جهانى اسلام</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گرامى كه رهبر جامعه جهانى اسلام بود، بر همین روال عمل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براى نخستین بار، فروغ اسلام مى تابید، هرچند هم كوچك، آن گرامى، حاكمى شایسته بر آن مى گماشت تا زمام امور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لشكرهایى كه به جهاد اعزام مى كرد، فرمانده سپاه معین مى فرمود و گاه چند نفر</w:t>
      </w:r>
      <w:bookmarkStart w:id="10" w:name="pg7089_72215"/>
    </w:p>
    <w:p>
      <w:pPr>
        <w:pStyle w:val="BookText"/>
        <w:rPr/>
      </w:pPr>
      <w:bookmarkEnd w:id="10"/>
      <w:r>
        <w:rPr>
          <w:rFonts w:ascii="IRNazanin" w:hAnsi="IRNazanin" w:eastAsia="IRNazanin"/>
          <w:color w:val="111111"/>
          <w:sz w:val="28"/>
          <w:sz w:val="28"/>
          <w:szCs w:val="28"/>
          <w:rtl w:val="true"/>
          <w:lang w:bidi="fa-IR"/>
        </w:rPr>
        <w:t>را به ترتیب معاون آن فرمانده قرار مى داد تا اگر یكى كشته شود، سپاه بى سرپرست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كسانى را مى شناسیم كه آن گرامى به هنگام مسافرت از مدینه آنان را به عنوان جانشین و نماینده خویش مى گمارد تا مدینه در غیبت آن بزرگ، بى زمامدار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كدامین سوى از این احتمال ها كه مى شماریم با خرد راست مى آید؟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جامعه مسلمین، پس از خویش، اهمیتى قائل نبود؟ و یا لایق ترین جانشین را نمى شناخت؟ شیعه امامیه با توجه به این حقایق، به پى جویى در متون و مدرك هاى نخستین و اصلى اسلام مى پردازد و در این پى جویى، به منابع سرشار بر مى خورد و سرانجام به این نتیجه مى رسد كه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هاى روشن در زمینه تعیین جانشین رسیده و 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آیه ولایت، حدیث، غدیر، حدیث سفینه، حدیث ثقلین، حدیث منزلت، حدیث دعوت عشیره و دیگر چیزهایى كه در كتاب بزرگ به گستردگى به محك و بحث و تحقیق گذاشته شده است</w:t>
      </w:r>
      <w:r>
        <w:rPr>
          <w:rFonts w:eastAsia="IRNazanin" w:cs="IRNazanin"/>
          <w:color w:val="111111"/>
          <w:sz w:val="28"/>
          <w:szCs w:val="28"/>
          <w:rtl w:val="true"/>
          <w:lang w:bidi="fa-IR"/>
        </w:rPr>
        <w:t>.</w:t>
      </w:r>
    </w:p>
    <w:p>
      <w:pPr>
        <w:pStyle w:val="Heading2"/>
        <w:numPr>
          <w:ilvl w:val="1"/>
          <w:numId w:val="1"/>
        </w:numPr>
        <w:rPr/>
      </w:pPr>
      <w:bookmarkStart w:id="11" w:name="__RefHeading___Toc3476295_372815092"/>
      <w:bookmarkStart w:id="12" w:name="_Toc4"/>
      <w:bookmarkEnd w:id="11"/>
      <w:r>
        <w:rPr>
          <w:rtl w:val="true"/>
        </w:rPr>
        <w:t>سرگذشت غدیر</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دهم هجرت، مدینه را به قصد مكه براى انجام مراسم حج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در آخرین سال عمر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به همین جهت در تاریخ، آن را حجة الوداع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پیامبر را كه به شوق همسفرى با آن حضرت و دیدن و فراگرفتن حجى درست، به ركابش شتافته بودند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مهمى ایراد كردند و در آن مردم را به</w:t>
      </w:r>
    </w:p>
    <w:p>
      <w:pPr>
        <w:pStyle w:val="BookText"/>
        <w:rPr/>
      </w:pPr>
      <w:r>
        <w:rPr>
          <w:rFonts w:ascii="IRNazanin" w:hAnsi="IRNazanin" w:eastAsia="IRNazanin"/>
          <w:color w:val="111111"/>
          <w:sz w:val="28"/>
          <w:sz w:val="28"/>
          <w:szCs w:val="28"/>
          <w:rtl w:val="true"/>
          <w:lang w:bidi="fa-IR"/>
        </w:rPr>
        <w:t>تقوا و رعایت حقوق یكدیگر سفارش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مدینه فرشته وحى نازل شد و مأموریتى خطیر به 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آیه اى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الرسول بلغ ما انزل الیك من ربك و ان لم تفعل فما بلغت رسالته والله یعصمك من الناس ان الله لایهدى القوم الكافرین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آنچه كه از جانب پروردگارت به سوى تو فرود آمده، به مردم برسان و اگر نرسانى رسالت خود را انجام نداده اى و خداوند تو را از گزند 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كاروان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در نقطه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آنها كه جلوتر رفته اند، برگردند و آنها كه پشت سر هستند، خود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توقف هنگامى صادر شد كه هوا به شدت گرم بود، به طورى كه مردم قسمتى از رداى خود را بر سر و قسمتى را زیر پا افكنده بودند و بدین طریق خود را از اشعه سوزان خورشید در امان نگه مى داشتند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بلندى از جهاز شتران ترتیب دادند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آن رفت و با صداى رسا خطبه اى به شرح زیر ایراد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كمك مى جوییم و به او ایمان داریم و بر او توكل مى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 هاى خود و اعمال ناشایست خویش به او پناه مى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خدایى كه جز او هادى و راهنمایى نیست، هر كس را كه هدایت كرد، گمراه كننده اى براى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دهیم كه جز او خدایى نیست و محمد بنده خدا و</w:t>
      </w:r>
    </w:p>
    <w:p>
      <w:pPr>
        <w:pStyle w:val="BookText"/>
        <w:rPr/>
      </w:pPr>
      <w:r>
        <w:rPr>
          <w:rFonts w:ascii="IRNazanin" w:hAnsi="IRNazanin" w:eastAsia="IRNazanin"/>
          <w:color w:val="111111"/>
          <w:sz w:val="28"/>
          <w:sz w:val="28"/>
          <w:szCs w:val="28"/>
          <w:rtl w:val="true"/>
          <w:lang w:bidi="fa-IR"/>
        </w:rPr>
        <w:t>فرستاده اوست و پس از ستایش خداوند، چنین ادامه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شما، هر دو، مسئولیم، چه مى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صداى جمعیت به تصدیق بلند شد و گفتند ما گواهى مى دهیم كه تو رسالت خود را انجام دادى، و كوشش كردى خدا تو را پاداش نیك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گواهى نمى دهید كه معبودى جز خدا نیست و محمدبنده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و مرگ حق است و روز رستاخیز فرا خواهد رسید و خداوند افرادى را كه در دل خاك مدفون شده اند، زنده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دوچیز گرانبها و سنگین به یادگار مى گذارم، چگونه با آنها معامله خواهید كرد؟ یك نفر از بین جمعیت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مقصودت از این دو چیز گرانبها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كتاب خدا كه یك طرف آن در دست خدا، و طرف دیگر آن در دست شماست، و دیگرى عترت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كه این دو یادگار، هرگز از هم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و عترت من پیشى نگیرید، و در عمل به هر دو، كوتاهى نورزید كه هلاك 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آنقدر بلند كرد كه سفیدى زیر بازوى هر دو براى مردم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همه مردم معرفى كرد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ترین فرد بر مؤمنان از خود آنها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از او بهتر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من و من مولاى</w:t>
      </w:r>
      <w:bookmarkStart w:id="13" w:name="pg7089_72218"/>
    </w:p>
    <w:p>
      <w:pPr>
        <w:pStyle w:val="BookText"/>
        <w:rPr/>
      </w:pPr>
      <w:bookmarkEnd w:id="13"/>
      <w:r>
        <w:rPr>
          <w:rFonts w:ascii="IRNazanin" w:hAnsi="IRNazanin" w:eastAsia="IRNazanin"/>
          <w:color w:val="111111"/>
          <w:sz w:val="28"/>
          <w:sz w:val="28"/>
          <w:szCs w:val="28"/>
          <w:rtl w:val="true"/>
          <w:lang w:bidi="fa-IR"/>
        </w:rPr>
        <w:t>مؤمنان هستم و بر خود آنها سزاوارتر مى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صداى رسا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سه بار </w:t>
      </w:r>
      <w:r>
        <w:rPr>
          <w:rStyle w:val="FootnoteAnchor"/>
          <w:rtl w:val="true"/>
        </w:rPr>
        <w:footnoteReference w:id="3"/>
      </w:r>
      <w:r>
        <w:rPr>
          <w:rFonts w:ascii="IRNazanin" w:hAnsi="IRNazanin" w:eastAsia="IRNazanin"/>
          <w:color w:val="111111"/>
          <w:sz w:val="28"/>
          <w:sz w:val="28"/>
          <w:szCs w:val="28"/>
          <w:rtl w:val="true"/>
          <w:lang w:bidi="fa-IR"/>
        </w:rPr>
        <w:t xml:space="preserve">و به قول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ائمه اربعه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تكرار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كس على را دوست بدارد، دوست بدار و هركس على را دشمن بدارد، دشمن بدار، خدایا یاران على را یارى كن و دشمنان او را خوار و ذلیل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على را محور حق قرار بده</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14" w:name="__RefHeading___Toc3476297_372815092"/>
      <w:bookmarkStart w:id="15" w:name="_Toc5"/>
      <w:bookmarkEnd w:id="14"/>
      <w:r>
        <w:rPr>
          <w:rtl w:val="true"/>
        </w:rPr>
        <w:t>بررسى و تحلیل تازه اى در آیه تبلیغ</w:t>
      </w:r>
      <w:bookmarkEnd w:id="15"/>
    </w:p>
    <w:p>
      <w:pPr>
        <w:pStyle w:val="BookText"/>
        <w:rPr/>
      </w:pPr>
      <w:r>
        <w:rPr>
          <w:rFonts w:ascii="IRNazanin" w:hAnsi="IRNazanin" w:eastAsia="IRNazanin"/>
          <w:color w:val="111111"/>
          <w:sz w:val="28"/>
          <w:sz w:val="28"/>
          <w:szCs w:val="28"/>
          <w:rtl w:val="true"/>
          <w:lang w:bidi="fa-IR"/>
        </w:rPr>
        <w:t>ما اگر از تمامى روایاتى كه درباره شأن نزول آیه فوق، و همچنین روایاتى كه درباره داستان غدیر آمده است، صرف نظر كنیم و تنها به محتواى خود آیه و آیات بعد از آن نظر دقیق كنیم، مى توانیم از عمق این آیات وظیفه خود را در برابر مسأله خلافت و جانشینى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ویژگى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اى كه از نظر اسلام فوق العاده اهمیت داشته است تا آنجا كه به پیامبر دستور داده مى شود آن را ابلاغ كند، و اگر ابلاغ نكند رسالت پروردگار را ابلاغ نكرده است، و به تعبیر دیگر چیزى بوده است همسنگ مسأله نبوت كه اگر انجام نشود، رسالت پیامبر ناتمام 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آیه نشان مى دهد كه مسأله مورد نظر آیه، مسأله اى بوده است كه بعضى در برابر آن موضعگیرى سختى داشته اند تا آنجا كه ممكن بوده است،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6" w:name="pg7089_72219"/>
    </w:p>
    <w:p>
      <w:pPr>
        <w:pStyle w:val="BookText"/>
        <w:rPr/>
      </w:pPr>
      <w:bookmarkEnd w:id="16"/>
      <w:r>
        <w:rPr>
          <w:rFonts w:ascii="IRNazanin" w:hAnsi="IRNazanin" w:eastAsia="IRNazanin"/>
          <w:color w:val="111111"/>
          <w:sz w:val="28"/>
          <w:sz w:val="28"/>
          <w:szCs w:val="28"/>
          <w:rtl w:val="true"/>
          <w:lang w:bidi="fa-IR"/>
        </w:rPr>
        <w:t>خاطر آن به خطر بیفتد و لذا خداوند حمایت خاص خود را از پیامبرش در این باره بخصوص اعلام مى دارد و به او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مردم و خطرات احتمالى آنها محفوظ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حتماً مربوط به نماز و روزه و حج و جهاد و زكات و امثال آن از اركان تعلیمات اسلام نبوده است، چرا كه آیه در سوره مائده است و مى دانیم سوره مائده آخرین سوره اى است كه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اواخر عمر پربار پیامبر بود كه تمام اركان مهم اسلام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آیات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گانه نشان مى دهد كه منظور از آن چیزى جز ابلاغ خلافت و جانشینى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Heading2"/>
        <w:numPr>
          <w:ilvl w:val="1"/>
          <w:numId w:val="1"/>
        </w:numPr>
        <w:rPr/>
      </w:pPr>
      <w:bookmarkStart w:id="17" w:name="__RefHeading___Toc3476299_372815092"/>
      <w:bookmarkStart w:id="18" w:name="_Toc6"/>
      <w:bookmarkEnd w:id="17"/>
      <w:r>
        <w:rPr>
          <w:rtl w:val="true"/>
        </w:rPr>
        <w:t>ولایت، اكمال دین</w:t>
      </w:r>
      <w:bookmarkEnd w:id="18"/>
    </w:p>
    <w:p>
      <w:pPr>
        <w:pStyle w:val="BookText"/>
        <w:rPr/>
      </w:pPr>
      <w:r>
        <w:rPr>
          <w:rFonts w:ascii="IRNazanin" w:hAnsi="IRNazanin" w:eastAsia="IRNazanin"/>
          <w:color w:val="111111"/>
          <w:sz w:val="28"/>
          <w:sz w:val="28"/>
          <w:szCs w:val="28"/>
          <w:rtl w:val="true"/>
          <w:lang w:bidi="fa-IR"/>
        </w:rPr>
        <w:t>در همان روز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ایراد فرمود، جبرئیل فرود آمد و به پیامبر چنین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اكملت لكم دینكم و اتممت علیكم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امروز آئین خود را تكمیل كرد و نعمت خویش را بر جامعه با ایمان به تمامى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صداى تكبیر پیامبر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كه آئین خود را تكمیل گردانید و نعمت خود را به پایان رسانید و از رسالت من و ولایت على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تبریك گفتند و او را مولاى هر مرد و زن باایمان مى خواندند</w:t>
      </w:r>
      <w:r>
        <w:rPr>
          <w:rFonts w:eastAsia="IRNazanin" w:cs="IRNazanin"/>
          <w:color w:val="111111"/>
          <w:sz w:val="28"/>
          <w:szCs w:val="28"/>
          <w:rtl w:val="true"/>
          <w:lang w:bidi="fa-IR"/>
        </w:rPr>
        <w:t>.</w:t>
      </w:r>
    </w:p>
    <w:p>
      <w:pPr>
        <w:pStyle w:val="Heading2"/>
        <w:numPr>
          <w:ilvl w:val="1"/>
          <w:numId w:val="1"/>
        </w:numPr>
        <w:rPr/>
      </w:pPr>
      <w:bookmarkStart w:id="19" w:name="__RefHeading___Toc3476301_372815092"/>
      <w:bookmarkStart w:id="20" w:name="_Toc7"/>
      <w:bookmarkEnd w:id="19"/>
      <w:r>
        <w:rPr>
          <w:rtl w:val="true"/>
        </w:rPr>
        <w:t xml:space="preserve">تفسیر </w:t>
      </w:r>
      <w:r>
        <w:rPr>
          <w:rtl w:val="true"/>
        </w:rPr>
        <w:t>«</w:t>
      </w:r>
      <w:r>
        <w:rPr>
          <w:rtl w:val="true"/>
        </w:rPr>
        <w:t>ولایت و مولى</w:t>
      </w:r>
      <w:r>
        <w:rPr>
          <w:rtl w:val="true"/>
        </w:rPr>
        <w:t>»</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غدیر حدیث متواتر غدیر را اجمالاً دانستیم و جمله معروف پیامبر كه در همه كتاب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بسیارى</w:t>
      </w:r>
    </w:p>
    <w:p>
      <w:pPr>
        <w:pStyle w:val="BookText"/>
        <w:rPr/>
      </w:pPr>
      <w:r>
        <w:rPr>
          <w:rFonts w:ascii="IRNazanin" w:hAnsi="IRNazanin" w:eastAsia="IRNazanin"/>
          <w:color w:val="111111"/>
          <w:sz w:val="28"/>
          <w:sz w:val="28"/>
          <w:szCs w:val="28"/>
          <w:rtl w:val="true"/>
          <w:lang w:bidi="fa-IR"/>
        </w:rPr>
        <w:t>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بسیارى از نویسندگان اهل سنت اصرار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كنند، زیرا یكى از معانى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قبول داریم كه یكى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و یار و یاور است، ولى قرائن متعددى در كار است كه نشان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بالا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و رهبر است، این قرائن به طور فشرده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مؤمنان، مطالب مخفى و پنهان و پیچیده اى نبود كه به این همه تأكید و بیان نیاز داشته باشد و احتیاج به متوقف ساختن آن قافله عظیم در وسط بیابان خشك و سوزان و خطبه خواندن و گرفتن اعتراف هاى پى در پى از جمعیت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نسبت به شما از خود شما سزاوارتر و اولى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بسیارى از متون این روایات آمده است، هیچ تناسبى با یك دوستى ساده ندارد، بلكه مى خواهد بگوید، همان اولویت و اختیارى كه من نسبت به شما دارم و پیشوا و سرپرست شما هستم،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هر گونه تفسیرى براى این جمله غیر از آنچه گفته شده دور از واقع بینى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تبریك هایى كه از سوى این واقعه تاریخى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مخصوصاً تبریكى كه عمر و ابوبكر به او گفتند، نشان مى دهد مسأله چیزى جز نصب خلافت نبوده است كه در خور تبریك و تهنیت باشد، زیرا اعلام دوستى كه براى همه مسلمانان به طور عموم ثابت</w:t>
      </w:r>
    </w:p>
    <w:p>
      <w:pPr>
        <w:pStyle w:val="BookText"/>
        <w:rPr/>
      </w:pPr>
      <w:r>
        <w:rPr>
          <w:rFonts w:ascii="IRNazanin" w:hAnsi="IRNazanin" w:eastAsia="IRNazanin"/>
          <w:color w:val="111111"/>
          <w:sz w:val="28"/>
          <w:sz w:val="28"/>
          <w:szCs w:val="28"/>
          <w:rtl w:val="true"/>
          <w:lang w:bidi="fa-IR"/>
        </w:rPr>
        <w:t>است، تبریك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عمر بعد از آن بیانات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 تو اى فرزند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كردى و شام كردى در حالى كه مولاى هر مرد و زن با ایمان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حسان بن ثابت گواه دیگرى بر این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مصادرى كه این كلام را نقل كرده اند، بسیار متعدد و متنوعند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السنن،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السنن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المسند،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المعجم الصغیر،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تاریخ الاسلام،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 البدایه و النهایه،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المناقب،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كلینى، الكافى،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طوسى، تهذیب الحكام،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كردن نزدیك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هواى گرم و در بیابانى بى آب و علف جز امامت و رهبرى مسأله دیگرى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گذاردن بر سر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خطبه العمائم تیجان العرب و با توجه به این كه در فرهنگ عرب، عمامه تاج شمرده مى شد و نشان دهنده سیادت و سرورى بوده است، تنها به معناى تثبیت ولایت و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مسلمانان روز هجدهم ذى الحجه را روزى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ایراد فرمود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معرفى كرد، عید مى گرفتند و هنوز نیز تشیع این روز را جشن مى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غدیر و سخنان آن روز از جمله فرازهایى از</w:t>
      </w:r>
      <w:bookmarkStart w:id="21" w:name="pg7089_72222"/>
    </w:p>
    <w:p>
      <w:pPr>
        <w:pStyle w:val="BookText"/>
        <w:rPr/>
      </w:pPr>
      <w:bookmarkEnd w:id="21"/>
      <w:r>
        <w:rPr>
          <w:rFonts w:ascii="IRNazanin" w:hAnsi="IRNazanin" w:eastAsia="IRNazanin"/>
          <w:color w:val="111111"/>
          <w:sz w:val="28"/>
          <w:sz w:val="28"/>
          <w:szCs w:val="28"/>
          <w:rtl w:val="true"/>
          <w:lang w:bidi="fa-IR"/>
        </w:rPr>
        <w:t>تاریخ اسلام است كه تقریباً تمام سیره نویسان و مورخان در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فرارسیدن این عید سعید و بزرگ غدیرخم، عید امامت و ولایت را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جهان و بالاخص شیعیان ایران تبریك عرض مى كنیم</w:t>
      </w:r>
      <w:r>
        <w:rPr>
          <w:rFonts w:eastAsia="IRNazanin" w:cs="IRNazanin"/>
          <w:color w:val="111111"/>
          <w:sz w:val="28"/>
          <w:szCs w:val="28"/>
          <w:rtl w:val="true"/>
          <w:lang w:bidi="fa-IR"/>
        </w:rPr>
        <w:t>.</w:t>
      </w:r>
    </w:p>
    <w:p>
      <w:pPr>
        <w:pStyle w:val="Heading2"/>
        <w:numPr>
          <w:ilvl w:val="1"/>
          <w:numId w:val="1"/>
        </w:numPr>
        <w:rPr/>
      </w:pPr>
      <w:bookmarkStart w:id="22" w:name="__RefHeading___Toc3476303_372815092"/>
      <w:bookmarkStart w:id="23" w:name="_Toc8"/>
      <w:bookmarkEnd w:id="22"/>
      <w:r>
        <w:rPr>
          <w:rtl w:val="true"/>
        </w:rPr>
        <w:t>منابع</w:t>
      </w:r>
      <w:bookmarkEnd w:id="23"/>
    </w:p>
    <w:p>
      <w:pPr>
        <w:pStyle w:val="BookText"/>
        <w:rPr/>
      </w:pPr>
      <w:r>
        <w:rPr>
          <w:rFonts w:ascii="IRNazanin" w:hAnsi="IRNazanin" w:eastAsia="IRNazanin"/>
          <w:color w:val="111111"/>
          <w:sz w:val="28"/>
          <w:sz w:val="28"/>
          <w:szCs w:val="28"/>
          <w:rtl w:val="true"/>
          <w:lang w:bidi="fa-IR"/>
        </w:rPr>
        <w:t>فروغ ابدیت، استاد جعفر سبحانى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آیت الله صافى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فرازهایى از تاریخ اسلامى، جعفر سبحانى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و النهایه، ابن كثیر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هایى از تاریخ پیامبر اسلام،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كثیر، البدایه و النهایه،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2.jpeg"/><Relationship Id="rId17" Type="http://schemas.openxmlformats.org/officeDocument/2006/relationships/image" Target="media/image2.jpeg"/><Relationship Id="rId18" Type="http://schemas.openxmlformats.org/officeDocument/2006/relationships/footer" Target="footer11.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Pages>
  <Words>2207</Words>
  <Characters>8202</Characters>
  <CharactersWithSpaces>10332</CharactersWithSpaces>
  <Paragraphs>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2026-08-27T07:42:46Z</dcterms:created>
  <dc:creator>ghaemiyeh.com</dc:creator>
  <dc:description/>
  <dc:language>en-US</dc:language>
  <cp:lastModifiedBy/>
  <dcterms:modified xsi:type="dcterms:W3CDTF">2026-08-27T11:13:01Z</dcterms:modified>
  <cp:revision>1</cp:revision>
  <dc:subject/>
  <dc:title>غدیر عید امامت و ولایت</dc:title>
</cp:coreProperties>
</file>

<file path=docProps/custom.xml><?xml version="1.0" encoding="utf-8"?>
<Properties xmlns="http://schemas.openxmlformats.org/officeDocument/2006/custom-properties" xmlns:vt="http://schemas.openxmlformats.org/officeDocument/2006/docPropsVTypes"/>
</file>