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رسالةٌ فی نجاسة المخالفین و عدمها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45128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345130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345132_372815092">
            <w:r>
              <w:rPr>
                <w:webHidden/>
                <w:rStyle w:val="IndexLink"/>
                <w:rtl w:val="true"/>
              </w:rPr>
              <w:t>مقدّمة التحقيق‌</w:t>
            </w:r>
            <w:r>
              <w:rPr>
                <w:rStyle w:val="IndexLink"/>
                <w:rtl w:val="true"/>
              </w:rPr>
              <w:tab/>
            </w:r>
            <w:r>
              <w:rPr>
                <w:rStyle w:val="IndexLink"/>
              </w:rPr>
              <w:t>9</w:t>
            </w:r>
          </w:hyperlink>
        </w:p>
        <w:p>
          <w:pPr>
            <w:pStyle w:val="Contents3"/>
            <w:tabs>
              <w:tab w:val="clear" w:pos="8459"/>
              <w:tab w:val="right" w:pos="9026" w:leader="dot"/>
            </w:tabs>
            <w:rPr/>
          </w:pPr>
          <w:hyperlink w:anchor="__RefHeading___Toc3345134_372815092">
            <w:r>
              <w:rPr>
                <w:webHidden/>
                <w:rStyle w:val="IndexLink"/>
              </w:rPr>
              <w:t>1</w:t>
            </w:r>
            <w:r>
              <w:rPr>
                <w:rStyle w:val="IndexLink"/>
                <w:rtl w:val="true"/>
              </w:rPr>
              <w:t>-</w:t>
            </w:r>
            <w:r>
              <w:rPr>
                <w:rStyle w:val="IndexLink"/>
                <w:rtl w:val="true"/>
              </w:rPr>
              <w:t>لمحةٌ من حياة المؤلّف قدس سره</w:t>
            </w:r>
            <w:r>
              <w:rPr>
                <w:rStyle w:val="IndexLink"/>
                <w:rtl w:val="true"/>
              </w:rPr>
              <w:tab/>
            </w:r>
            <w:r>
              <w:rPr>
                <w:rStyle w:val="IndexLink"/>
              </w:rPr>
              <w:t>9</w:t>
            </w:r>
          </w:hyperlink>
        </w:p>
        <w:p>
          <w:pPr>
            <w:pStyle w:val="Contents4"/>
            <w:tabs>
              <w:tab w:val="clear" w:pos="8176"/>
              <w:tab w:val="right" w:pos="9026" w:leader="dot"/>
            </w:tabs>
            <w:rPr/>
          </w:pPr>
          <w:hyperlink w:anchor="__RefHeading___Toc3345136_372815092">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3345138_372815092">
            <w:r>
              <w:rPr>
                <w:webHidden/>
                <w:rStyle w:val="IndexLink"/>
                <w:rtl w:val="true"/>
              </w:rPr>
              <w:t>اسمه و نسبه‌</w:t>
            </w:r>
            <w:r>
              <w:rPr>
                <w:rStyle w:val="IndexLink"/>
                <w:rtl w:val="true"/>
              </w:rPr>
              <w:tab/>
            </w:r>
            <w:r>
              <w:rPr>
                <w:rStyle w:val="IndexLink"/>
              </w:rPr>
              <w:t>9</w:t>
            </w:r>
          </w:hyperlink>
        </w:p>
        <w:p>
          <w:pPr>
            <w:pStyle w:val="Contents4"/>
            <w:tabs>
              <w:tab w:val="clear" w:pos="8176"/>
              <w:tab w:val="right" w:pos="9026" w:leader="dot"/>
            </w:tabs>
            <w:rPr/>
          </w:pPr>
          <w:hyperlink w:anchor="__RefHeading___Toc3345140_372815092">
            <w:r>
              <w:rPr>
                <w:webHidden/>
                <w:rStyle w:val="IndexLink"/>
                <w:rtl w:val="true"/>
              </w:rPr>
              <w:t>ولادته و نشأته‌</w:t>
            </w:r>
            <w:r>
              <w:rPr>
                <w:rStyle w:val="IndexLink"/>
                <w:rtl w:val="true"/>
              </w:rPr>
              <w:tab/>
            </w:r>
            <w:r>
              <w:rPr>
                <w:rStyle w:val="IndexLink"/>
              </w:rPr>
              <w:t>10</w:t>
            </w:r>
          </w:hyperlink>
        </w:p>
        <w:p>
          <w:pPr>
            <w:pStyle w:val="Contents4"/>
            <w:tabs>
              <w:tab w:val="clear" w:pos="8176"/>
              <w:tab w:val="right" w:pos="9026" w:leader="dot"/>
            </w:tabs>
            <w:rPr/>
          </w:pPr>
          <w:hyperlink w:anchor="__RefHeading___Toc3345142_372815092">
            <w:r>
              <w:rPr>
                <w:webHidden/>
                <w:rStyle w:val="IndexLink"/>
                <w:rtl w:val="true"/>
              </w:rPr>
              <w:t>إطراء العلماء له‌</w:t>
            </w:r>
            <w:r>
              <w:rPr>
                <w:rStyle w:val="IndexLink"/>
                <w:rtl w:val="true"/>
              </w:rPr>
              <w:tab/>
            </w:r>
            <w:r>
              <w:rPr>
                <w:rStyle w:val="IndexLink"/>
              </w:rPr>
              <w:t>15</w:t>
            </w:r>
          </w:hyperlink>
        </w:p>
        <w:p>
          <w:pPr>
            <w:pStyle w:val="Contents5"/>
            <w:tabs>
              <w:tab w:val="clear" w:pos="7892"/>
              <w:tab w:val="right" w:pos="9026" w:leader="dot"/>
            </w:tabs>
            <w:rPr/>
          </w:pPr>
          <w:hyperlink w:anchor="__RefHeading___Toc3345144_372815092">
            <w:r>
              <w:rPr>
                <w:webHidden/>
                <w:rStyle w:val="IndexLink"/>
              </w:rPr>
              <w:t>1</w:t>
            </w:r>
            <w:r>
              <w:rPr>
                <w:rStyle w:val="IndexLink"/>
                <w:rtl w:val="true"/>
              </w:rPr>
              <w:t xml:space="preserve"> - </w:t>
            </w:r>
            <w:r>
              <w:rPr>
                <w:rStyle w:val="IndexLink"/>
                <w:rtl w:val="true"/>
              </w:rPr>
              <w:t>الفقيه المحقّق ميرزا أبوالقاسم القمّي قدس سره‌</w:t>
            </w:r>
            <w:r>
              <w:rPr>
                <w:rStyle w:val="IndexLink"/>
                <w:rtl w:val="true"/>
              </w:rPr>
              <w:tab/>
            </w:r>
            <w:r>
              <w:rPr>
                <w:rStyle w:val="IndexLink"/>
              </w:rPr>
              <w:t>15</w:t>
            </w:r>
          </w:hyperlink>
        </w:p>
        <w:p>
          <w:pPr>
            <w:pStyle w:val="Contents5"/>
            <w:tabs>
              <w:tab w:val="clear" w:pos="7892"/>
              <w:tab w:val="right" w:pos="9026" w:leader="dot"/>
            </w:tabs>
            <w:rPr/>
          </w:pPr>
          <w:hyperlink w:anchor="__RefHeading___Toc3345146_372815092">
            <w:r>
              <w:rPr>
                <w:webHidden/>
                <w:rStyle w:val="IndexLink"/>
              </w:rPr>
              <w:t>2</w:t>
            </w:r>
            <w:r>
              <w:rPr>
                <w:rStyle w:val="IndexLink"/>
                <w:rtl w:val="true"/>
              </w:rPr>
              <w:t xml:space="preserve"> - </w:t>
            </w:r>
            <w:r>
              <w:rPr>
                <w:rStyle w:val="IndexLink"/>
                <w:rtl w:val="true"/>
              </w:rPr>
              <w:t>الحكيم المولى عليّ النوريّ قدس سره‌</w:t>
            </w:r>
            <w:r>
              <w:rPr>
                <w:rStyle w:val="IndexLink"/>
                <w:rtl w:val="true"/>
              </w:rPr>
              <w:tab/>
            </w:r>
            <w:r>
              <w:rPr>
                <w:rStyle w:val="IndexLink"/>
              </w:rPr>
              <w:t>15</w:t>
            </w:r>
          </w:hyperlink>
        </w:p>
        <w:p>
          <w:pPr>
            <w:pStyle w:val="Contents4"/>
            <w:tabs>
              <w:tab w:val="clear" w:pos="8176"/>
              <w:tab w:val="right" w:pos="9026" w:leader="dot"/>
            </w:tabs>
            <w:rPr/>
          </w:pPr>
          <w:hyperlink w:anchor="__RefHeading___Toc3345148_372815092">
            <w:r>
              <w:rPr>
                <w:webHidden/>
                <w:rStyle w:val="IndexLink"/>
                <w:rtl w:val="true"/>
              </w:rPr>
              <w:t>زهده و عبادته‌</w:t>
            </w:r>
            <w:r>
              <w:rPr>
                <w:rStyle w:val="IndexLink"/>
                <w:rtl w:val="true"/>
              </w:rPr>
              <w:tab/>
            </w:r>
            <w:r>
              <w:rPr>
                <w:rStyle w:val="IndexLink"/>
              </w:rPr>
              <w:t>16</w:t>
            </w:r>
          </w:hyperlink>
        </w:p>
        <w:p>
          <w:pPr>
            <w:pStyle w:val="Contents4"/>
            <w:tabs>
              <w:tab w:val="clear" w:pos="8176"/>
              <w:tab w:val="right" w:pos="9026" w:leader="dot"/>
            </w:tabs>
            <w:rPr/>
          </w:pPr>
          <w:hyperlink w:anchor="__RefHeading___Toc3345150_372815092">
            <w:r>
              <w:rPr>
                <w:webHidden/>
                <w:rStyle w:val="IndexLink"/>
                <w:rtl w:val="true"/>
              </w:rPr>
              <w:t>إقامته الحدود الشرعيّة</w:t>
            </w:r>
            <w:r>
              <w:rPr>
                <w:rStyle w:val="IndexLink"/>
                <w:rtl w:val="true"/>
              </w:rPr>
              <w:tab/>
            </w:r>
            <w:r>
              <w:rPr>
                <w:rStyle w:val="IndexLink"/>
              </w:rPr>
              <w:t>17</w:t>
            </w:r>
          </w:hyperlink>
        </w:p>
        <w:p>
          <w:pPr>
            <w:pStyle w:val="Contents4"/>
            <w:tabs>
              <w:tab w:val="clear" w:pos="8176"/>
              <w:tab w:val="right" w:pos="9026" w:leader="dot"/>
            </w:tabs>
            <w:rPr/>
          </w:pPr>
          <w:hyperlink w:anchor="__RefHeading___Toc3345152_372815092">
            <w:r>
              <w:rPr>
                <w:webHidden/>
                <w:rStyle w:val="IndexLink"/>
                <w:rtl w:val="true"/>
              </w:rPr>
              <w:t>أساتذته و مشايخ روايته‌</w:t>
            </w:r>
            <w:r>
              <w:rPr>
                <w:rStyle w:val="IndexLink"/>
                <w:rtl w:val="true"/>
              </w:rPr>
              <w:tab/>
            </w:r>
            <w:r>
              <w:rPr>
                <w:rStyle w:val="IndexLink"/>
              </w:rPr>
              <w:t>17</w:t>
            </w:r>
          </w:hyperlink>
        </w:p>
        <w:p>
          <w:pPr>
            <w:pStyle w:val="Contents4"/>
            <w:tabs>
              <w:tab w:val="clear" w:pos="8176"/>
              <w:tab w:val="right" w:pos="9026" w:leader="dot"/>
            </w:tabs>
            <w:rPr/>
          </w:pPr>
          <w:hyperlink w:anchor="__RefHeading___Toc3345154_372815092">
            <w:r>
              <w:rPr>
                <w:webHidden/>
                <w:rStyle w:val="IndexLink"/>
                <w:rtl w:val="true"/>
              </w:rPr>
              <w:t>أولاده‌</w:t>
            </w:r>
            <w:r>
              <w:rPr>
                <w:rStyle w:val="IndexLink"/>
                <w:rtl w:val="true"/>
              </w:rPr>
              <w:tab/>
            </w:r>
            <w:r>
              <w:rPr>
                <w:rStyle w:val="IndexLink"/>
              </w:rPr>
              <w:t>18</w:t>
            </w:r>
          </w:hyperlink>
        </w:p>
        <w:p>
          <w:pPr>
            <w:pStyle w:val="Contents5"/>
            <w:tabs>
              <w:tab w:val="clear" w:pos="7892"/>
              <w:tab w:val="right" w:pos="9026" w:leader="dot"/>
            </w:tabs>
            <w:rPr/>
          </w:pPr>
          <w:hyperlink w:anchor="__RefHeading___Toc3345156_372815092">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3345158_372815092">
            <w:r>
              <w:rPr>
                <w:webHidden/>
                <w:rStyle w:val="IndexLink"/>
              </w:rPr>
              <w:t>1</w:t>
            </w:r>
            <w:r>
              <w:rPr>
                <w:rStyle w:val="IndexLink"/>
                <w:rtl w:val="true"/>
              </w:rPr>
              <w:t xml:space="preserve"> - </w:t>
            </w:r>
            <w:r>
              <w:rPr>
                <w:rStyle w:val="IndexLink"/>
                <w:rtl w:val="true"/>
              </w:rPr>
              <w:t xml:space="preserve">السيّد أسد اللَّه </w:t>
            </w:r>
            <w:r>
              <w:rPr>
                <w:rStyle w:val="IndexLink"/>
                <w:rtl w:val="true"/>
              </w:rPr>
              <w:t xml:space="preserve">( </w:t>
            </w:r>
            <w:r>
              <w:rPr>
                <w:rStyle w:val="IndexLink"/>
              </w:rPr>
              <w:t>1228</w:t>
            </w:r>
            <w:r>
              <w:rPr>
                <w:rStyle w:val="IndexLink"/>
                <w:rtl w:val="true"/>
              </w:rPr>
              <w:t xml:space="preserve"> - </w:t>
            </w:r>
            <w:r>
              <w:rPr>
                <w:rStyle w:val="IndexLink"/>
              </w:rPr>
              <w:t>1290</w:t>
            </w:r>
            <w:r>
              <w:rPr>
                <w:rStyle w:val="IndexLink"/>
                <w:rtl w:val="true"/>
              </w:rPr>
              <w:t xml:space="preserve"> </w:t>
            </w:r>
            <w:r>
              <w:rPr>
                <w:rStyle w:val="IndexLink"/>
                <w:rtl w:val="true"/>
              </w:rPr>
              <w:t xml:space="preserve">ق </w:t>
            </w:r>
            <w:r>
              <w:rPr>
                <w:rStyle w:val="IndexLink"/>
                <w:rtl w:val="true"/>
              </w:rPr>
              <w:t>)</w:t>
              <w:tab/>
            </w:r>
            <w:r>
              <w:rPr>
                <w:rStyle w:val="IndexLink"/>
              </w:rPr>
              <w:t>18</w:t>
            </w:r>
          </w:hyperlink>
        </w:p>
        <w:p>
          <w:pPr>
            <w:pStyle w:val="Contents4"/>
            <w:tabs>
              <w:tab w:val="clear" w:pos="8176"/>
              <w:tab w:val="right" w:pos="9026" w:leader="dot"/>
            </w:tabs>
            <w:rPr/>
          </w:pPr>
          <w:hyperlink w:anchor="__RefHeading___Toc3345160_372815092">
            <w:r>
              <w:rPr>
                <w:webHidden/>
                <w:rStyle w:val="IndexLink"/>
                <w:rtl w:val="true"/>
              </w:rPr>
              <w:t>تآليفه القيّمة</w:t>
            </w:r>
            <w:r>
              <w:rPr>
                <w:rStyle w:val="IndexLink"/>
                <w:rtl w:val="true"/>
              </w:rPr>
              <w:tab/>
            </w:r>
            <w:r>
              <w:rPr>
                <w:rStyle w:val="IndexLink"/>
              </w:rPr>
              <w:t>20</w:t>
            </w:r>
          </w:hyperlink>
        </w:p>
        <w:p>
          <w:pPr>
            <w:pStyle w:val="Contents5"/>
            <w:tabs>
              <w:tab w:val="clear" w:pos="7892"/>
              <w:tab w:val="right" w:pos="9026" w:leader="dot"/>
            </w:tabs>
            <w:rPr/>
          </w:pPr>
          <w:hyperlink w:anchor="__RefHeading___Toc3345162_372815092">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3345164_372815092">
            <w:r>
              <w:rPr>
                <w:webHidden/>
                <w:rStyle w:val="IndexLink"/>
                <w:rtl w:val="true"/>
              </w:rPr>
              <w:t>الكتب و الرسائل الفقهيّة</w:t>
            </w:r>
            <w:r>
              <w:rPr>
                <w:rStyle w:val="IndexLink"/>
                <w:rtl w:val="true"/>
              </w:rPr>
              <w:tab/>
            </w:r>
            <w:r>
              <w:rPr>
                <w:rStyle w:val="IndexLink"/>
              </w:rPr>
              <w:t>20</w:t>
            </w:r>
          </w:hyperlink>
        </w:p>
        <w:p>
          <w:pPr>
            <w:pStyle w:val="Contents5"/>
            <w:tabs>
              <w:tab w:val="clear" w:pos="7892"/>
              <w:tab w:val="right" w:pos="9026" w:leader="dot"/>
            </w:tabs>
            <w:rPr/>
          </w:pPr>
          <w:hyperlink w:anchor="__RefHeading___Toc3345166_372815092">
            <w:r>
              <w:rPr>
                <w:webHidden/>
                <w:rStyle w:val="IndexLink"/>
                <w:rtl w:val="true"/>
              </w:rPr>
              <w:t>الكتب و الرسائل الحديثيّة</w:t>
            </w:r>
            <w:r>
              <w:rPr>
                <w:rStyle w:val="IndexLink"/>
                <w:rtl w:val="true"/>
              </w:rPr>
              <w:tab/>
            </w:r>
            <w:r>
              <w:rPr>
                <w:rStyle w:val="IndexLink"/>
              </w:rPr>
              <w:t>23</w:t>
            </w:r>
          </w:hyperlink>
        </w:p>
        <w:p>
          <w:pPr>
            <w:pStyle w:val="Contents5"/>
            <w:tabs>
              <w:tab w:val="clear" w:pos="7892"/>
              <w:tab w:val="right" w:pos="9026" w:leader="dot"/>
            </w:tabs>
            <w:rPr/>
          </w:pPr>
          <w:hyperlink w:anchor="__RefHeading___Toc3345168_372815092">
            <w:r>
              <w:rPr>
                <w:webHidden/>
                <w:rStyle w:val="IndexLink"/>
                <w:rtl w:val="true"/>
              </w:rPr>
              <w:t>الكتب و الرسائل الأصوليّة</w:t>
            </w:r>
            <w:r>
              <w:rPr>
                <w:rStyle w:val="IndexLink"/>
                <w:rtl w:val="true"/>
              </w:rPr>
              <w:tab/>
            </w:r>
            <w:r>
              <w:rPr>
                <w:rStyle w:val="IndexLink"/>
              </w:rPr>
              <w:t>24</w:t>
            </w:r>
          </w:hyperlink>
        </w:p>
        <w:p>
          <w:pPr>
            <w:pStyle w:val="Contents5"/>
            <w:tabs>
              <w:tab w:val="clear" w:pos="7892"/>
              <w:tab w:val="right" w:pos="9026" w:leader="dot"/>
            </w:tabs>
            <w:rPr/>
          </w:pPr>
          <w:hyperlink w:anchor="__RefHeading___Toc3345170_372815092">
            <w:r>
              <w:rPr>
                <w:webHidden/>
                <w:rStyle w:val="IndexLink"/>
                <w:rtl w:val="true"/>
              </w:rPr>
              <w:t>الكتب و الرسائل الرجاليّة</w:t>
            </w:r>
            <w:r>
              <w:rPr>
                <w:rStyle w:val="IndexLink"/>
                <w:rtl w:val="true"/>
              </w:rPr>
              <w:tab/>
            </w:r>
            <w:r>
              <w:rPr>
                <w:rStyle w:val="IndexLink"/>
              </w:rPr>
              <w:t>24</w:t>
            </w:r>
          </w:hyperlink>
        </w:p>
        <w:p>
          <w:pPr>
            <w:pStyle w:val="Contents5"/>
            <w:tabs>
              <w:tab w:val="clear" w:pos="7892"/>
              <w:tab w:val="right" w:pos="9026" w:leader="dot"/>
            </w:tabs>
            <w:rPr/>
          </w:pPr>
          <w:hyperlink w:anchor="__RefHeading___Toc3345172_372815092">
            <w:r>
              <w:rPr>
                <w:webHidden/>
                <w:rStyle w:val="IndexLink"/>
                <w:rtl w:val="true"/>
              </w:rPr>
              <w:t>الكتب و الرسائل المتفرّقة</w:t>
            </w:r>
            <w:r>
              <w:rPr>
                <w:rStyle w:val="IndexLink"/>
                <w:rtl w:val="true"/>
              </w:rPr>
              <w:tab/>
            </w:r>
            <w:r>
              <w:rPr>
                <w:rStyle w:val="IndexLink"/>
              </w:rPr>
              <w:t>26</w:t>
            </w:r>
          </w:hyperlink>
        </w:p>
        <w:p>
          <w:pPr>
            <w:pStyle w:val="Contents4"/>
            <w:tabs>
              <w:tab w:val="clear" w:pos="8176"/>
              <w:tab w:val="right" w:pos="9026" w:leader="dot"/>
            </w:tabs>
            <w:rPr/>
          </w:pPr>
          <w:hyperlink w:anchor="__RefHeading___Toc3345174_372815092">
            <w:r>
              <w:rPr>
                <w:webHidden/>
                <w:rStyle w:val="IndexLink"/>
                <w:rtl w:val="true"/>
              </w:rPr>
              <w:t>وفاته و مرقده‌</w:t>
            </w:r>
            <w:r>
              <w:rPr>
                <w:rStyle w:val="IndexLink"/>
                <w:rtl w:val="true"/>
              </w:rPr>
              <w:tab/>
            </w:r>
            <w:r>
              <w:rPr>
                <w:rStyle w:val="IndexLink"/>
              </w:rPr>
              <w:t>27</w:t>
            </w:r>
          </w:hyperlink>
        </w:p>
        <w:p>
          <w:pPr>
            <w:pStyle w:val="Contents3"/>
            <w:tabs>
              <w:tab w:val="clear" w:pos="8459"/>
              <w:tab w:val="right" w:pos="9026" w:leader="dot"/>
            </w:tabs>
            <w:rPr/>
          </w:pPr>
          <w:hyperlink w:anchor="__RefHeading___Toc3345176_372815092">
            <w:r>
              <w:rPr>
                <w:webHidden/>
                <w:rStyle w:val="IndexLink"/>
              </w:rPr>
              <w:t>2</w:t>
            </w:r>
            <w:r>
              <w:rPr>
                <w:rStyle w:val="IndexLink"/>
                <w:rtl w:val="true"/>
              </w:rPr>
              <w:t xml:space="preserve"> - </w:t>
            </w:r>
            <w:r>
              <w:rPr>
                <w:rStyle w:val="IndexLink"/>
                <w:rtl w:val="true"/>
              </w:rPr>
              <w:t>تعريف الكتاب‌</w:t>
            </w:r>
            <w:r>
              <w:rPr>
                <w:rStyle w:val="IndexLink"/>
                <w:rtl w:val="true"/>
              </w:rPr>
              <w:tab/>
            </w:r>
            <w:r>
              <w:rPr>
                <w:rStyle w:val="IndexLink"/>
              </w:rPr>
              <w:t>29</w:t>
            </w:r>
          </w:hyperlink>
        </w:p>
        <w:p>
          <w:pPr>
            <w:pStyle w:val="Contents3"/>
            <w:tabs>
              <w:tab w:val="clear" w:pos="8459"/>
              <w:tab w:val="right" w:pos="9026" w:leader="dot"/>
            </w:tabs>
            <w:rPr/>
          </w:pPr>
          <w:hyperlink w:anchor="__RefHeading___Toc3345178_372815092">
            <w:r>
              <w:rPr>
                <w:webHidden/>
                <w:rStyle w:val="IndexLink"/>
              </w:rPr>
              <w:t>3</w:t>
            </w:r>
            <w:r>
              <w:rPr>
                <w:rStyle w:val="IndexLink"/>
                <w:rtl w:val="true"/>
              </w:rPr>
              <w:t xml:space="preserve"> - </w:t>
            </w:r>
            <w:r>
              <w:rPr>
                <w:rStyle w:val="IndexLink"/>
                <w:rtl w:val="true"/>
              </w:rPr>
              <w:t>منهجيّة التحقيق‌</w:t>
            </w:r>
            <w:r>
              <w:rPr>
                <w:rStyle w:val="IndexLink"/>
                <w:rtl w:val="true"/>
              </w:rPr>
              <w:tab/>
            </w:r>
            <w:r>
              <w:rPr>
                <w:rStyle w:val="IndexLink"/>
              </w:rPr>
              <w:t>30</w:t>
            </w:r>
          </w:hyperlink>
        </w:p>
        <w:p>
          <w:pPr>
            <w:pStyle w:val="Contents2"/>
            <w:tabs>
              <w:tab w:val="clear" w:pos="8743"/>
              <w:tab w:val="right" w:pos="9026" w:leader="dot"/>
            </w:tabs>
            <w:rPr/>
          </w:pPr>
          <w:hyperlink w:anchor="__RefHeading___Toc3345180_372815092">
            <w:r>
              <w:rPr>
                <w:webHidden/>
                <w:rStyle w:val="IndexLink"/>
                <w:rtl w:val="true"/>
              </w:rPr>
              <w:t xml:space="preserve">الرسالة الأولى </w:t>
            </w:r>
            <w:r>
              <w:rPr>
                <w:rStyle w:val="IndexLink"/>
                <w:rtl w:val="true"/>
              </w:rPr>
              <w:t xml:space="preserve">: </w:t>
            </w:r>
            <w:r>
              <w:rPr>
                <w:rStyle w:val="IndexLink"/>
                <w:rtl w:val="true"/>
              </w:rPr>
              <w:t>في نجاسة المخالفين‌</w:t>
            </w:r>
            <w:r>
              <w:rPr>
                <w:rStyle w:val="IndexLink"/>
                <w:rtl w:val="true"/>
              </w:rPr>
              <w:tab/>
            </w:r>
            <w:r>
              <w:rPr>
                <w:rStyle w:val="IndexLink"/>
              </w:rPr>
              <w:t>39</w:t>
            </w:r>
          </w:hyperlink>
        </w:p>
        <w:p>
          <w:pPr>
            <w:pStyle w:val="Contents3"/>
            <w:tabs>
              <w:tab w:val="clear" w:pos="8459"/>
              <w:tab w:val="right" w:pos="9026" w:leader="dot"/>
            </w:tabs>
            <w:rPr/>
          </w:pPr>
          <w:hyperlink w:anchor="__RefHeading___Toc3345182_372815092">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3345184_372815092">
            <w:r>
              <w:rPr>
                <w:webHidden/>
                <w:rStyle w:val="IndexLink"/>
                <w:rtl w:val="true"/>
              </w:rPr>
              <w:t xml:space="preserve">[ </w:t>
            </w:r>
            <w:r>
              <w:rPr>
                <w:rStyle w:val="IndexLink"/>
                <w:rtl w:val="true"/>
              </w:rPr>
              <w:t xml:space="preserve">الوجه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تفسيرهم‌</w:t>
            </w:r>
            <w:r>
              <w:rPr>
                <w:rStyle w:val="IndexLink"/>
                <w:rtl w:val="true"/>
              </w:rPr>
              <w:tab/>
            </w:r>
            <w:r>
              <w:rPr>
                <w:rStyle w:val="IndexLink"/>
              </w:rPr>
              <w:t>40</w:t>
            </w:r>
          </w:hyperlink>
        </w:p>
        <w:p>
          <w:pPr>
            <w:pStyle w:val="Contents4"/>
            <w:tabs>
              <w:tab w:val="clear" w:pos="8176"/>
              <w:tab w:val="right" w:pos="9026" w:leader="dot"/>
            </w:tabs>
            <w:rPr/>
          </w:pPr>
          <w:hyperlink w:anchor="__RefHeading___Toc3345186_372815092">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3345188_372815092">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نجاسة المجبّرة</w:t>
            </w:r>
            <w:r>
              <w:rPr>
                <w:rStyle w:val="IndexLink"/>
                <w:rtl w:val="true"/>
              </w:rPr>
              <w:tab/>
            </w:r>
            <w:r>
              <w:rPr>
                <w:rStyle w:val="IndexLink"/>
              </w:rPr>
              <w:t>44</w:t>
            </w:r>
          </w:hyperlink>
        </w:p>
        <w:p>
          <w:pPr>
            <w:pStyle w:val="Contents4"/>
            <w:tabs>
              <w:tab w:val="clear" w:pos="8176"/>
              <w:tab w:val="right" w:pos="9026" w:leader="dot"/>
            </w:tabs>
            <w:rPr/>
          </w:pPr>
          <w:hyperlink w:anchor="__RefHeading___Toc3345190_372815092">
            <w:r>
              <w:rPr>
                <w:webHidden/>
                <w:rStyle w:val="IndexLink"/>
                <w:rtl w:val="true"/>
              </w:rPr>
              <w:t xml:space="preserve">و </w:t>
            </w:r>
            <w:r>
              <w:rPr>
                <w:rStyle w:val="IndexLink"/>
                <w:rtl w:val="true"/>
              </w:rPr>
              <w:t xml:space="preserve">[ </w:t>
            </w:r>
            <w:r>
              <w:rPr>
                <w:rStyle w:val="IndexLink"/>
                <w:rtl w:val="true"/>
              </w:rPr>
              <w:t xml:space="preserve">الوجه </w:t>
            </w:r>
            <w:r>
              <w:rPr>
                <w:rStyle w:val="IndexLink"/>
                <w:rtl w:val="true"/>
              </w:rPr>
              <w:t xml:space="preserve">] </w:t>
            </w:r>
            <w:r>
              <w:rPr>
                <w:rStyle w:val="IndexLink"/>
                <w:rtl w:val="true"/>
              </w:rPr>
              <w:t xml:space="preserve">الثاني </w:t>
            </w:r>
            <w:r>
              <w:rPr>
                <w:rStyle w:val="IndexLink"/>
                <w:rtl w:val="true"/>
              </w:rPr>
              <w:t xml:space="preserve">: </w:t>
            </w:r>
            <w:r>
              <w:rPr>
                <w:rStyle w:val="IndexLink"/>
                <w:rtl w:val="true"/>
              </w:rPr>
              <w:t>في بيان أنّهم</w:t>
            </w:r>
            <w:r>
              <w:rPr>
                <w:rStyle w:val="IndexLink"/>
                <w:rtl w:val="true"/>
              </w:rPr>
              <w:tab/>
            </w:r>
            <w:r>
              <w:rPr>
                <w:rStyle w:val="IndexLink"/>
              </w:rPr>
              <w:t>44</w:t>
            </w:r>
          </w:hyperlink>
        </w:p>
        <w:p>
          <w:pPr>
            <w:pStyle w:val="Contents2"/>
            <w:tabs>
              <w:tab w:val="clear" w:pos="8743"/>
              <w:tab w:val="right" w:pos="9026" w:leader="dot"/>
            </w:tabs>
            <w:rPr/>
          </w:pPr>
          <w:hyperlink w:anchor="__RefHeading___Toc3345192_372815092">
            <w:r>
              <w:rPr>
                <w:webHidden/>
                <w:rStyle w:val="IndexLink"/>
                <w:rtl w:val="true"/>
              </w:rPr>
              <w:t xml:space="preserve">البحث الثاني </w:t>
            </w:r>
            <w:r>
              <w:rPr>
                <w:rStyle w:val="IndexLink"/>
                <w:rtl w:val="true"/>
              </w:rPr>
              <w:t xml:space="preserve">: </w:t>
            </w:r>
            <w:r>
              <w:rPr>
                <w:rStyle w:val="IndexLink"/>
                <w:rtl w:val="true"/>
              </w:rPr>
              <w:t>في نجاسة الناصب و كفره‌</w:t>
            </w:r>
            <w:r>
              <w:rPr>
                <w:rStyle w:val="IndexLink"/>
                <w:rtl w:val="true"/>
              </w:rPr>
              <w:tab/>
            </w:r>
            <w:r>
              <w:rPr>
                <w:rStyle w:val="IndexLink"/>
              </w:rPr>
              <w:t>48</w:t>
            </w:r>
          </w:hyperlink>
        </w:p>
        <w:p>
          <w:pPr>
            <w:pStyle w:val="Contents3"/>
            <w:tabs>
              <w:tab w:val="clear" w:pos="8459"/>
              <w:tab w:val="right" w:pos="9026" w:leader="dot"/>
            </w:tabs>
            <w:rPr/>
          </w:pPr>
          <w:hyperlink w:anchor="__RefHeading___Toc3345194_372815092">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3345196_372815092">
            <w:r>
              <w:rPr>
                <w:webHidden/>
                <w:rStyle w:val="IndexLink"/>
                <w:rtl w:val="true"/>
              </w:rPr>
              <w:t xml:space="preserve">[ </w:t>
            </w:r>
            <w:r>
              <w:rPr>
                <w:rStyle w:val="IndexLink"/>
                <w:rtl w:val="true"/>
              </w:rPr>
              <w:t xml:space="preserve">الوجه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تفسير الناصب و بيان كون المخالف ناصبًا</w:t>
            </w:r>
            <w:r>
              <w:rPr>
                <w:rStyle w:val="IndexLink"/>
                <w:rtl w:val="true"/>
              </w:rPr>
              <w:tab/>
            </w:r>
            <w:r>
              <w:rPr>
                <w:rStyle w:val="IndexLink"/>
              </w:rPr>
              <w:t>48</w:t>
            </w:r>
          </w:hyperlink>
        </w:p>
        <w:p>
          <w:pPr>
            <w:pStyle w:val="Contents4"/>
            <w:tabs>
              <w:tab w:val="clear" w:pos="8176"/>
              <w:tab w:val="right" w:pos="9026" w:leader="dot"/>
            </w:tabs>
            <w:rPr/>
          </w:pPr>
          <w:hyperlink w:anchor="__RefHeading___Toc3345198_372815092">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3345200_372815092">
            <w:r>
              <w:rPr>
                <w:webHidden/>
                <w:rStyle w:val="IndexLink"/>
                <w:rtl w:val="true"/>
              </w:rPr>
              <w:t xml:space="preserve">[ </w:t>
            </w:r>
            <w:r>
              <w:rPr>
                <w:rStyle w:val="IndexLink"/>
                <w:rtl w:val="true"/>
              </w:rPr>
              <w:t xml:space="preserve">رأي المؤلّف قدس سره </w:t>
            </w:r>
            <w:r>
              <w:rPr>
                <w:rStyle w:val="IndexLink"/>
                <w:rtl w:val="true"/>
              </w:rPr>
              <w:t>]</w:t>
              <w:tab/>
            </w:r>
            <w:r>
              <w:rPr>
                <w:rStyle w:val="IndexLink"/>
              </w:rPr>
              <w:t>52</w:t>
            </w:r>
          </w:hyperlink>
        </w:p>
        <w:p>
          <w:pPr>
            <w:pStyle w:val="Contents3"/>
            <w:tabs>
              <w:tab w:val="clear" w:pos="8459"/>
              <w:tab w:val="right" w:pos="9026" w:leader="dot"/>
            </w:tabs>
            <w:rPr/>
          </w:pPr>
          <w:hyperlink w:anchor="__RefHeading___Toc3345202_372815092">
            <w:r>
              <w:rPr>
                <w:webHidden/>
                <w:rStyle w:val="IndexLink"/>
                <w:rtl w:val="true"/>
              </w:rPr>
              <w:t xml:space="preserve">الوجه الثاني </w:t>
            </w:r>
            <w:r>
              <w:rPr>
                <w:rStyle w:val="IndexLink"/>
                <w:rtl w:val="true"/>
              </w:rPr>
              <w:t xml:space="preserve">: </w:t>
            </w:r>
            <w:r>
              <w:rPr>
                <w:rStyle w:val="IndexLink"/>
                <w:rtl w:val="true"/>
              </w:rPr>
              <w:t>في بيان ما يدلّ على نجاسة الناصب من النصوص‌</w:t>
            </w:r>
            <w:r>
              <w:rPr>
                <w:rStyle w:val="IndexLink"/>
                <w:rtl w:val="true"/>
              </w:rPr>
              <w:tab/>
            </w:r>
            <w:r>
              <w:rPr>
                <w:rStyle w:val="IndexLink"/>
              </w:rPr>
              <w:t>54</w:t>
            </w:r>
          </w:hyperlink>
        </w:p>
        <w:p>
          <w:pPr>
            <w:pStyle w:val="Contents2"/>
            <w:tabs>
              <w:tab w:val="clear" w:pos="8743"/>
              <w:tab w:val="right" w:pos="9026" w:leader="dot"/>
            </w:tabs>
            <w:rPr/>
          </w:pPr>
          <w:hyperlink w:anchor="__RefHeading___Toc3345204_372815092">
            <w:r>
              <w:rPr>
                <w:webHidden/>
                <w:rStyle w:val="IndexLink"/>
                <w:rtl w:val="true"/>
              </w:rPr>
              <w:t xml:space="preserve">البحث الثالث </w:t>
            </w:r>
            <w:r>
              <w:rPr>
                <w:rStyle w:val="IndexLink"/>
                <w:rtl w:val="true"/>
              </w:rPr>
              <w:t xml:space="preserve">: </w:t>
            </w:r>
            <w:r>
              <w:rPr>
                <w:rStyle w:val="IndexLink"/>
                <w:rtl w:val="true"/>
              </w:rPr>
              <w:t>في بيان نصوص الدالّة على كفرهم و بيان مَن قال به من الأصحاب الّذين وصل إلينا كلامهم‌</w:t>
            </w:r>
            <w:r>
              <w:rPr>
                <w:rStyle w:val="IndexLink"/>
                <w:rtl w:val="true"/>
              </w:rPr>
              <w:tab/>
            </w:r>
            <w:r>
              <w:rPr>
                <w:rStyle w:val="IndexLink"/>
              </w:rPr>
              <w:t>56</w:t>
            </w:r>
          </w:hyperlink>
        </w:p>
        <w:p>
          <w:pPr>
            <w:pStyle w:val="Contents3"/>
            <w:tabs>
              <w:tab w:val="clear" w:pos="8459"/>
              <w:tab w:val="right" w:pos="9026" w:leader="dot"/>
            </w:tabs>
            <w:rPr/>
          </w:pPr>
          <w:hyperlink w:anchor="__RefHeading___Toc3345206_372815092">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3345208_372815092">
            <w:r>
              <w:rPr>
                <w:webHidden/>
                <w:rStyle w:val="IndexLink"/>
                <w:rtl w:val="true"/>
              </w:rPr>
              <w:t xml:space="preserve">الموضع الأوّل </w:t>
            </w:r>
            <w:r>
              <w:rPr>
                <w:rStyle w:val="IndexLink"/>
                <w:rtl w:val="true"/>
              </w:rPr>
              <w:t xml:space="preserve">: </w:t>
            </w:r>
            <w:r>
              <w:rPr>
                <w:rStyle w:val="IndexLink"/>
                <w:rtl w:val="true"/>
              </w:rPr>
              <w:t>في نجاسة الثلاثة المعلومة و كفرهم‌</w:t>
            </w:r>
            <w:r>
              <w:rPr>
                <w:rStyle w:val="IndexLink"/>
                <w:rtl w:val="true"/>
              </w:rPr>
              <w:tab/>
            </w:r>
            <w:r>
              <w:rPr>
                <w:rStyle w:val="IndexLink"/>
              </w:rPr>
              <w:t>60</w:t>
            </w:r>
          </w:hyperlink>
        </w:p>
        <w:p>
          <w:pPr>
            <w:pStyle w:val="Contents3"/>
            <w:tabs>
              <w:tab w:val="clear" w:pos="8459"/>
              <w:tab w:val="right" w:pos="9026" w:leader="dot"/>
            </w:tabs>
            <w:rPr/>
          </w:pPr>
          <w:hyperlink w:anchor="__RefHeading___Toc3345210_372815092">
            <w:r>
              <w:rPr>
                <w:webHidden/>
                <w:rStyle w:val="IndexLink"/>
                <w:rtl w:val="true"/>
              </w:rPr>
              <w:t xml:space="preserve">الموضع الثاني </w:t>
            </w:r>
            <w:r>
              <w:rPr>
                <w:rStyle w:val="IndexLink"/>
                <w:rtl w:val="true"/>
              </w:rPr>
              <w:t xml:space="preserve">: </w:t>
            </w:r>
            <w:r>
              <w:rPr>
                <w:rStyle w:val="IndexLink"/>
                <w:rtl w:val="true"/>
              </w:rPr>
              <w:t>في نجاسة من اطّلعوا من النبيّ صلى الله عليه وآله تبليغ الولاية من الّذين كانوا حاضرين في زمن الخطاب أو وصل إليهم بالتواتر، ثمّ أنكروا</w:t>
            </w:r>
            <w:r>
              <w:rPr>
                <w:rStyle w:val="IndexLink"/>
                <w:rtl w:val="true"/>
              </w:rPr>
              <w:tab/>
            </w:r>
            <w:r>
              <w:rPr>
                <w:rStyle w:val="IndexLink"/>
              </w:rPr>
              <w:t>66</w:t>
            </w:r>
          </w:hyperlink>
        </w:p>
        <w:p>
          <w:pPr>
            <w:pStyle w:val="Contents3"/>
            <w:tabs>
              <w:tab w:val="clear" w:pos="8459"/>
              <w:tab w:val="right" w:pos="9026" w:leader="dot"/>
            </w:tabs>
            <w:rPr/>
          </w:pPr>
          <w:hyperlink w:anchor="__RefHeading___Toc3345212_372815092">
            <w:r>
              <w:rPr>
                <w:webHidden/>
                <w:rStyle w:val="IndexLink"/>
                <w:rtl w:val="true"/>
              </w:rPr>
              <w:t xml:space="preserve">الموضع الثالث </w:t>
            </w:r>
            <w:r>
              <w:rPr>
                <w:rStyle w:val="IndexLink"/>
                <w:rtl w:val="true"/>
              </w:rPr>
              <w:t xml:space="preserve">: </w:t>
            </w:r>
            <w:r>
              <w:rPr>
                <w:rStyle w:val="IndexLink"/>
                <w:rtl w:val="true"/>
              </w:rPr>
              <w:t>في نجاسة الناصب</w:t>
            </w:r>
            <w:r>
              <w:rPr>
                <w:rStyle w:val="IndexLink"/>
                <w:rtl w:val="true"/>
              </w:rPr>
              <w:tab/>
            </w:r>
            <w:r>
              <w:rPr>
                <w:rStyle w:val="IndexLink"/>
              </w:rPr>
              <w:t>67</w:t>
            </w:r>
          </w:hyperlink>
        </w:p>
        <w:p>
          <w:pPr>
            <w:pStyle w:val="Contents3"/>
            <w:tabs>
              <w:tab w:val="clear" w:pos="8459"/>
              <w:tab w:val="right" w:pos="9026" w:leader="dot"/>
            </w:tabs>
            <w:rPr/>
          </w:pPr>
          <w:hyperlink w:anchor="__RefHeading___Toc3345214_372815092">
            <w:r>
              <w:rPr>
                <w:webHidden/>
                <w:rStyle w:val="IndexLink"/>
                <w:rtl w:val="true"/>
              </w:rPr>
              <w:t xml:space="preserve">الموضع الرابع </w:t>
            </w:r>
            <w:r>
              <w:rPr>
                <w:rStyle w:val="IndexLink"/>
                <w:rtl w:val="true"/>
              </w:rPr>
              <w:t xml:space="preserve">: </w:t>
            </w:r>
            <w:r>
              <w:rPr>
                <w:rStyle w:val="IndexLink"/>
                <w:rtl w:val="true"/>
              </w:rPr>
              <w:t>في ذكر الأدلّة الدالّة على نجاسة الجميع من التابعين للثلاثة</w:t>
            </w:r>
            <w:r>
              <w:rPr>
                <w:rStyle w:val="IndexLink"/>
                <w:rtl w:val="true"/>
              </w:rPr>
              <w:tab/>
            </w:r>
            <w:r>
              <w:rPr>
                <w:rStyle w:val="IndexLink"/>
              </w:rPr>
              <w:t>68</w:t>
            </w:r>
          </w:hyperlink>
        </w:p>
        <w:p>
          <w:pPr>
            <w:pStyle w:val="Contents2"/>
            <w:tabs>
              <w:tab w:val="clear" w:pos="8743"/>
              <w:tab w:val="right" w:pos="9026" w:leader="dot"/>
            </w:tabs>
            <w:rPr/>
          </w:pPr>
          <w:hyperlink w:anchor="__RefHeading___Toc3345216_372815092">
            <w:r>
              <w:rPr>
                <w:webHidden/>
                <w:rStyle w:val="IndexLink"/>
                <w:rtl w:val="true"/>
              </w:rPr>
              <w:t>فهرس مصادر التحقيق‌</w:t>
            </w:r>
            <w:r>
              <w:rPr>
                <w:rStyle w:val="IndexLink"/>
                <w:rtl w:val="true"/>
              </w:rPr>
              <w:tab/>
            </w:r>
            <w:r>
              <w:rPr>
                <w:rStyle w:val="IndexLink"/>
              </w:rPr>
              <w:t>75</w:t>
            </w:r>
          </w:hyperlink>
        </w:p>
        <w:p>
          <w:pPr>
            <w:pStyle w:val="Contents2"/>
            <w:tabs>
              <w:tab w:val="clear" w:pos="8743"/>
              <w:tab w:val="right" w:pos="9026" w:leader="dot"/>
            </w:tabs>
            <w:rPr/>
          </w:pPr>
          <w:hyperlink w:anchor="__RefHeading___Toc3345218_372815092">
            <w:r>
              <w:rPr>
                <w:webHidden/>
                <w:rStyle w:val="IndexLink"/>
                <w:rtl w:val="true"/>
              </w:rPr>
              <w:t>فهرس المطالب</w:t>
            </w:r>
            <w:r>
              <w:rPr>
                <w:rStyle w:val="IndexLink"/>
                <w:rtl w:val="true"/>
              </w:rPr>
              <w:tab/>
            </w:r>
            <w:r>
              <w:rPr>
                <w:rStyle w:val="IndexLink"/>
              </w:rPr>
              <w:t>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69_58435"/>
      <w:bookmarkStart w:id="1" w:name="pg7069_58435"/>
      <w:bookmarkEnd w:id="1"/>
    </w:p>
    <w:p>
      <w:pPr>
        <w:pStyle w:val="Heading2"/>
        <w:numPr>
          <w:ilvl w:val="1"/>
          <w:numId w:val="1"/>
        </w:numPr>
        <w:rPr/>
      </w:pPr>
      <w:bookmarkStart w:id="2" w:name="pg7069_58435"/>
      <w:bookmarkStart w:id="3" w:name="__RefHeading___Toc3345128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رسالةٌ في نجاسة المخالفين و عدمها</w:t>
      </w:r>
    </w:p>
    <w:p>
      <w:pPr>
        <w:pStyle w:val="BookText"/>
        <w:rPr/>
      </w:pPr>
      <w:r>
        <w:rPr>
          <w:rFonts w:ascii="Amiri" w:hAnsi="Amiri" w:eastAsia="Amiri" w:cs="Amiri"/>
          <w:color w:val="111111"/>
          <w:sz w:val="28"/>
          <w:sz w:val="28"/>
          <w:szCs w:val="28"/>
          <w:rtl w:val="true"/>
          <w:lang w:bidi="ar-SA"/>
        </w:rPr>
        <w:t>تأليف العلّامة المحقّق و الفقيه المتتبّع</w:t>
      </w:r>
    </w:p>
    <w:p>
      <w:pPr>
        <w:pStyle w:val="BookText"/>
        <w:rPr/>
      </w:pPr>
      <w:r>
        <w:rPr>
          <w:rFonts w:ascii="Amiri" w:hAnsi="Amiri" w:eastAsia="Amiri" w:cs="Amiri"/>
          <w:color w:val="111111"/>
          <w:sz w:val="28"/>
          <w:sz w:val="28"/>
          <w:szCs w:val="28"/>
          <w:rtl w:val="true"/>
          <w:lang w:bidi="ar-SA"/>
        </w:rPr>
        <w:t>الحاجّ السيّد محمّد باقر الشفتيّ قدس سره</w:t>
      </w:r>
    </w:p>
    <w:p>
      <w:pPr>
        <w:pStyle w:val="BookText"/>
        <w:rPr/>
      </w:pPr>
      <w:r>
        <w:rPr>
          <w:rFonts w:ascii="Amiri" w:hAnsi="Amiri" w:eastAsia="Amiri" w:cs="Amiri"/>
          <w:color w:val="111111"/>
          <w:sz w:val="28"/>
          <w:sz w:val="28"/>
          <w:szCs w:val="28"/>
          <w:rtl w:val="true"/>
          <w:lang w:bidi="ar-SA"/>
        </w:rPr>
        <w:t xml:space="preserve">المعروف بحجّة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الرضا الشفتيّ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45130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069_58439"/>
      <w:bookmarkStart w:id="8" w:name="pg7069_58439"/>
      <w:bookmarkEnd w:id="8"/>
    </w:p>
    <w:p>
      <w:pPr>
        <w:pStyle w:val="Heading2"/>
        <w:numPr>
          <w:ilvl w:val="1"/>
          <w:numId w:val="1"/>
        </w:numPr>
        <w:rPr/>
      </w:pPr>
      <w:bookmarkStart w:id="9" w:name="pg7069_58439"/>
      <w:bookmarkStart w:id="10" w:name="__RefHeading___Toc3345132_372815092"/>
      <w:bookmarkStart w:id="11" w:name="_Toc3"/>
      <w:bookmarkEnd w:id="9"/>
      <w:bookmarkEnd w:id="10"/>
      <w:r>
        <w:rPr>
          <w:rtl w:val="true"/>
        </w:rPr>
        <w:t>مقدّمة التحقيق‌</w:t>
      </w:r>
      <w:bookmarkEnd w:id="11"/>
    </w:p>
    <w:p>
      <w:pPr>
        <w:pStyle w:val="Heading3"/>
        <w:numPr>
          <w:ilvl w:val="2"/>
          <w:numId w:val="1"/>
        </w:numPr>
        <w:rPr/>
      </w:pPr>
      <w:bookmarkStart w:id="12" w:name="__RefHeading___Toc3345134_372815092"/>
      <w:bookmarkStart w:id="13" w:name="_Toc4"/>
      <w:bookmarkEnd w:id="12"/>
      <w:r>
        <w:rPr/>
        <w:t>1</w:t>
      </w:r>
      <w:r>
        <w:rPr>
          <w:rtl w:val="true"/>
        </w:rPr>
        <w:t>-</w:t>
      </w:r>
      <w:r>
        <w:rPr>
          <w:rtl w:val="true"/>
        </w:rPr>
        <w:t>لمحةٌ من حياة المؤلّف قدس سره</w:t>
      </w:r>
      <w:bookmarkEnd w:id="13"/>
    </w:p>
    <w:p>
      <w:pPr>
        <w:pStyle w:val="Heading4"/>
        <w:numPr>
          <w:ilvl w:val="3"/>
          <w:numId w:val="1"/>
        </w:numPr>
        <w:rPr/>
      </w:pPr>
      <w:bookmarkStart w:id="14" w:name="__RefHeading___Toc3345136_372815092"/>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لمحةٌ من حياة المؤلّف قدس سره </w:t>
      </w:r>
      <w:r>
        <w:rPr>
          <w:rStyle w:val="FootnoteAnchor"/>
          <w:rtl w:val="true"/>
        </w:rPr>
        <w:footnoteReference w:id="2"/>
      </w:r>
    </w:p>
    <w:p>
      <w:pPr>
        <w:pStyle w:val="Heading4"/>
        <w:numPr>
          <w:ilvl w:val="3"/>
          <w:numId w:val="1"/>
        </w:numPr>
        <w:rPr/>
      </w:pPr>
      <w:bookmarkStart w:id="16" w:name="__RefHeading___Toc3345138_372815092"/>
      <w:bookmarkStart w:id="17" w:name="_Toc6"/>
      <w:bookmarkEnd w:id="16"/>
      <w:r>
        <w:rPr>
          <w:rtl w:val="true"/>
        </w:rPr>
        <w:t>اسمه و نسبه‌</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محمّد باقر بن السيّد محمّد 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النسب، الشفتي الرشتيّ الجيلانيّ الأصل واللقب، الغرويّ الحائريّ الكاظميّ العلم والأدب، </w:t>
      </w:r>
      <w:bookmarkStart w:id="18" w:name="pg7069_58440"/>
    </w:p>
    <w:p>
      <w:pPr>
        <w:pStyle w:val="BookText"/>
        <w:rPr/>
      </w:pPr>
      <w:bookmarkEnd w:id="18"/>
      <w:r>
        <w:rPr>
          <w:rFonts w:ascii="Amiri" w:hAnsi="Amiri" w:eastAsia="Amiri" w:cs="Amiri"/>
          <w:color w:val="111111"/>
          <w:sz w:val="28"/>
          <w:sz w:val="28"/>
          <w:szCs w:val="28"/>
          <w:rtl w:val="true"/>
          <w:lang w:bidi="ar-SA"/>
        </w:rPr>
        <w:t xml:space="preserve">العراقي، الأصفهاني البيدآبادي المنشأ والموطن والمدفن والمآب، الشهير في الآفاق بحجّة الإسلام على الإطلاق، من فحول علماء الإمامية في القرنين الثاني عشر والثالث عشر، و من كبار زعماء الدين وأعلام الطائفة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نسبه الشريف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بن محمّد نقي بن محمّد زكي بن محمّد تقي بن شاه قاسم بن مير أشرف بن شاه قاسم بن شاه هدايت بن الأمير هاشم بن السلطان السيّد عليّ قاضي بن السيّد عليّ بن السيّد محمّد بن السيّد علي بن السيّد محمّد بن السيّد موسى بن السيّد جعفر بن السيّد إسماعيل بن السيّد أحمد بن السيّد محمّد بن السيّد أحمد بن السيّد محمّد بن السيّد أبي القاسم بن السيّد حمزة بن الإمام موسى الكاظم عليه السلام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 w:name="__RefHeading___Toc3345140_372815092"/>
      <w:bookmarkStart w:id="20" w:name="_Toc7"/>
      <w:bookmarkEnd w:id="19"/>
      <w:r>
        <w:rPr>
          <w:rtl w:val="true"/>
        </w:rPr>
        <w:t>ولادته و نشأته‌</w:t>
      </w:r>
      <w:bookmarkEnd w:id="20"/>
    </w:p>
    <w:p>
      <w:pPr>
        <w:pStyle w:val="BookText"/>
        <w:rPr/>
      </w:pPr>
      <w:r>
        <w:rPr>
          <w:rFonts w:ascii="Amiri" w:hAnsi="Amiri" w:eastAsia="Amiri" w:cs="Amiri"/>
          <w:color w:val="111111"/>
          <w:sz w:val="28"/>
          <w:sz w:val="28"/>
          <w:szCs w:val="28"/>
          <w:rtl w:val="true"/>
          <w:lang w:bidi="ar-SA"/>
        </w:rPr>
        <w:t xml:space="preserve">ولد على أصحّ القولين في سنة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4"/>
      </w:r>
      <w:r>
        <w:rPr>
          <w:rFonts w:ascii="Amiri" w:hAnsi="Amiri" w:eastAsia="Amiri" w:cs="Amiri"/>
          <w:color w:val="111111"/>
          <w:sz w:val="28"/>
          <w:sz w:val="28"/>
          <w:szCs w:val="28"/>
          <w:rtl w:val="true"/>
          <w:lang w:bidi="ar-SA"/>
        </w:rPr>
        <w:t xml:space="preserve">في قرية من قرى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طارم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وانتقل إلى شفت و هو ابن سبع سنين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هاجر إلى العراق لطلب العلوم الدينيّة والكمالات النفسانيّة في حدود سنة </w:t>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قريبًا من ذلك، و هو ابن ستّ أو سبع عشرة سنة </w:t>
      </w:r>
      <w:r>
        <w:rPr>
          <w:rStyle w:val="FootnoteAnchor"/>
          <w:rtl w:val="true"/>
        </w:rPr>
        <w:footnoteReference w:id="6"/>
      </w:r>
      <w:r>
        <w:rPr>
          <w:rFonts w:ascii="Amiri" w:hAnsi="Amiri" w:eastAsia="Amiri" w:cs="Amiri"/>
          <w:color w:val="111111"/>
          <w:sz w:val="28"/>
          <w:sz w:val="28"/>
          <w:szCs w:val="28"/>
          <w:rtl w:val="true"/>
          <w:lang w:bidi="ar-SA"/>
        </w:rPr>
        <w:t xml:space="preserve">، فحضر في أوّل أمره على الأستاذ الأكبر الآقا محمّد باقر الوحيد البهبهاني قدس سره في كربلاء </w:t>
      </w:r>
      <w:r>
        <w:rPr>
          <w:rStyle w:val="FootnoteAnchor"/>
          <w:rtl w:val="true"/>
        </w:rPr>
        <w:footnoteReference w:id="7"/>
      </w:r>
      <w:r>
        <w:rPr>
          <w:rFonts w:ascii="Amiri" w:hAnsi="Amiri" w:eastAsia="Amiri" w:cs="Amiri"/>
          <w:color w:val="111111"/>
          <w:sz w:val="28"/>
          <w:sz w:val="28"/>
          <w:szCs w:val="28"/>
          <w:rtl w:val="true"/>
          <w:lang w:bidi="ar-SA"/>
        </w:rPr>
        <w:t xml:space="preserve">، ثمّ على أستاذه العلّامة المير سيّد عليّ الطباطبائيّ قدس سره صاحب الرياض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رحل إلى النجف الأشرف و أقام فيها سبع سنين، و حضر فيها على العلّامة الطباطبائيّ بحر العلوم قدس سره، والشيخ الأكبر صاحب كشف الغطاء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سافر إلى الكاظميّة، فحضر فيها على السيّد المحقّق المُحسن البغداديّ المقدّس الأعرجي رحمه الله قليلًا، فقد قرأ عليه القضاء والشهادات، وأقام عنده مدّة من الزمان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حلّت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قد تمّ بها على المترجم في العراق ثمان سنين بلغ فيها درجة سامية و مكانة عالية، رجع إلى ديار العجم </w:t>
      </w:r>
      <w:r>
        <w:rPr>
          <w:rStyle w:val="FootnoteAnchor"/>
          <w:rtl w:val="true"/>
        </w:rPr>
        <w:footnoteReference w:id="8"/>
      </w:r>
      <w:r>
        <w:rPr>
          <w:rFonts w:ascii="Amiri" w:hAnsi="Amiri" w:eastAsia="Amiri" w:cs="Amiri"/>
          <w:color w:val="111111"/>
          <w:sz w:val="28"/>
          <w:sz w:val="28"/>
          <w:szCs w:val="28"/>
          <w:rtl w:val="true"/>
          <w:lang w:bidi="ar-SA"/>
        </w:rPr>
        <w:t xml:space="preserve">و توطّن في أصفهان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مع الحاجّ محمّد ابراهيم الكلباسي قدس سره، وكانا صديقين رفيقين شفيقين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اتّفق له في سنة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الارتحال من أصفهان إلى قم أيّام زعامة المحقّق القمّي رحمه الله، فحضر مجلسه بما ينيف على ستّة أشهر </w:t>
      </w:r>
      <w:r>
        <w:rPr>
          <w:rStyle w:val="FootnoteAnchor"/>
          <w:rtl w:val="true"/>
        </w:rPr>
        <w:footnoteReference w:id="10"/>
      </w:r>
      <w:r>
        <w:rPr>
          <w:rFonts w:ascii="Amiri" w:hAnsi="Amiri" w:eastAsia="Amiri" w:cs="Amiri"/>
          <w:color w:val="111111"/>
          <w:sz w:val="28"/>
          <w:sz w:val="28"/>
          <w:szCs w:val="28"/>
          <w:rtl w:val="true"/>
          <w:lang w:bidi="ar-SA"/>
        </w:rPr>
        <w:t xml:space="preserve">، 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لنفسي الترقّي الكامل في هذه المدّة القليلة بقدر تمام ما حصل لي في مدّة مقامي بالعتبات العاليات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فكتب له الميرزا قدس سره إجازة مبسوطة مضبوطة كان يغتنم بها من ذلك السفر المبارك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سافر بعدها إلى كاشان، فحضر على المولى محمّد مهدي النراقي رحمه الله، وتلمّذ عليه مدّة قليلة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من بعض المشايخ أنّه بعد وروده إلى أصفهان ليس له شي‌ء من الكتب إلّا مجلّدًا واحدًا من المدارك، و كان مجرّدًا من الأموال، قليل البضاعة، بل عديمها، إلّا منديلًا لمحلّ الخبز، ويسمّى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سكن في مدرسة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 بابه إلى چهارباغ العبّاسي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w:t>
      </w:r>
    </w:p>
    <w:p>
      <w:pPr>
        <w:pStyle w:val="BookText"/>
        <w:rPr/>
      </w:pPr>
      <w:r>
        <w:rPr>
          <w:rFonts w:ascii="IRNazanin" w:hAnsi="IRNazanin" w:eastAsia="IRNazanin"/>
          <w:color w:val="111111"/>
          <w:sz w:val="28"/>
          <w:sz w:val="28"/>
          <w:szCs w:val="28"/>
          <w:rtl w:val="true"/>
          <w:lang w:bidi="fa-IR"/>
        </w:rPr>
        <w:t xml:space="preserve">في اصفهان بمدرسة چهارباغ، واجتمع الطلّاب والمشتغلون عنده للتحصيل والتعليم، و أخرجه المدرّس من المدرسة و لم يتعرّض له و لم يعارضه، فإذا اطّلع على انّه أمر بالخروج، خرج من غير إظهار للكراهة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فبعد قليل من الزمان إجتمع عليه أهل العلم والمحصّلون، وانتقلت إليه رياسة الإماميّة في أغلب الأقطار بعد ذهاب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مرجعًا للفتوى، و أقبلت له الدنيا بحيث انتهت إليه الرياسة الدينيّة والدنيويّة، وملكت أموالًا كثيرة من النقود والعروض والعقار والقرى والدور الكثيرة في محلّة بيدآباد، و كان له أموال كثيرة في التجارة إلى بلدة رشت يدور من اصفهان إلى رشت، و يربح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الباعث على ترويج أمره في أصفهان و في غيره من البلاد، العالم الربّاني والمحقّق الصمداني ميرزا أبوالقاسم الجيلاني القمّي قدس سره، المقبول قوله عند العوام والخواص، و عند السلطان والرعيّة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يقدّمه العالم الزعيم الحاج محمّد إبراهيم الكرباسي رحمه الله في المشي والحكم و غيرهما، فكلّ هذه الأمور كانت ترفع شأنه، إلّا انّ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الأيدي، ترفع و تضع طبق المصالح الربّانيّة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بينه و بين الحاج محمّد إبراهيم المذكور صلة متينة و صداقة تامّة من بدء أمرهما، فقد كانا زميلين كريمين في النجف، تجمع بينهما معاهد العلم، وشاء </w:t>
      </w:r>
    </w:p>
    <w:p>
      <w:pPr>
        <w:pStyle w:val="BookText"/>
        <w:rPr/>
      </w:pPr>
      <w:r>
        <w:rPr>
          <w:rFonts w:ascii="Amiri" w:hAnsi="Amiri" w:eastAsia="Amiri" w:cs="Amiri"/>
          <w:color w:val="111111"/>
          <w:sz w:val="28"/>
          <w:sz w:val="28"/>
          <w:szCs w:val="28"/>
          <w:rtl w:val="true"/>
          <w:lang w:bidi="ar-SA"/>
        </w:rPr>
        <w:t xml:space="preserve">اللَّه أن تنمو هذه المودّة شيئًا فشيئًا، و يبلغ كلّ منهما في الزعامة مبلغًا لم يكن يحدث له في البال، وأن يسكنا معًا بلدة أصفهان، ويتزعّما بها في وقت واحد، ولم تكن الرياسة لتكدّر صفو ذلك الودّ الخالص، أو تؤثّر مثقال ذرّة، فكلّما زادت سطوة أحدهما زاد اتّصالًا و رغبة بصاحبه، فاعتبروا يا أولى 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 بيت اللَّه الحرام في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6"/>
      </w:r>
      <w:r>
        <w:rPr>
          <w:rFonts w:ascii="Amiri" w:hAnsi="Amiri" w:eastAsia="Amiri" w:cs="Amiri"/>
          <w:color w:val="111111"/>
          <w:sz w:val="28"/>
          <w:sz w:val="28"/>
          <w:szCs w:val="28"/>
          <w:rtl w:val="true"/>
          <w:lang w:bidi="ar-SA"/>
        </w:rPr>
        <w:t xml:space="preserve">من طريق البحر، و كان ذلك أيّام محمّد عليّ باشا المصريّ، و كانت له زيارة خاصّة له، فأخذ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وكفّل بها سادات المدينة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ميراث أولاد الزهراء استرد لهم من غاصبي فدك في طوفه الحرما</w:t>
      </w:r>
    </w:p>
    <w:p>
      <w:pPr>
        <w:pStyle w:val="BookText"/>
        <w:rPr/>
      </w:pPr>
      <w:r>
        <w:rPr>
          <w:rFonts w:ascii="Amiri" w:hAnsi="Amiri" w:eastAsia="Amiri" w:cs="Amiri"/>
          <w:color w:val="111111"/>
          <w:sz w:val="28"/>
          <w:sz w:val="28"/>
          <w:szCs w:val="28"/>
          <w:rtl w:val="true"/>
          <w:lang w:bidi="ar-SA"/>
        </w:rPr>
        <w:t>؛ و كذلك حدّد المطاف على مذهب الشيعة للمسلمين في مكّة المكرّمة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أخذ في بناء المسجد الأعظم باصبهان </w:t>
      </w:r>
      <w:r>
        <w:rPr>
          <w:rStyle w:val="FootnoteAnchor"/>
          <w:rtl w:val="true"/>
        </w:rPr>
        <w:footnoteReference w:id="19"/>
      </w:r>
      <w:r>
        <w:rPr>
          <w:rFonts w:ascii="Amiri" w:hAnsi="Amiri" w:eastAsia="Amiri" w:cs="Amiri"/>
          <w:color w:val="111111"/>
          <w:sz w:val="28"/>
          <w:sz w:val="28"/>
          <w:szCs w:val="28"/>
          <w:rtl w:val="true"/>
          <w:lang w:bidi="ar-SA"/>
        </w:rPr>
        <w:t xml:space="preserve">وأنفق عليه ما يقرب من مائة ألف دينار شرعيّ تقريبًا من أمواله الخالصة، ومال بقبلته إلى يمين قبلة سائر المساجد يسيرًا، و جعل له مدارس و حجرات للطلبة، و أسّس أساسًا </w:t>
      </w:r>
      <w:bookmarkStart w:id="21" w:name="pg7069_58445"/>
    </w:p>
    <w:p>
      <w:pPr>
        <w:pStyle w:val="BookText"/>
        <w:rPr/>
      </w:pPr>
      <w:bookmarkEnd w:id="21"/>
      <w:r>
        <w:rPr>
          <w:rFonts w:ascii="Amiri" w:hAnsi="Amiri" w:eastAsia="Amiri" w:cs="Amiri"/>
          <w:color w:val="111111"/>
          <w:sz w:val="28"/>
          <w:sz w:val="28"/>
          <w:szCs w:val="28"/>
          <w:rtl w:val="true"/>
          <w:lang w:bidi="ar-SA"/>
        </w:rPr>
        <w:t xml:space="preserve">لم يعهد مثله من أحد العلماء والمجتهدين، و بنى فيه قبّة لمدفن نفسه، و هي الآن بمنزلة مشهد من مشاهد الأنبياء والأئمّة عليهم السلام، مطاف للخلايق في خمسة أوقات الصلوات </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3345142_372815092"/>
      <w:bookmarkStart w:id="23" w:name="_Toc8"/>
      <w:bookmarkEnd w:id="22"/>
      <w:r>
        <w:rPr>
          <w:rtl w:val="true"/>
        </w:rPr>
        <w:t>إطراء العلماء له‌</w:t>
      </w:r>
      <w:bookmarkEnd w:id="23"/>
    </w:p>
    <w:p>
      <w:pPr>
        <w:pStyle w:val="Heading5"/>
        <w:numPr>
          <w:ilvl w:val="4"/>
          <w:numId w:val="1"/>
        </w:numPr>
        <w:rPr/>
      </w:pPr>
      <w:bookmarkStart w:id="24" w:name="__RefHeading___Toc3345144_372815092"/>
      <w:bookmarkStart w:id="25" w:name="_Toc9"/>
      <w:bookmarkEnd w:id="24"/>
      <w:r>
        <w:rPr/>
        <w:t>1</w:t>
      </w:r>
      <w:r>
        <w:rPr>
          <w:rtl w:val="true"/>
        </w:rPr>
        <w:t xml:space="preserve"> - </w:t>
      </w:r>
      <w:r>
        <w:rPr>
          <w:rtl w:val="true"/>
        </w:rPr>
        <w:t>الفقيه المحقّق ميرزا أبوالقاسم القمّي قدس سره‌</w:t>
      </w:r>
      <w:bookmarkEnd w:id="25"/>
    </w:p>
    <w:p>
      <w:pPr>
        <w:pStyle w:val="BookText"/>
        <w:rPr/>
      </w:pPr>
      <w:r>
        <w:rPr>
          <w:rFonts w:ascii="Amiri" w:hAnsi="Amiri" w:eastAsia="Amiri" w:cs="Amiri"/>
          <w:color w:val="111111"/>
          <w:sz w:val="28"/>
          <w:sz w:val="28"/>
          <w:szCs w:val="28"/>
          <w:rtl w:val="true"/>
          <w:lang w:bidi="ar-SA"/>
        </w:rPr>
        <w:t xml:space="preserve">هو من أساتذته و مشايخه، قال في إجازته الكبيرة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استجازني الولد الأعزّ الأمجد، والخل الأسعد الأرشد العالم العامل الزكي الذكي، والفاضل الكامل الألمعيّ اللوذعيّ، بل المحقّق المدقّق التقي النقي، ابن المرحوم المبرور السيّد محمّد نقي، محمّد باقر الموسويّ الجيلانيّ، أسبل اللَّه عليه نواله، و كثّر في الفرقة الناجية أمثاله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 w:name="__RefHeading___Toc3345146_372815092"/>
      <w:bookmarkStart w:id="27" w:name="_Toc10"/>
      <w:bookmarkEnd w:id="26"/>
      <w:r>
        <w:rPr/>
        <w:t>2</w:t>
      </w:r>
      <w:r>
        <w:rPr>
          <w:rtl w:val="true"/>
        </w:rPr>
        <w:t xml:space="preserve"> - </w:t>
      </w:r>
      <w:r>
        <w:rPr>
          <w:rtl w:val="true"/>
        </w:rPr>
        <w:t>الحكيم المولى عليّ النوريّ قدس سره‌</w:t>
      </w:r>
      <w:bookmarkEnd w:id="27"/>
    </w:p>
    <w:p>
      <w:pPr>
        <w:pStyle w:val="BookText"/>
        <w:rPr/>
      </w:pPr>
      <w:r>
        <w:rPr>
          <w:rFonts w:ascii="Amiri" w:hAnsi="Amiri" w:eastAsia="Amiri" w:cs="Amiri"/>
          <w:color w:val="111111"/>
          <w:sz w:val="28"/>
          <w:sz w:val="28"/>
          <w:szCs w:val="28"/>
          <w:rtl w:val="true"/>
          <w:lang w:bidi="ar-SA"/>
        </w:rPr>
        <w:t xml:space="preserve">هو من أساتذته، قد أطرى عليه بقوله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العهد، فقيه العصر، حجّة الطائفة المحقّة، قبلة الكرام البررة، </w:t>
      </w:r>
      <w:bookmarkStart w:id="28" w:name="pg7069_58446"/>
    </w:p>
    <w:p>
      <w:pPr>
        <w:pStyle w:val="BookText"/>
        <w:rPr/>
      </w:pPr>
      <w:bookmarkEnd w:id="28"/>
      <w:r>
        <w:rPr>
          <w:rFonts w:ascii="Amiri" w:hAnsi="Amiri" w:eastAsia="Amiri" w:cs="Amiri"/>
          <w:color w:val="111111"/>
          <w:sz w:val="28"/>
          <w:sz w:val="28"/>
          <w:szCs w:val="28"/>
          <w:rtl w:val="true"/>
          <w:lang w:bidi="ar-SA"/>
        </w:rPr>
        <w:t xml:space="preserve">الفريد الدهريّ، والوحيد العصريّ، مطاع، واجب الإتّباع، معظّم، مجموعة المناقب والمفاخر، آقا سيّد محمّد باقر، دامت بركات فضائله الإنسيّة و شمائله القدسيّة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3345148_372815092"/>
      <w:bookmarkStart w:id="30" w:name="_Toc11"/>
      <w:bookmarkEnd w:id="29"/>
      <w:r>
        <w:rPr>
          <w:rtl w:val="true"/>
        </w:rPr>
        <w:t>زهده و عبادته‌</w:t>
      </w:r>
      <w:bookmarkEnd w:id="30"/>
    </w:p>
    <w:p>
      <w:pPr>
        <w:pStyle w:val="BookText"/>
        <w:rPr/>
      </w:pPr>
      <w:r>
        <w:rPr>
          <w:rFonts w:ascii="Amiri" w:hAnsi="Amiri" w:eastAsia="Amiri" w:cs="Amiri"/>
          <w:color w:val="111111"/>
          <w:sz w:val="28"/>
          <w:sz w:val="28"/>
          <w:szCs w:val="28"/>
          <w:rtl w:val="true"/>
          <w:lang w:bidi="ar-SA"/>
        </w:rPr>
        <w:t xml:space="preserve">قال المحدّث القمّي رحمه الله في الفوائد الرضويّة، نقلًا عن صاحب التكملة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 السيّد محمّد باقر كان عالمًا ربّانيًّا روحانيًّا ممّن عرف حلال آل محمّد عليهم السلام و حرامهم، و شيّد أحكامهم، و خالف هواه، واتّبع أمر مولاه، كان دائم المراقبة لربّه، لا يشغله شي‌ء عن الحضور والمراقبة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والدي رحمه الله انّ آماق عين السيّد كانت مجروحة من كثرة بكائه في تهجّده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بعض خواصّه،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معه إلى بعض قراه، فبتنا في الطريق،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مضجعي فظنّ أني نمت، فقام يصلّي، فواللَّه إنّي رأيت فرائصه وأعضائه يرتعد بحيث كان يكرّر الكلمة مرارًا من شدّة حركة فكّيه وأعضائه، حتّى ينطق بها صحيحة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31" w:name="pg7069_58447"/>
    </w:p>
    <w:p>
      <w:pPr>
        <w:pStyle w:val="Heading4"/>
        <w:numPr>
          <w:ilvl w:val="3"/>
          <w:numId w:val="1"/>
        </w:numPr>
        <w:rPr/>
      </w:pPr>
      <w:bookmarkStart w:id="32" w:name="__RefHeading___Toc3345150_372815092"/>
      <w:bookmarkStart w:id="33" w:name="_Toc12"/>
      <w:bookmarkEnd w:id="31"/>
      <w:bookmarkEnd w:id="32"/>
      <w:r>
        <w:rPr>
          <w:rtl w:val="true"/>
        </w:rPr>
        <w:t>إقامته الحدود الشرعيّة</w:t>
      </w:r>
      <w:bookmarkEnd w:id="33"/>
    </w:p>
    <w:p>
      <w:pPr>
        <w:pStyle w:val="BookText"/>
        <w:rPr/>
      </w:pPr>
      <w:r>
        <w:rPr>
          <w:rFonts w:ascii="Amiri" w:hAnsi="Amiri" w:eastAsia="Amiri" w:cs="Amiri"/>
          <w:color w:val="111111"/>
          <w:sz w:val="28"/>
          <w:sz w:val="28"/>
          <w:szCs w:val="28"/>
          <w:rtl w:val="true"/>
          <w:lang w:bidi="ar-SA"/>
        </w:rPr>
        <w:t xml:space="preserve">يعتقد السيّد حجّة الإسلام أنّ إقامة الحدود واجبة على الفقيه الجامع لشرائط الفتوى في عصر الغيبة عند التمكّن من الإقامة والأمن من مضرّة أهل الفساد، وألّف قدس سره في إثبات هذا الاعتقاد رسالة ؛ و بهذا كان يقيم الحدود الشرعيّة ويجريها بيده أو يد من يأمره بلا خشية و لا خوف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الروضات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يقدم إلى إجرائه بالمباشرة أو الأمر بحيث بلغ عدد من قتله رحمه الله في سبيل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الجناة والجفاة أو الزناة أو المحاربين اللاطين زمن رئاسته ثمانين أو تسعين،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عشرين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3345152_372815092"/>
      <w:bookmarkStart w:id="35" w:name="_Toc13"/>
      <w:bookmarkEnd w:id="34"/>
      <w:r>
        <w:rPr>
          <w:rtl w:val="true"/>
        </w:rPr>
        <w:t>أساتذته و مشايخ روايته‌</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الأستاذ الأكبر الآقا محمّد باقر الوحيد البهبهاني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محمّد مهدي الموسويّ الشهرستانيّ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الأكبر الشيخ جعفر كاشف الغطاء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سليمان بن معتوق العامليّ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36" w:name="pg7069_58448"/>
    </w:p>
    <w:p>
      <w:pPr>
        <w:pStyle w:val="BookText"/>
        <w:rPr/>
      </w:pPr>
      <w:bookmarkEnd w:id="3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محسن الأعرجيّ البغداديّ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السيّد عليّ الطباطبائي الحائريّ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أبوالقاسم الجيلاني القمّي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3345154_372815092"/>
      <w:bookmarkStart w:id="38" w:name="_Toc14"/>
      <w:bookmarkEnd w:id="37"/>
      <w:r>
        <w:rPr>
          <w:rtl w:val="true"/>
        </w:rPr>
        <w:t>أولاده‌</w:t>
      </w:r>
      <w:bookmarkEnd w:id="38"/>
    </w:p>
    <w:p>
      <w:pPr>
        <w:pStyle w:val="Heading5"/>
        <w:numPr>
          <w:ilvl w:val="4"/>
          <w:numId w:val="1"/>
        </w:numPr>
        <w:rPr/>
      </w:pPr>
      <w:bookmarkStart w:id="39" w:name="__RefHeading___Toc3345156_372815092"/>
      <w:bookmarkStart w:id="40" w:name="_Toc15"/>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 xml:space="preserve">له قدس سره أولاد متعدّدون، كلّهم علماء أجلّاء، و سادة فضلاء، إنتهت إليهم الرياسة الدينيّة والعلميّة بعد أبيهم في أصفهان، و هم </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3345158_372815092"/>
      <w:bookmarkStart w:id="42" w:name="_Toc16"/>
      <w:bookmarkEnd w:id="41"/>
      <w:r>
        <w:rPr/>
        <w:t>1</w:t>
      </w:r>
      <w:r>
        <w:rPr>
          <w:rtl w:val="true"/>
        </w:rPr>
        <w:t xml:space="preserve"> - </w:t>
      </w:r>
      <w:r>
        <w:rPr>
          <w:rtl w:val="true"/>
        </w:rPr>
        <w:t xml:space="preserve">السيّد أسد اللَّه </w:t>
      </w:r>
      <w:r>
        <w:rPr>
          <w:rtl w:val="true"/>
        </w:rPr>
        <w:t xml:space="preserve">( </w:t>
      </w:r>
      <w:r>
        <w:rPr/>
        <w:t>1228</w:t>
      </w:r>
      <w:r>
        <w:rPr>
          <w:rtl w:val="true"/>
        </w:rPr>
        <w:t xml:space="preserve"> - </w:t>
      </w:r>
      <w:r>
        <w:rPr/>
        <w:t>1290</w:t>
      </w:r>
      <w:r>
        <w:rPr>
          <w:rtl w:val="true"/>
        </w:rPr>
        <w:t xml:space="preserve"> </w:t>
      </w:r>
      <w:r>
        <w:rPr>
          <w:rtl w:val="true"/>
        </w:rPr>
        <w:t xml:space="preserve">ق </w:t>
      </w:r>
      <w:r>
        <w:rPr>
          <w:rtl w:val="true"/>
        </w:rPr>
        <w:t>)</w:t>
      </w:r>
      <w:bookmarkEnd w:id="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أسد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السيّد عبدالحسين شرف الدين في ترجمة والده قدس سره ما هذا كلامه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خَلَفَه ولده الأبرّ الأغرّ، الفقيه الأصولي، المحقّق البحّاثة، العلّامة السيّد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رحمه الله على شاكلة أبيه في العلم والعمل والجهاد لنفسه و المراقبة عليها آناء الليل، و أطراف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انتهت إليه رئاسة الدين في ايران، وانقادت لأمره عامّة الناس وخاصّتها حتّى السلطان ناصر الدين شاه </w:t>
      </w:r>
      <w:r>
        <w:rPr>
          <w:rFonts w:eastAsia="Amiri" w:cs="Amiri" w:ascii="Amiri" w:hAnsi="Amiri"/>
          <w:color w:val="111111"/>
          <w:sz w:val="28"/>
          <w:szCs w:val="28"/>
          <w:rtl w:val="true"/>
          <w:lang w:bidi="ar-SA"/>
        </w:rPr>
        <w:t xml:space="preserve">... »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مهديّ </w:t>
      </w:r>
      <w:r>
        <w:rPr>
          <w:rStyle w:val="FootnoteAnchor"/>
          <w:rtl w:val="true"/>
        </w:rPr>
        <w:footnoteReference w:id="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عاشوراء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9"/>
      </w:r>
      <w:bookmarkStart w:id="43" w:name="pg7069_58450"/>
    </w:p>
    <w:p>
      <w:pPr>
        <w:pStyle w:val="BookText"/>
        <w:rPr/>
      </w:pPr>
      <w:bookmarkEnd w:id="4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قبل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قبل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2"/>
      </w:r>
    </w:p>
    <w:p>
      <w:pPr>
        <w:pStyle w:val="Heading4"/>
        <w:numPr>
          <w:ilvl w:val="3"/>
          <w:numId w:val="1"/>
        </w:numPr>
        <w:rPr/>
      </w:pPr>
      <w:bookmarkStart w:id="44" w:name="__RefHeading___Toc3345160_372815092"/>
      <w:bookmarkStart w:id="45" w:name="_Toc17"/>
      <w:bookmarkEnd w:id="44"/>
      <w:r>
        <w:rPr>
          <w:rtl w:val="true"/>
        </w:rPr>
        <w:t>تآليفه القيّمة</w:t>
      </w:r>
      <w:bookmarkEnd w:id="45"/>
    </w:p>
    <w:p>
      <w:pPr>
        <w:pStyle w:val="Heading5"/>
        <w:numPr>
          <w:ilvl w:val="4"/>
          <w:numId w:val="1"/>
        </w:numPr>
        <w:rPr/>
      </w:pPr>
      <w:bookmarkStart w:id="46" w:name="__RefHeading___Toc3345162_372815092"/>
      <w:bookmarkStart w:id="47" w:name="_Toc18"/>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له مؤلّفات كثيرة، و رسائل متعدّدة، كلّها تفصح عن تضلّعه في شتّى العلوم المختلفة خصوصًا الفقه والرجال، و تظهر منها جامعيّته من المعقول والمنقول، وإليك أسماء بعضها </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3345164_372815092"/>
      <w:bookmarkStart w:id="49" w:name="_Toc19"/>
      <w:bookmarkEnd w:id="48"/>
      <w:r>
        <w:rPr>
          <w:rtl w:val="true"/>
        </w:rPr>
        <w:t>الكتب و الرسائل الفقهيّة</w:t>
      </w:r>
      <w:bookmarkEnd w:id="4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الأنوار المقتبسة من آثار الأئمّة الأطهار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شرائع الإسلام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الأبرار الملتقط من آثار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الشارقة في الصلاة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السؤال و الجواب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القضاء و الشهادات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آداب صلاة الليل و فضلها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إبراء الوليّ مدّة المتعة عن المولى عليه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حرمة محارم الموطوء على الواطي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الردّ على رسالة تعيين السلام الأخير في النوافل للمولى الإيجهي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الردّ على ردّ المولى الإيجهي رحمه الله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الحدود في زمن الغيبة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 يد الواقف كاف في القبض لو كان هو المتولّي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مسألة الغُسالة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تطهير العجين بالماء النجس بتخبيزه و عدمه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 اللبن المضروب بماءٍ نجسٍ هل يطهّر بطبخه آجرًا أو خزفًا أم لا؟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الأراضي الخراجيّة</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أحكام الشكّ والسهو في الصلاة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طهارة عرق الجنب من الحرام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صلاة الجمعة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العقد على أخت الزوجة المطلّقة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صلح حقّ الرجوع في الطلاق الرجعيّ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جواز الإتّكال بقول النساء في انتفاء موانع النكاح فيها</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الصلاة في جلد الميتة المدبوغ</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ثبوت الزنا واللواط بالإقرار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شرح جواب المحقّق القمّي رحمه الله</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أحكام القناة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ولاية الحاكم على البالغة غير الرشيدة</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الصلاة عن الميّت</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تحديد آية الكرسي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كيفيّة زيارة عاشوراء</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أكل التربة الحسينيّة و تعيين الحائر</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صيغ النكاح</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العصير العنبيّ والزبيبيّ والتمريّ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نجاسة المخالفين</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أنّه هل يجوز نيّة الوجوب في الوضوء قبل دخول الوقت مع</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اشتغال الذمّة بالقضاء و عدم إرادة الإتيان بها بذلك الوضوء، أم لا ؟ </w:t>
      </w:r>
      <w:bookmarkStart w:id="50" w:name="pg7069_58453"/>
    </w:p>
    <w:p>
      <w:pPr>
        <w:pStyle w:val="BookText"/>
        <w:rPr/>
      </w:pPr>
      <w:bookmarkEnd w:id="50"/>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تعريف البيع وأقسامه و شروطه</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توكيل الصبيّ المميّز</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أنّه هل ينفسخ المبايعة الخياريّة بمجرّد ردّ مثل الثمن و إرادة الفسخ من غير أن يتلفّظ بصيغة الفسخ، أم لا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أنّه إذا وقع عقد النكاح من الأب وكالة للابن المريض فمات قبل الدخول ما حكمه من العدّة والصداق والميراث و تزويج المرأة في العدّة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أنّه إذا انهدم بنيان لمالكين، هل يجوز لمالك بناء التحت بعد الإحياء منع مالك الفوق من الإحياء، أم لا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أنّه إذا قتل عبد حرًّا ما حكمه</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ميراث الغائب و بيان زمان التربّص</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جواز الوصل بين اسطوانين أو أسطوانات المسجد لجدار ضعيف البنيان لمصلحة إقامة الجماعة</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سلام التحيّة في الصلاة</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العمليّة</w:t>
      </w:r>
    </w:p>
    <w:p>
      <w:pPr>
        <w:pStyle w:val="Heading5"/>
        <w:numPr>
          <w:ilvl w:val="4"/>
          <w:numId w:val="1"/>
        </w:numPr>
        <w:rPr/>
      </w:pPr>
      <w:bookmarkStart w:id="51" w:name="__RefHeading___Toc3345166_372815092"/>
      <w:bookmarkStart w:id="52" w:name="_Toc20"/>
      <w:bookmarkEnd w:id="51"/>
      <w:r>
        <w:rPr>
          <w:rtl w:val="true"/>
        </w:rPr>
        <w:t>الكتب و الرسائل الحديثيّة</w:t>
      </w:r>
      <w:bookmarkEnd w:id="5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الكافي </w:t>
      </w:r>
      <w:bookmarkStart w:id="53" w:name="pg7069_58454"/>
    </w:p>
    <w:p>
      <w:pPr>
        <w:pStyle w:val="BookText"/>
        <w:rPr/>
      </w:pPr>
      <w:bookmarkEnd w:id="53"/>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الوافي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الحديثين المرويّين عن العترة الطاهرة عليهم السلام‌</w:t>
      </w:r>
    </w:p>
    <w:p>
      <w:pPr>
        <w:pStyle w:val="Heading5"/>
        <w:numPr>
          <w:ilvl w:val="4"/>
          <w:numId w:val="1"/>
        </w:numPr>
        <w:rPr/>
      </w:pPr>
      <w:bookmarkStart w:id="54" w:name="__RefHeading___Toc3345168_372815092"/>
      <w:bookmarkStart w:id="55" w:name="_Toc21"/>
      <w:bookmarkEnd w:id="54"/>
      <w:r>
        <w:rPr>
          <w:rtl w:val="true"/>
        </w:rPr>
        <w:t>الكتب و الرسائل الأصوليّة</w:t>
      </w:r>
      <w:bookmarkEnd w:id="55"/>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الزهرة البارقة لمعرفة أحوال المجاز والحقيقة</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الاستصحاب</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تهذيب الوصول</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أصول معالم الدين</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الاجتهاد والتقليد</w:t>
      </w:r>
    </w:p>
    <w:p>
      <w:pPr>
        <w:pStyle w:val="Heading5"/>
        <w:numPr>
          <w:ilvl w:val="4"/>
          <w:numId w:val="1"/>
        </w:numPr>
        <w:rPr/>
      </w:pPr>
      <w:bookmarkStart w:id="56" w:name="__RefHeading___Toc3345170_372815092"/>
      <w:bookmarkStart w:id="57" w:name="_Toc22"/>
      <w:bookmarkEnd w:id="56"/>
      <w:r>
        <w:rPr>
          <w:rtl w:val="true"/>
        </w:rPr>
        <w:t>الكتب و الرسائل الرجاليّة</w:t>
      </w:r>
      <w:bookmarkEnd w:id="57"/>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رجال الطوسي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الفهرست</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خلاصة الأقوال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تحقيق حال أبان بن عثمان و أصحاب الإجماع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رسالتان في تحقيق حال إبراهيم بن هاشم القمّي </w:t>
      </w:r>
      <w:r>
        <w:rPr>
          <w:rStyle w:val="FootnoteAnchor"/>
          <w:rtl w:val="true"/>
        </w:rPr>
        <w:footnoteReference w:id="33"/>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الخبير البصير إلى تحقيق الحال في أبي بصير</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أحمد بن محمّد بن خالد البرقي</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أحمد بن محمّد بن عيسى الأشعري</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رسالتان في تحقيق حال إسحاق بن عمّار الساباطي</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حسين بن خالد</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حماد بن عيسى الجهني</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سهل بن زياد الآدمي الرازي</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شهاب بن عبد ربّه</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عبد الحميد بن سالم العطّار وولده محمّد</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عمر بن يزيد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تعيين محمّد بن اسماعيل الواقع في صدر بعض أسانيد الكافي </w:t>
      </w:r>
      <w:r>
        <w:rPr>
          <w:rStyle w:val="FootnoteAnchor"/>
          <w:rtl w:val="true"/>
        </w:rPr>
        <w:footnoteReference w:id="34"/>
      </w:r>
      <w:bookmarkStart w:id="58" w:name="pg7069_58456"/>
    </w:p>
    <w:p>
      <w:pPr>
        <w:pStyle w:val="BookText"/>
        <w:rPr/>
      </w:pPr>
      <w:bookmarkEnd w:id="58"/>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محمّد بن أحمد الراوي عن العمركي</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محمّد بن خالد البرقي</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رسالتان في تحقيق حال محمّد بن سنان</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محمّد بن الفضيل</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محمّد بن عيسى اليقطيني</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بيان أشخاص الّذين لقّبوا بما جيلويه</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معاوية بن شريح و معاوية بن ميسرة و أنّهما واحد</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بيان العدّة المتكرّرة في أسانيد الكافي </w:t>
      </w:r>
      <w:r>
        <w:rPr>
          <w:rStyle w:val="FootnoteAnchor"/>
          <w:rtl w:val="true"/>
        </w:rPr>
        <w:footnoteReference w:id="35"/>
      </w:r>
    </w:p>
    <w:p>
      <w:pPr>
        <w:pStyle w:val="Heading5"/>
        <w:numPr>
          <w:ilvl w:val="4"/>
          <w:numId w:val="1"/>
        </w:numPr>
        <w:rPr/>
      </w:pPr>
      <w:bookmarkStart w:id="59" w:name="__RefHeading___Toc3345172_372815092"/>
      <w:bookmarkStart w:id="60" w:name="_Toc23"/>
      <w:bookmarkEnd w:id="59"/>
      <w:r>
        <w:rPr>
          <w:rtl w:val="true"/>
        </w:rPr>
        <w:t>الكتب و الرسائل المتفرّقة</w:t>
      </w:r>
      <w:bookmarkEnd w:id="60"/>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أصول الدين</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و جواب عن بعض عقائد الشيخيّة</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أنّ المراد من الطعام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طعام الّذين أوتوا الكتاب حلّ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الحلية اللامعة للبهجة المرضيّة </w:t>
      </w:r>
      <w:bookmarkStart w:id="61" w:name="pg7069_58457"/>
    </w:p>
    <w:p>
      <w:pPr>
        <w:pStyle w:val="Heading4"/>
        <w:numPr>
          <w:ilvl w:val="3"/>
          <w:numId w:val="1"/>
        </w:numPr>
        <w:rPr/>
      </w:pPr>
      <w:bookmarkStart w:id="62" w:name="__RefHeading___Toc3345174_372815092"/>
      <w:bookmarkStart w:id="63" w:name="_Toc24"/>
      <w:bookmarkEnd w:id="61"/>
      <w:bookmarkEnd w:id="62"/>
      <w:r>
        <w:rPr>
          <w:rtl w:val="true"/>
        </w:rPr>
        <w:t>وفاته و مرقده‌</w:t>
      </w:r>
      <w:bookmarkEnd w:id="63"/>
    </w:p>
    <w:p>
      <w:pPr>
        <w:pStyle w:val="BookText"/>
        <w:rPr/>
      </w:pP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سنة تقريبًا، ثمّ أجاب دعوة الإلهيّة في عصيرة يوم الأحد، الثاني من شهر ربيع الثاني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در اول حمل و دويم ربيع دويم</w:t>
      </w:r>
    </w:p>
    <w:p>
      <w:pPr>
        <w:pStyle w:val="BookText"/>
        <w:rPr/>
      </w:pPr>
      <w:r>
        <w:rPr>
          <w:rFonts w:ascii="IRNazanin" w:hAnsi="IRNazanin" w:eastAsia="IRNazanin"/>
          <w:color w:val="111111"/>
          <w:sz w:val="28"/>
          <w:sz w:val="28"/>
          <w:szCs w:val="28"/>
          <w:rtl w:val="true"/>
          <w:lang w:bidi="fa-IR"/>
        </w:rPr>
        <w:t>زدامگاه جهان شد بسوى دار سلام</w:t>
      </w:r>
    </w:p>
    <w:p>
      <w:pPr>
        <w:pStyle w:val="BookText"/>
        <w:rPr/>
      </w:pPr>
      <w:r>
        <w:rPr>
          <w:rFonts w:ascii="IRNazanin" w:hAnsi="IRNazanin" w:eastAsia="IRNazanin"/>
          <w:color w:val="111111"/>
          <w:sz w:val="28"/>
          <w:sz w:val="28"/>
          <w:szCs w:val="28"/>
          <w:rtl w:val="true"/>
          <w:lang w:bidi="fa-IR"/>
        </w:rPr>
        <w:t>بلفظ تازى تاريخ رحلتش گفتم</w:t>
      </w:r>
    </w:p>
    <w:p>
      <w:pPr>
        <w:pStyle w:val="BookText"/>
        <w:rPr/>
      </w:pPr>
      <w:r>
        <w:rPr>
          <w:rFonts w:ascii="IRNazanin" w:hAnsi="IRNazanin" w:eastAsia="IRNazanin"/>
          <w:color w:val="111111"/>
          <w:sz w:val="28"/>
          <w:sz w:val="28"/>
          <w:szCs w:val="28"/>
          <w:rtl w:val="true"/>
          <w:lang w:bidi="fa-IR"/>
        </w:rPr>
        <w:t>چو بشمرى مأتين است و ألف و ستّين 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الأقوال ؛ و دفن بعد ثلاثة أيّام من وفاته في البقعة الّتي بناها لنفسه في جانب مسجده الكبير باصبهان، و هي الآن مشهد معروف و مزار متبرّك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المحقّق الچهارسوقي قدس سره في الروضات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ير مثل يوم وفاته، يوم عظيم، ملأت زقاق البلد من أفواج الأنام رجالًا و نساءًا، يبكون عليه بكاء الفاقد والده الرحيم و مشفقه الكريم، بحيث كان همهمة الخلائق تسمع من وراء البلد، و غسل في بيته الشريف، ثمّ أتى به إلى المسجد، فصلّى عليه ولده الأفضل و خلفه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الأسعد الأرشد و الفقيه الأوحد والحبر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و سيّدنا السيّد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العجائب اتّفاق فراغه من التحصيل و مراجعته من النجف الأشرف بإصرار والده الجليل في سنة وفاته، و مسارعة روحه المطهّر إلى جنّاته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64" w:name="pg7069_58459"/>
    </w:p>
    <w:p>
      <w:pPr>
        <w:pStyle w:val="Heading3"/>
        <w:numPr>
          <w:ilvl w:val="2"/>
          <w:numId w:val="1"/>
        </w:numPr>
        <w:rPr/>
      </w:pPr>
      <w:bookmarkStart w:id="65" w:name="__RefHeading___Toc3345176_372815092"/>
      <w:bookmarkStart w:id="66" w:name="_Toc25"/>
      <w:bookmarkEnd w:id="64"/>
      <w:bookmarkEnd w:id="65"/>
      <w:r>
        <w:rPr/>
        <w:t>2</w:t>
      </w:r>
      <w:r>
        <w:rPr>
          <w:rtl w:val="true"/>
        </w:rPr>
        <w:t xml:space="preserve"> - </w:t>
      </w:r>
      <w:r>
        <w:rPr>
          <w:rtl w:val="true"/>
        </w:rPr>
        <w:t>تعريف الكتاب‌</w:t>
      </w:r>
      <w:bookmarkEnd w:id="66"/>
    </w:p>
    <w:p>
      <w:pPr>
        <w:pStyle w:val="BookText"/>
        <w:rPr/>
      </w:pPr>
      <w:r>
        <w:rPr>
          <w:rFonts w:ascii="Amiri" w:hAnsi="Amiri" w:eastAsia="Amiri" w:cs="Amiri"/>
          <w:color w:val="111111"/>
          <w:sz w:val="28"/>
          <w:sz w:val="28"/>
          <w:szCs w:val="28"/>
          <w:rtl w:val="true"/>
          <w:lang w:bidi="ar-SA"/>
        </w:rPr>
        <w:t xml:space="preserve">لا إشكال و لا ترديد في نسبة هذا الأثر النفيس إلى مؤلّفنا الجليل صاحب الكتاب الحاضر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الكتاب المستطاب الّذي أحاط بدقائق الفقه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نجاسة المخالفين ؛ من تأليفات فخر الشيعة و ركن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الحاجّ السيّد محمّد باقر بن محمّد نقي الموسويّ الشفتيّ الرشتيّ الجيلانيّ الأصفهانيّ، المعروف بحجّة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في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اشتمل على تحقيقات لطيفة و نوادر فقهيّة رائعة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رتّب المصنّف قدس سره هذه الرسالة على ثلاثة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نجاسة المجبّرة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نجاسة الناصب و كفره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النصوص الدالّة على كفرهم، و بيان مَن قال به من الأصحاب الّذين وصل إلينا كلامهم </w:t>
      </w:r>
      <w:r>
        <w:rPr>
          <w:rFonts w:eastAsia="Amiri" w:cs="Amiri" w:ascii="Amiri" w:hAnsi="Amiri"/>
          <w:color w:val="111111"/>
          <w:sz w:val="28"/>
          <w:szCs w:val="28"/>
          <w:rtl w:val="true"/>
          <w:lang w:bidi="ar-SA"/>
        </w:rPr>
        <w:t xml:space="preserve">. </w:t>
      </w:r>
      <w:bookmarkStart w:id="67" w:name="pg7069_58460"/>
    </w:p>
    <w:p>
      <w:pPr>
        <w:pStyle w:val="Heading3"/>
        <w:numPr>
          <w:ilvl w:val="2"/>
          <w:numId w:val="1"/>
        </w:numPr>
        <w:rPr/>
      </w:pPr>
      <w:bookmarkStart w:id="68" w:name="__RefHeading___Toc3345178_372815092"/>
      <w:bookmarkStart w:id="69" w:name="_Toc26"/>
      <w:bookmarkEnd w:id="67"/>
      <w:bookmarkEnd w:id="68"/>
      <w:r>
        <w:rPr/>
        <w:t>3</w:t>
      </w:r>
      <w:r>
        <w:rPr>
          <w:rtl w:val="true"/>
        </w:rPr>
        <w:t xml:space="preserve"> - </w:t>
      </w:r>
      <w:r>
        <w:rPr>
          <w:rtl w:val="true"/>
        </w:rPr>
        <w:t>منهجيّة التحقيق‌</w:t>
      </w:r>
      <w:bookmarkEnd w:id="69"/>
    </w:p>
    <w:p>
      <w:pPr>
        <w:pStyle w:val="BookText"/>
        <w:rPr/>
      </w:pPr>
      <w:r>
        <w:rPr>
          <w:rFonts w:ascii="Amiri" w:hAnsi="Amiri" w:eastAsia="Amiri" w:cs="Amiri"/>
          <w:color w:val="111111"/>
          <w:sz w:val="28"/>
          <w:sz w:val="28"/>
          <w:szCs w:val="28"/>
          <w:rtl w:val="true"/>
          <w:lang w:bidi="ar-SA"/>
        </w:rPr>
        <w:t xml:space="preserve">مع الأسف لم نجد من هذه الرسالة في المكتبات المختلفة إلّا نسخة واحدة ناقصة الآخر، و هي ضمن مجموعة لطيفة من رسائل المصنّف قدس سره المسمّاة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الموجودة في مكتبة أميرالمؤمنين عليه السلام بأصفهان برقم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أحمد بن محمّد تقي الخوانساري ؛ و فرغ من الكتابة في شهر شعبان المعظّم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واعتمدت في تحقيقي لهذه الرسالة على هذه النسخة الوحيدة الّتي عثرت عليها، و كان عملي فيها 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نسخ الكتاب من نسخته الوحيدة قمت بمراجعها مرّة أخرى و تصحيح النصّ وإثبات النقص بها ؛ و قد حاولت جهد الطاقة تصحيح النصّ بالاعتماد على الأصول الحديثيّة، و كتب 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خرّجت ما يحتاج إلى تخريجٍ من آياتٍ قرآنيّة كريمة، و أحاديثٍ شريفة، و أقوالٍ من مصادرها على قدر المستطاع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أوضحت المواضع المشكلة و العبارات المبهمة، و شرحت بعض اللغات الغريبة الواردة في المتن مع الاستعانة بكتب اللغة و معاجم العربيّة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أضفت عناوين فرعيّة في المتن بين قوسين معقوفين كي يسهّل الوصول إلى تفاصيل الموضوع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بذلت قصارى جهدي في تحقيق هذا السفر القيّم و إخراجه إلى عالم النور، فما وجد فيه من خلل أو خطأ فهو عن قصور لا تقصير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يتقبّل منّا هذا القليل بقبول حسن ؛ و نسأله أن يوفّقنا لإحياء تراث أهل البيت عليهم السلام و علمائنا الأبرار، خصوصًا بقيّة آثار جدّنا الأمجد الأسعد العلّامة المحقّق والفقيه الأصوليّ الأوحد السيّد محمّد باقر الشفتيّ المعروف بحجّة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في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سلفه الصالح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 دعوانا أن الحمد للَّه ربّ العالمين، والصلاة والسلام على محمّد وأهل بيته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الرضا الشفتيّ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صانها اللَّه عن الحدثان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7069_58469"/>
      <w:bookmarkStart w:id="71" w:name="pg7069_58469"/>
      <w:bookmarkEnd w:id="71"/>
    </w:p>
    <w:p>
      <w:pPr>
        <w:pStyle w:val="BookText"/>
        <w:rPr/>
      </w:pPr>
      <w:bookmarkStart w:id="72" w:name="pg7069_58469"/>
      <w:bookmarkEnd w:id="7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طهّر قلوب المؤمنين عن دنس الشرك والطغيان، و أزال عن صدورهم وسوسة الشيطان، و جعل الرجس على الجاهدين والمنكرين من الإنس والجنّ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والصلاة والسلام على سيّد الإنس والجانّ و على آله و أولاده الطاهرين المعصومين عن رائحة الريب و النقصان، المنزّهين عن شائبة الشين والعصيان، المخصوصين بتطهير اللَّه الملك المنّان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أن يعصمنا بعصمتهم عن الأرجاس والأدناس الباطنيّة الطارئة من نفثان الشيطان </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3345180_372815092"/>
      <w:bookmarkStart w:id="74" w:name="_Toc27"/>
      <w:bookmarkEnd w:id="73"/>
      <w:r>
        <w:rPr>
          <w:rtl w:val="true"/>
        </w:rPr>
        <w:t xml:space="preserve">الرسالة الأولى </w:t>
      </w:r>
      <w:r>
        <w:rPr>
          <w:rtl w:val="true"/>
        </w:rPr>
        <w:t xml:space="preserve">: </w:t>
      </w:r>
      <w:r>
        <w:rPr>
          <w:rtl w:val="true"/>
        </w:rPr>
        <w:t>في نجاسة المخالفين‌</w:t>
      </w:r>
      <w:bookmarkEnd w:id="74"/>
    </w:p>
    <w:p>
      <w:pPr>
        <w:pStyle w:val="Heading3"/>
        <w:numPr>
          <w:ilvl w:val="2"/>
          <w:numId w:val="1"/>
        </w:numPr>
        <w:rPr/>
      </w:pPr>
      <w:bookmarkStart w:id="75" w:name="__RefHeading___Toc3345182_372815092"/>
      <w:bookmarkStart w:id="76" w:name="_Toc28"/>
      <w:bookmarkEnd w:id="75"/>
      <w:r>
        <w:rPr>
          <w:rtl w:val="true"/>
        </w:rPr>
        <w:t>اشارة</w:t>
      </w:r>
      <w:bookmarkEnd w:id="7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تنقيح المقام يحتاج إلى بسط الكلام في مباحث </w:t>
      </w:r>
      <w:r>
        <w:rPr>
          <w:rFonts w:eastAsia="Amiri" w:cs="Amiri" w:ascii="Amiri" w:hAnsi="Amiri"/>
          <w:color w:val="111111"/>
          <w:sz w:val="28"/>
          <w:szCs w:val="28"/>
          <w:rtl w:val="true"/>
          <w:lang w:bidi="ar-SA"/>
        </w:rPr>
        <w:t xml:space="preserve">: </w:t>
      </w:r>
      <w:bookmarkStart w:id="77" w:name="pg7069_58470"/>
    </w:p>
    <w:p>
      <w:pPr>
        <w:pStyle w:val="Heading3"/>
        <w:numPr>
          <w:ilvl w:val="2"/>
          <w:numId w:val="1"/>
        </w:numPr>
        <w:rPr/>
      </w:pPr>
      <w:bookmarkStart w:id="78" w:name="__RefHeading___Toc3345184_372815092"/>
      <w:bookmarkStart w:id="79" w:name="_Toc29"/>
      <w:bookmarkEnd w:id="77"/>
      <w:bookmarkEnd w:id="78"/>
      <w:r>
        <w:rPr>
          <w:rtl w:val="true"/>
        </w:rPr>
        <w:t xml:space="preserve">[ </w:t>
      </w:r>
      <w:r>
        <w:rPr>
          <w:rtl w:val="true"/>
        </w:rPr>
        <w:t xml:space="preserve">الوجه </w:t>
      </w:r>
      <w:r>
        <w:rPr>
          <w:rtl w:val="true"/>
        </w:rPr>
        <w:t xml:space="preserve">] </w:t>
      </w:r>
      <w:r>
        <w:rPr>
          <w:rtl w:val="true"/>
        </w:rPr>
        <w:t xml:space="preserve">الأوّل </w:t>
      </w:r>
      <w:r>
        <w:rPr>
          <w:rtl w:val="true"/>
        </w:rPr>
        <w:t xml:space="preserve">: </w:t>
      </w:r>
      <w:r>
        <w:rPr>
          <w:rtl w:val="true"/>
        </w:rPr>
        <w:t>في تفسيرهم‌</w:t>
      </w:r>
      <w:bookmarkEnd w:id="79"/>
    </w:p>
    <w:p>
      <w:pPr>
        <w:pStyle w:val="Heading4"/>
        <w:numPr>
          <w:ilvl w:val="3"/>
          <w:numId w:val="1"/>
        </w:numPr>
        <w:rPr/>
      </w:pPr>
      <w:bookmarkStart w:id="80" w:name="__RefHeading___Toc3345186_372815092"/>
      <w:bookmarkStart w:id="81" w:name="_Toc30"/>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المجبّرة هم الّذين سلبوا الاختيار عن العبد في جميع الأفعال على الخير والشرّ ؛ بل اعتقدوا أنّ كلّ ما يصدر عن العبد من الحركات والسكنات من المحبوبات والمستقبحات كلّها من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لابن طاوس كلامٌ في المقام لا بأس بذكره وإن طال به زمام الكلام ؛ و هو المنقول عنه في الطرائف، و هو هذا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أصحاب مالك و أصحاب الشافعي و أصحاب أحمد بن حنبل ومَن وافقهم على اعتقاد المجبرة، فإنّهم اتّفقوا جميعًا على أن جميع </w:t>
      </w:r>
    </w:p>
    <w:p>
      <w:pPr>
        <w:pStyle w:val="BookText"/>
        <w:rPr/>
      </w:pPr>
      <w:r>
        <w:rPr>
          <w:rFonts w:ascii="Amiri" w:hAnsi="Amiri" w:eastAsia="Amiri" w:cs="Amiri"/>
          <w:color w:val="111111"/>
          <w:sz w:val="28"/>
          <w:sz w:val="28"/>
          <w:szCs w:val="28"/>
          <w:rtl w:val="true"/>
          <w:lang w:bidi="ar-SA"/>
        </w:rPr>
        <w:t xml:space="preserve">الأفعال في العالم من حركات و سكنات و مكروهات و محبوبات ومستحسنات و مستقبحات فإنّها من فعل اللَّه تعالى في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منهم ذكروا أنّ اللَّه سبحانه قهرهم و منعهم من الاختيار في كلّ مكروه أو مراد ؛ و يلحق بهؤلاء من كان منهم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يخلق الأعمال والعبد يكتسبها منه، لأنّ الكسب عندهم لا يوجبها ولا يوجدها، وإنّما يوجبها ويوجدها على قولهم اللَّه و هي صادرة عنه ؛ ويقال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يقدر العبد على ترك الكسب ؟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فقد قالوا بالاختيار و حصل الوفاق ؛ و 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ترك الكسب فقد ساووا المجبرة في تصريحهم بأنّ العباد مجبورون و مقهورون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لمن قال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العباد مجبرون، ما معنى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مجبرون ؟ فإنّ العقلاء ما يعرفون حقيقة الجبر للعبد الّا إذا كان العبد مختارًا فجبره غيره و منعه من اختياره و أنتم تزعمون أنّ العبد ما كان مختارًا قطّ و لا كان له فعل على الحقيقة، فما معنى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العباد مجبرون ؟ أفلا يتفكّرون فيما تقولون </w:t>
      </w:r>
      <w:r>
        <w:rPr>
          <w:rStyle w:val="FootnoteAnchor"/>
          <w:rtl w:val="true"/>
        </w:rPr>
        <w:footnoteReference w:id="3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بطلانه أيضًا </w:t>
      </w:r>
      <w:r>
        <w:rPr>
          <w:rStyle w:val="FootnoteAnchor"/>
          <w:rtl w:val="true"/>
        </w:rPr>
        <w:footnoteReference w:id="39"/>
      </w:r>
      <w:r>
        <w:rPr>
          <w:rFonts w:ascii="Amiri" w:hAnsi="Amiri" w:eastAsia="Amiri" w:cs="Amiri"/>
          <w:color w:val="111111"/>
          <w:sz w:val="28"/>
          <w:sz w:val="28"/>
          <w:szCs w:val="28"/>
          <w:rtl w:val="true"/>
          <w:lang w:bidi="ar-SA"/>
        </w:rPr>
        <w:t xml:space="preserve">أنّ الإنسان إذا رماه إنسان بحجر، فإنّه يذمّ الرامي متى علم منه القصد لأذاه و يذمّه كلّ من علم ذلك منه من العقلاء و لو كان يعلم أحد من العقلاء أو يجوز أنّ اللَّه قد أكره الرامي كما أنّ </w:t>
      </w:r>
    </w:p>
    <w:p>
      <w:pPr>
        <w:pStyle w:val="BookText"/>
        <w:rPr/>
      </w:pPr>
      <w:r>
        <w:rPr>
          <w:rFonts w:ascii="Amiri" w:hAnsi="Amiri" w:eastAsia="Amiri" w:cs="Amiri"/>
          <w:color w:val="111111"/>
          <w:sz w:val="28"/>
          <w:sz w:val="28"/>
          <w:szCs w:val="28"/>
          <w:rtl w:val="true"/>
          <w:lang w:bidi="ar-SA"/>
        </w:rPr>
        <w:t xml:space="preserve">الحجر مكره على الرمي لكان الحجر والرامي سواء ؛ والمعلوم عند جميع العقلاء خلاف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الأمر كما ذكروه من أنّه لا فاعل في العالم سوى اللَّه تعالى كان يلزمهم أن يكون اللَّه قد أرسل الرسل إلى نفسه وأنزل الكتب على نفسه و كان كلّ وعد ووعيد و تهديد صدر على لسان الملائكة والأنبياء والأوصياء و في كتبه، فإنّه يكون على قول المجبرة قد وعد بذلك نفسه و توعد لنفسه و تهدد نفسه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عجيب ما يقال لهم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الأفعال كلّها الّتي تقع منكم هي فعل اللَّه على التحقيق، فقد صار كلامكم و أمركم و نهيكم كالقرآن وكالوحي و ككلام اللَّه تعالى لموسى عليه السلام من الشجرة و ككلام الأنبياء عن اللَّه و ما بقي بينهم و بينكم فرق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بن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المجبرة الّذين قالوا ليس لنا صنع و نحن مجبرون يحدث اللَّه لنا الفعل عند الفعل و إنّما الأفعال هي منسوبة إلى الناس على المجاز، لا على الحقيقة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يلزم 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الجور إلى اللَّه تعالى على العباد، لأنّه لو كان الأمر كما ذكروه كيف يعذّبهم اللَّه بفعل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لأيّ شي‌ء يدخلهم </w:t>
      </w:r>
    </w:p>
    <w:p>
      <w:pPr>
        <w:pStyle w:val="BookText"/>
        <w:rPr/>
      </w:pPr>
      <w:r>
        <w:rPr>
          <w:rFonts w:ascii="Amiri" w:hAnsi="Amiri" w:eastAsia="Amiri" w:cs="Amiri"/>
          <w:color w:val="111111"/>
          <w:sz w:val="28"/>
          <w:sz w:val="28"/>
          <w:szCs w:val="28"/>
          <w:rtl w:val="true"/>
          <w:lang w:bidi="ar-SA"/>
        </w:rPr>
        <w:t>النار لارتكاب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هذا إلّا ظلم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و هو بري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سمعوا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لا يظلم الناس شيئًا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و غيرها من الآيات النافية للظلم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عدالته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آيات القرآن كثيرة في الردّ عليهم،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ليجزي اللَّه كلّ نفس ما كسبت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يره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بما قدّمت أيديكم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ثمود فهديناهم فاستحبّوا العمى على الهدى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 و غير ذلك من الآيات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جبر و لا 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نصٌّ في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أمرٌ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الأمر بين الأمرين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رجل رأيته على معصية فنهيته فلم ينته فتركته ففعل تلك المعصية، فليس حيث لم يقبل منك، فتركته كنت أنت الّذي أمرته بالمعصية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82" w:name="pg7069_58474"/>
    </w:p>
    <w:p>
      <w:pPr>
        <w:pStyle w:val="Heading4"/>
        <w:numPr>
          <w:ilvl w:val="3"/>
          <w:numId w:val="1"/>
        </w:numPr>
        <w:rPr/>
      </w:pPr>
      <w:bookmarkStart w:id="83" w:name="__RefHeading___Toc3345188_372815092"/>
      <w:bookmarkStart w:id="84" w:name="_Toc31"/>
      <w:bookmarkEnd w:id="82"/>
      <w:bookmarkEnd w:id="83"/>
      <w:r>
        <w:rPr>
          <w:rtl w:val="true"/>
        </w:rPr>
        <w:t xml:space="preserve">[ </w:t>
      </w:r>
      <w:r>
        <w:rPr>
          <w:rtl w:val="true"/>
        </w:rPr>
        <w:t xml:space="preserve">البحث </w:t>
      </w:r>
      <w:r>
        <w:rPr>
          <w:rtl w:val="true"/>
        </w:rPr>
        <w:t xml:space="preserve">] </w:t>
      </w:r>
      <w:r>
        <w:rPr>
          <w:rtl w:val="true"/>
        </w:rPr>
        <w:t xml:space="preserve">الأوّل </w:t>
      </w:r>
      <w:r>
        <w:rPr>
          <w:rtl w:val="true"/>
        </w:rPr>
        <w:t xml:space="preserve">: </w:t>
      </w:r>
      <w:r>
        <w:rPr>
          <w:rtl w:val="true"/>
        </w:rPr>
        <w:t>في نجاسة المجبّرة</w:t>
      </w:r>
      <w:bookmarkEnd w:id="84"/>
    </w:p>
    <w:p>
      <w:pPr>
        <w:pStyle w:val="BookText"/>
        <w:rPr/>
      </w:pPr>
      <w:r>
        <w:rPr>
          <w:rFonts w:ascii="Amiri" w:hAnsi="Amiri" w:eastAsia="Amiri" w:cs="Amiri"/>
          <w:color w:val="111111"/>
          <w:sz w:val="28"/>
          <w:sz w:val="28"/>
          <w:szCs w:val="28"/>
          <w:rtl w:val="true"/>
          <w:lang w:bidi="ar-SA"/>
        </w:rPr>
        <w:t xml:space="preserve">والنظر فيه يقع من وجهين </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3345190_372815092"/>
      <w:bookmarkStart w:id="86" w:name="_Toc32"/>
      <w:bookmarkEnd w:id="85"/>
      <w:r>
        <w:rPr>
          <w:rtl w:val="true"/>
        </w:rPr>
        <w:t xml:space="preserve">و </w:t>
      </w:r>
      <w:r>
        <w:rPr>
          <w:rtl w:val="true"/>
        </w:rPr>
        <w:t xml:space="preserve">[ </w:t>
      </w:r>
      <w:r>
        <w:rPr>
          <w:rtl w:val="true"/>
        </w:rPr>
        <w:t xml:space="preserve">الوجه </w:t>
      </w:r>
      <w:r>
        <w:rPr>
          <w:rtl w:val="true"/>
        </w:rPr>
        <w:t xml:space="preserve">] </w:t>
      </w:r>
      <w:r>
        <w:rPr>
          <w:rtl w:val="true"/>
        </w:rPr>
        <w:t xml:space="preserve">الثاني </w:t>
      </w:r>
      <w:r>
        <w:rPr>
          <w:rtl w:val="true"/>
        </w:rPr>
        <w:t xml:space="preserve">: </w:t>
      </w:r>
      <w:r>
        <w:rPr>
          <w:rtl w:val="true"/>
        </w:rPr>
        <w:t>في بيان أنّهم</w:t>
      </w:r>
      <w:bookmarkEnd w:id="86"/>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أنّهم </w:t>
      </w:r>
      <w:r>
        <w:rPr>
          <w:rStyle w:val="FootnoteAnchor"/>
          <w:rtl w:val="true"/>
        </w:rPr>
        <w:footnoteReference w:id="50"/>
      </w:r>
      <w:r>
        <w:rPr>
          <w:rFonts w:ascii="Amiri" w:hAnsi="Amiri" w:eastAsia="Amiri" w:cs="Amiri"/>
          <w:color w:val="111111"/>
          <w:sz w:val="28"/>
          <w:sz w:val="28"/>
          <w:szCs w:val="28"/>
          <w:rtl w:val="true"/>
          <w:lang w:bidi="ar-SA"/>
        </w:rPr>
        <w:t>كافرون أم لا ؟</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وفاقًا لجماعة من الأعاظم، كالشيخ والسيّد وابن إدريس وكشف اللثام والحدائق ؛ و عن ثاني الشهيدين والفاضل المجلسيّ و مولانا الصالح المازندراني في شرحه على أصول الكافي، و غيرهم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عن صاحب الكشّاف أنّه استدلّ بنجاستهم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أشركوا لو شاء اللَّه ما أشركنا و لا آباؤنا و لا حرّمنا من شي‌ء كذلك كذّب الّذين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52"/>
      </w:r>
      <w:r>
        <w:rPr>
          <w:rFonts w:ascii="Amiri" w:hAnsi="Amiri" w:eastAsia="Amiri" w:cs="Amiri"/>
          <w:color w:val="111111"/>
          <w:sz w:val="28"/>
          <w:sz w:val="28"/>
          <w:szCs w:val="28"/>
          <w:rtl w:val="true"/>
          <w:lang w:bidi="ar-SA"/>
        </w:rPr>
        <w:t xml:space="preserve">؛ و إذا ثبت كفرهم تناولهم دليل نجاسة 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أنّه ذكر في توجيه دلالة الآية على ذلك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إخبار بما سوف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لمّا قالوه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قال الّذين أشركوا لو شاء اللَّه ما عبدنا من دونه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بكفرهم و تمرّدهم أنّ شركهم شرك آبائهم و تحريمهم ما أحلّ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w:t>
      </w:r>
    </w:p>
    <w:p>
      <w:pPr>
        <w:pStyle w:val="BookText"/>
        <w:rPr/>
      </w:pPr>
      <w:r>
        <w:rPr>
          <w:rFonts w:ascii="Amiri" w:hAnsi="Amiri" w:eastAsia="Amiri" w:cs="Amiri"/>
          <w:color w:val="111111"/>
          <w:sz w:val="28"/>
          <w:sz w:val="28"/>
          <w:szCs w:val="28"/>
          <w:rtl w:val="true"/>
          <w:lang w:bidi="ar-SA"/>
        </w:rPr>
        <w:t xml:space="preserve">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بمشيئة اللَّه وإرادته، ولو لا مشيئته لم يكن شي‌ء من ذلك كمذهب المجبرة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كذّب الّذين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جاءوا بالتكذيب المطلق،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في العقول و أنزل في الكتاب ما دلّ على غناه و براءته من مشيئة القبائح و إرادتها والرسل أخبروا بذلك، فمن علّق وجود القبائح من الكفر والمعاصي بمشيئة اللَّه و إرادته فقد كذب التكذيب كلّه، و هو تكذيب اللَّه و كتبه و رسله، و نبذ أدلّة العقل والسمع وراء ظهره، انتهى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كشف اللثام بعد نقله استدلال الكشّاف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استتباعه لإبطال النبوات والتكاليف رأسًا، فكفرهم أوضح من كفر المشبّهة و المجسّمة، بل أكثر الكفّار، إلّا أن يكونوا من الحمق بحيث لا يتفطّنون لذلك، فهم ليسوا من الناس في شي‌ء، انتهى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المرويّ عن الاحتجاج عن معاوية الشامي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موسى الرضا عليه السلام بمرو،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روي لنا عن الصادق جعفر بن محمّد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جبر و لا تفويض، بل أمر بين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معناه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يفعل أفعالنا ثمّ يعذّبنا عليها، فقد قال بالجبر، و من زعم أنّ اللَّه فوّض أمر الخلق والرزق إلى حججه عليهم السلام فقد قال بالتفويض ؛ والقائل بالجبر كافر والقائل بالتفويض مشرك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ما روي عنه أيضًا عن الحسين بن خالد عن أبي الحسن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أنّ الناس ينسبوننا إلى القول بالتشبيه والجبر، لما روي من الأخبار في ذلك عن آبائك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بالتشبيه والجبر فهو كافر مشرك، و نحن براء منه في الدنيا والآخرة ؛ يابن خالد إنّما وضع الأخبار عنّا في التشبيه والجبر الغلاة الّذين صغروا عظمة اللَّه، فمن أحبّهم فقد أبغضنا، و من أبغضهم فقد أحبّنا، و من والاهم فقد عادانا، و من عاداهم فقد والانا، و من وصلهم فقد قطعنا، و من قطعهم فقد وصلنا، و من جفاهم فقد برّنا، و من برّهم فقد جفانا، و من أكرمهم فقد أهاننا، و من أهانهم فقد أكرمنا، و من قبلهم فقد ردّنا، و من ردّهم فقد قبلنا، و من أحسن إليهم فقد أساء إلينا، و من أساء إليهم فقد أحسن إلينا، و من صدقهم فقد كذبنا، و من كذبهم فقد صدقنا، و من أعطاهم فقد حرمنا، و من حرمهم فقد أعطانا ؛ يابن خالد، من كان من شيعتنا فلا يتّخذنّ منهم وليًّا و لا نصيرًا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روي عنه أيضًا عن العبّاس بن هلال عن أبي الحسن عليّ بن محمّد في رسالته إلى أهل الأهواز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الجبر فهو قول من زعم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 العباد على المعاصي و عاقبهم عليها، و من قال بهذا القول فقد ظلم اللَّه و كذبه و ردّ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يظلم ربّك أحدًا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بما قدّمت يداك و أنّ اللَّه ليس بظلّام للعبيد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مع آي كثيرة فيه، فمن زعم أنّه </w:t>
      </w:r>
    </w:p>
    <w:p>
      <w:pPr>
        <w:pStyle w:val="BookText"/>
        <w:rPr/>
      </w:pPr>
      <w:r>
        <w:rPr>
          <w:rFonts w:ascii="Amiri" w:hAnsi="Amiri" w:eastAsia="Amiri" w:cs="Amiri"/>
          <w:color w:val="111111"/>
          <w:sz w:val="28"/>
          <w:sz w:val="28"/>
          <w:szCs w:val="28"/>
          <w:rtl w:val="true"/>
          <w:lang w:bidi="ar-SA"/>
        </w:rPr>
        <w:t xml:space="preserve">مجبور على المعاصي فقد أحال بذنبه على اللَّه و ظلمه في عقوبته له، و من ظلم ربّه فقد كذب كتابه، و من كذب كتابه لزمه الكفر بإجماع الأمّة، الحديث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عليه أيضًا ما سيأتي في البحث الآتي إن شاء اللَّه تعالى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المرويّ عن الاحتجاج عن الرضا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يجبر عباده على المعاصي أو </w:t>
      </w:r>
      <w:r>
        <w:rPr>
          <w:rStyle w:val="FootnoteAnchor"/>
          <w:rtl w:val="true"/>
        </w:rPr>
        <w:footnoteReference w:id="60"/>
      </w:r>
      <w:r>
        <w:rPr>
          <w:rFonts w:ascii="Amiri" w:hAnsi="Amiri" w:eastAsia="Amiri" w:cs="Amiri"/>
          <w:color w:val="111111"/>
          <w:sz w:val="28"/>
          <w:sz w:val="28"/>
          <w:szCs w:val="28"/>
          <w:rtl w:val="true"/>
          <w:lang w:bidi="ar-SA"/>
        </w:rPr>
        <w:t xml:space="preserve">يكلّفهم ما لا يطيقون، فلا تأكلوا ذبيحته و لا تقبلوا شهادته، الحديث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87" w:name="pg7069_58478"/>
    </w:p>
    <w:p>
      <w:pPr>
        <w:pStyle w:val="Heading2"/>
        <w:numPr>
          <w:ilvl w:val="1"/>
          <w:numId w:val="1"/>
        </w:numPr>
        <w:rPr/>
      </w:pPr>
      <w:bookmarkStart w:id="88" w:name="__RefHeading___Toc3345192_372815092"/>
      <w:bookmarkStart w:id="89" w:name="_Toc33"/>
      <w:bookmarkEnd w:id="87"/>
      <w:bookmarkEnd w:id="88"/>
      <w:r>
        <w:rPr>
          <w:rtl w:val="true"/>
        </w:rPr>
        <w:t xml:space="preserve">البحث الثاني </w:t>
      </w:r>
      <w:r>
        <w:rPr>
          <w:rtl w:val="true"/>
        </w:rPr>
        <w:t xml:space="preserve">: </w:t>
      </w:r>
      <w:r>
        <w:rPr>
          <w:rtl w:val="true"/>
        </w:rPr>
        <w:t>في نجاسة الناصب و كفره‌</w:t>
      </w:r>
      <w:bookmarkEnd w:id="89"/>
    </w:p>
    <w:p>
      <w:pPr>
        <w:pStyle w:val="Heading3"/>
        <w:numPr>
          <w:ilvl w:val="2"/>
          <w:numId w:val="1"/>
        </w:numPr>
        <w:rPr/>
      </w:pPr>
      <w:bookmarkStart w:id="90" w:name="__RefHeading___Toc3345194_372815092"/>
      <w:bookmarkStart w:id="91" w:name="_Toc34"/>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 xml:space="preserve">والنظر فيه أيضًا يقع من وجهين </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3345196_372815092"/>
      <w:bookmarkStart w:id="93" w:name="_Toc35"/>
      <w:bookmarkEnd w:id="92"/>
      <w:r>
        <w:rPr>
          <w:rtl w:val="true"/>
        </w:rPr>
        <w:t xml:space="preserve">[ </w:t>
      </w:r>
      <w:r>
        <w:rPr>
          <w:rtl w:val="true"/>
        </w:rPr>
        <w:t xml:space="preserve">الوجه </w:t>
      </w:r>
      <w:r>
        <w:rPr>
          <w:rtl w:val="true"/>
        </w:rPr>
        <w:t xml:space="preserve">] </w:t>
      </w:r>
      <w:r>
        <w:rPr>
          <w:rtl w:val="true"/>
        </w:rPr>
        <w:t xml:space="preserve">الأوّل </w:t>
      </w:r>
      <w:r>
        <w:rPr>
          <w:rtl w:val="true"/>
        </w:rPr>
        <w:t xml:space="preserve">: </w:t>
      </w:r>
      <w:r>
        <w:rPr>
          <w:rtl w:val="true"/>
        </w:rPr>
        <w:t>في تفسير الناصب و بيان كون المخالف ناصبًا</w:t>
      </w:r>
      <w:bookmarkEnd w:id="93"/>
    </w:p>
    <w:p>
      <w:pPr>
        <w:pStyle w:val="Heading4"/>
        <w:numPr>
          <w:ilvl w:val="3"/>
          <w:numId w:val="1"/>
        </w:numPr>
        <w:rPr/>
      </w:pPr>
      <w:bookmarkStart w:id="94" w:name="__RefHeading___Toc3345198_372815092"/>
      <w:bookmarkStart w:id="95" w:name="_Toc36"/>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النواصب جمع ناصب، و هم الّذين ينصبون العداوة لأهل البيت عليهم السلام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زعم آخرون أنّه من نصب العداوة لشيعتهم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الأحاديث ما يصرّح بالثاني، ففي الصحيح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الناصب من نصب </w:t>
      </w:r>
    </w:p>
    <w:p>
      <w:pPr>
        <w:pStyle w:val="BookText"/>
        <w:rPr/>
      </w:pPr>
      <w:r>
        <w:rPr>
          <w:rFonts w:ascii="Amiri" w:hAnsi="Amiri" w:eastAsia="Amiri" w:cs="Amiri"/>
          <w:color w:val="111111"/>
          <w:sz w:val="28"/>
          <w:sz w:val="28"/>
          <w:szCs w:val="28"/>
          <w:rtl w:val="true"/>
          <w:lang w:bidi="ar-SA"/>
        </w:rPr>
        <w:t xml:space="preserve">لنا أهل البيت، لأنّك لا تجد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أبغض محمّدًا و آل محمّد صلى الله عليه وآله، ولكنّ الناصب من نصب لكم العداوة و هو يعلم أنّكم تولّونا </w:t>
      </w:r>
      <w:r>
        <w:rPr>
          <w:rStyle w:val="FootnoteAnchor"/>
          <w:rtl w:val="true"/>
        </w:rPr>
        <w:footnoteReference w:id="64"/>
      </w:r>
      <w:r>
        <w:rPr>
          <w:rFonts w:ascii="Amiri" w:hAnsi="Amiri" w:eastAsia="Amiri" w:cs="Amiri"/>
          <w:color w:val="111111"/>
          <w:sz w:val="28"/>
          <w:sz w:val="28"/>
          <w:szCs w:val="28"/>
          <w:rtl w:val="true"/>
          <w:lang w:bidi="ar-SA"/>
        </w:rPr>
        <w:t xml:space="preserve">و أنتم من شيعتنا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بالناصب مَن نصب العداوة لأهل البيت عليهم السلام أو لأحدهم، و أظهر البغضاء لهم صريحًا أو لزومًا، ككراهة ذكرهم و نشر فضائلهم والإعراض عن مناقبهم من حيث انّها مناقبهم، والعداوة لمحبّيهم بسبب محبّتهم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الصدوق عن عبداللَّه بن سنان عن الصادق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الحديث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ألحق ابن إدريس كلّ من خالف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قدّم الجبت والطاغوت فهو 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بعض الأصحاب، إذ لا عداوة أعظم ممّن قدّم المنحطّ عن مراتب الكمال، و فضّل المنخرط في سلك الأغبياء والجهّال على من تسنّم أوج الجلال حتّى شكّ في أنّه اللَّه المتعال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شرح الجعفريّة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والنواصب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ناصب، و هو مَن نصب العداوة لأهل البيت عليهم السلام، أو لأحدهم، نطقًا أو تصريحًا أو لزومًا، لكراهيّة ذكرهم و نشر فضائلهم، أو </w:t>
      </w:r>
    </w:p>
    <w:p>
      <w:pPr>
        <w:pStyle w:val="BookText"/>
        <w:rPr/>
      </w:pPr>
      <w:r>
        <w:rPr>
          <w:rFonts w:ascii="Amiri" w:hAnsi="Amiri" w:eastAsia="Amiri" w:cs="Amiri"/>
          <w:color w:val="111111"/>
          <w:sz w:val="28"/>
          <w:sz w:val="28"/>
          <w:szCs w:val="28"/>
          <w:rtl w:val="true"/>
          <w:lang w:bidi="ar-SA"/>
        </w:rPr>
        <w:t xml:space="preserve">العداوة لمحبّيهم من حيث المحبّة، فإنّها تدلّ على بغض المحبوب ؛ و في صحيحة عبداللَّه بن سنان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الناصب، الحديث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عن الشهيد في شرح الألفيّة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السرائر بعد تقسيمه الأسآر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مؤمن و من حكمه حكم مؤمن، و سؤر مستضعف و من حكمه حكم المستضعف، و سؤر كافر و من حكمه حكم الكافر،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والثاني طاهر مطهّر، والثالث نجس منجّس ؛ فالمؤمن في عرف الشرع هو المصدّق باللَّه و برسله و بكلّ ما جاءت به ؛ والمستضعف من لا يعرف اختلاف الناس في الآراء والمذاهب، ولا يبغض أهل الحقّ، بل لا إلى هؤلاء، و لا إلى هؤلاء، كما قال اللَّه تعالى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من أبغض المحقّ على اعتقاده و مذهبه فليس بمستضعف، بل هو الّذي ينصب العداوة لأهل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الكافر فهو من خالف المؤمن والمستضعف، وهو الّذي يستحقّ العقاب الدائم، والخلود في نار جهنّم طول الأبد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عبارات هذه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أنّ الناصب أعمٌّ من أن يكون نصب العداوة لأحد من الأئمّة، أو لشيعتهم و مواليهم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العلّامة و ولده في شرحه على الإرشاد، و عن السيّد عميد الدين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اختصاصهم بمن نصب العداوة لآل محمّد صلى الله عليه وآله و تظاهر ببغضهم، كما هو الموجود في الخوارج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سمعتُ عن بعض أهل السنّة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 عليه السلام أعطاني يوم القيامة كأسًا من شراب، لما أخذ منه و لا أشرب من الشراب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السيّد نعمة اللَّه الجزائريّ في كتاب أنوار النعمانيّة أنّه قال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الناصبيّ و أحواله و أحكامه فإنّما يتمّ </w:t>
      </w:r>
      <w:r>
        <w:rPr>
          <w:rStyle w:val="FootnoteAnchor"/>
          <w:rtl w:val="true"/>
        </w:rPr>
        <w:footnoteReference w:id="71"/>
      </w:r>
      <w:r>
        <w:rPr>
          <w:rFonts w:ascii="Amiri" w:hAnsi="Amiri" w:eastAsia="Amiri" w:cs="Amiri"/>
          <w:color w:val="111111"/>
          <w:sz w:val="28"/>
          <w:sz w:val="28"/>
          <w:szCs w:val="28"/>
          <w:rtl w:val="true"/>
          <w:lang w:bidi="ar-SA"/>
        </w:rPr>
        <w:t xml:space="preserve">ببيان أمرين،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الناصب الّذي وردت الروايات </w:t>
      </w:r>
      <w:r>
        <w:rPr>
          <w:rStyle w:val="FootnoteAnchor"/>
          <w:rtl w:val="true"/>
        </w:rPr>
        <w:footnoteReference w:id="72"/>
      </w:r>
      <w:r>
        <w:rPr>
          <w:rFonts w:ascii="Amiri" w:hAnsi="Amiri" w:eastAsia="Amiri" w:cs="Amiri"/>
          <w:color w:val="111111"/>
          <w:sz w:val="28"/>
          <w:sz w:val="28"/>
          <w:szCs w:val="28"/>
          <w:rtl w:val="true"/>
          <w:lang w:bidi="ar-SA"/>
        </w:rPr>
        <w:t xml:space="preserve">أنّه نجس، و أنّه شرٌّ من اليهوديّ والنصرانيّ والمجوسيّ، و أنّه كافر نجس بإجماع الإماميّة </w:t>
      </w:r>
      <w:r>
        <w:rPr>
          <w:rStyle w:val="FootnoteAnchor"/>
          <w:rtl w:val="true"/>
        </w:rPr>
        <w:footnoteReference w:id="73"/>
      </w:r>
      <w:r>
        <w:rPr>
          <w:rFonts w:ascii="Amiri" w:hAnsi="Amiri" w:eastAsia="Amiri" w:cs="Amiri"/>
          <w:color w:val="111111"/>
          <w:sz w:val="28"/>
          <w:sz w:val="28"/>
          <w:szCs w:val="28"/>
          <w:rtl w:val="true"/>
          <w:lang w:bidi="ar-SA"/>
        </w:rPr>
        <w:t xml:space="preserve">، فالّذي ذهب إليه أكثر الأصحاب هو أنّ المراد به مَن نصب العداوة لآل محمّد صلى الله عليه وآله و تظاهر ببغضهم، كما هو الموجود في الخوارج و بعض ما وراء النهر ؛ و رتّبوا الأحكام في باب الطهارة والنجاسة والكفر والإيمان و جواز النكاح و عدمه على الناصبيّ بهذا المعنى </w:t>
      </w:r>
      <w:r>
        <w:rPr>
          <w:rFonts w:eastAsia="Amiri" w:cs="Amiri" w:ascii="Amiri" w:hAnsi="Amiri"/>
          <w:color w:val="111111"/>
          <w:sz w:val="28"/>
          <w:szCs w:val="28"/>
          <w:rtl w:val="true"/>
          <w:lang w:bidi="ar-SA"/>
        </w:rPr>
        <w:t xml:space="preserve">. </w:t>
      </w:r>
      <w:bookmarkStart w:id="96" w:name="pg7069_58482"/>
    </w:p>
    <w:p>
      <w:pPr>
        <w:pStyle w:val="BookText"/>
        <w:rPr/>
      </w:pPr>
      <w:bookmarkEnd w:id="96"/>
      <w:r>
        <w:rPr>
          <w:rFonts w:ascii="Amiri" w:hAnsi="Amiri" w:eastAsia="Amiri" w:cs="Amiri"/>
          <w:color w:val="111111"/>
          <w:sz w:val="28"/>
          <w:sz w:val="28"/>
          <w:szCs w:val="28"/>
          <w:rtl w:val="true"/>
          <w:lang w:bidi="ar-SA"/>
        </w:rPr>
        <w:t xml:space="preserve">و قد تفطّن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الاطّلاع على غرائب الأخبار، فذهب إلى أنّ الناصبيّ هو الّذي نصب العداوة لشيعة أهل البيت عليهم السلام و تظاهر بالقدح </w:t>
      </w:r>
      <w:r>
        <w:rPr>
          <w:rStyle w:val="FootnoteAnchor"/>
          <w:rtl w:val="true"/>
        </w:rPr>
        <w:footnoteReference w:id="74"/>
      </w:r>
      <w:r>
        <w:rPr>
          <w:rFonts w:ascii="Amiri" w:hAnsi="Amiri" w:eastAsia="Amiri" w:cs="Amiri"/>
          <w:color w:val="111111"/>
          <w:sz w:val="28"/>
          <w:sz w:val="28"/>
          <w:szCs w:val="28"/>
          <w:rtl w:val="true"/>
          <w:lang w:bidi="ar-SA"/>
        </w:rPr>
        <w:t xml:space="preserve">فيهم، كما هو حال أكثر المخالفين لنا في هذه الأعصار في كلّ الأمصار، انتهى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يظهر من مجمع البحرين اختصاصهم بمن تديّن ببغض عليّ عليه السلام و إن كان الظاهر التلازم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النصب المتديّنون ببغض عليّ عليه السلام، لأنّهم نصبوا له،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عادوه </w:t>
      </w:r>
      <w:r>
        <w:rPr>
          <w:rStyle w:val="FootnoteAnchor"/>
          <w:rtl w:val="true"/>
        </w:rPr>
        <w:footnoteReference w:id="76"/>
      </w:r>
      <w:r>
        <w:rPr>
          <w:rFonts w:ascii="IRNazanin" w:hAnsi="IRNazanin" w:eastAsia="IRNazanin"/>
          <w:color w:val="111111"/>
          <w:sz w:val="28"/>
          <w:sz w:val="28"/>
          <w:szCs w:val="28"/>
          <w:rtl w:val="true"/>
          <w:lang w:bidi="fa-IR"/>
        </w:rPr>
        <w:t xml:space="preserve">، انتهى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3345200_372815092"/>
      <w:bookmarkStart w:id="98" w:name="_Toc37"/>
      <w:bookmarkEnd w:id="97"/>
      <w:r>
        <w:rPr>
          <w:rtl w:val="true"/>
        </w:rPr>
        <w:t xml:space="preserve">[ </w:t>
      </w:r>
      <w:r>
        <w:rPr>
          <w:rtl w:val="true"/>
        </w:rPr>
        <w:t xml:space="preserve">رأي المؤلّف قدس سره </w:t>
      </w:r>
      <w:r>
        <w:rPr>
          <w:rtl w:val="true"/>
        </w:rPr>
        <w:t>]</w:t>
      </w:r>
      <w:bookmarkEnd w:id="9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يقتضيه النظر القاصر هو الأوّل، لأنّه المدلول عليه بجملة من النصوص الواردة عن أهل الخصوص،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عن العلل عن عبداللَّه بن سنان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الناصب من نصب لنا أهل البيت، لأنّك لا تجد أحدًا </w:t>
      </w:r>
      <w:r>
        <w:rPr>
          <w:rStyle w:val="FootnoteAnchor"/>
          <w:rtl w:val="true"/>
        </w:rPr>
        <w:footnoteReference w:id="78"/>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أبغض محمّدًا و آل محمّد، ولكنّ الناصب من نصب لكم و هو يعلم أنّكم </w:t>
      </w:r>
    </w:p>
    <w:p>
      <w:pPr>
        <w:pStyle w:val="BookText"/>
        <w:rPr/>
      </w:pPr>
      <w:r>
        <w:rPr>
          <w:rFonts w:ascii="Amiri" w:hAnsi="Amiri" w:eastAsia="Amiri" w:cs="Amiri"/>
          <w:color w:val="111111"/>
          <w:sz w:val="28"/>
          <w:sz w:val="28"/>
          <w:szCs w:val="28"/>
          <w:rtl w:val="true"/>
          <w:lang w:bidi="ar-SA"/>
        </w:rPr>
        <w:t xml:space="preserve">تتولّونا و تتبرّؤون </w:t>
      </w:r>
      <w:r>
        <w:rPr>
          <w:rStyle w:val="FootnoteAnchor"/>
          <w:rtl w:val="true"/>
        </w:rPr>
        <w:footnoteReference w:id="79"/>
      </w:r>
      <w:r>
        <w:rPr>
          <w:rFonts w:ascii="IRNazanin" w:hAnsi="IRNazanin" w:eastAsia="IRNazanin"/>
          <w:color w:val="111111"/>
          <w:sz w:val="28"/>
          <w:sz w:val="28"/>
          <w:szCs w:val="28"/>
          <w:rtl w:val="true"/>
          <w:lang w:bidi="fa-IR"/>
        </w:rPr>
        <w:t xml:space="preserve">من أعدائنا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أيضًا عن معاني الأخبار في باب معنى المستضعف عن عبدالغفّار الجازي عن الصادق عليه السلام أنّه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المستضعفين ضروب يخالف بعضهم بعضًا، و من لم يكن من أهل القبلة ناصبًا فهو مستضعف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 شرٌّ من اليهوديّ،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يابن رسول اللَّه صلى الله عليه 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الناصب يمنع لطف الإمامة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دلالتها على ما ذكرنا من كون المخالفين بأصرها ناصبين واضحة، بل قد صرّح في بعض الأخبار بأنّ من قدّم الجبت والطاغوت فهو ناصب، كالمرويّ عن السرائر من كتاب مسائل الرجال و مكاتباتهم إلى مولانا أبي الحسن عليّ بن محمّد بن عليّ بن موسى الرضا عليه السلام، فجملة مسائل محمّد بن عليّ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عن الناصب هل احتاج في امتحانه إلى أكثر من تقديمه الجبت والطاغوت واعتقاد إمامتهما ؟ فرجع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هذا فهو ناصب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99" w:name="pg7069_58484"/>
    </w:p>
    <w:p>
      <w:pPr>
        <w:pStyle w:val="Heading3"/>
        <w:numPr>
          <w:ilvl w:val="2"/>
          <w:numId w:val="1"/>
        </w:numPr>
        <w:rPr/>
      </w:pPr>
      <w:bookmarkStart w:id="100" w:name="__RefHeading___Toc3345202_372815092"/>
      <w:bookmarkStart w:id="101" w:name="_Toc38"/>
      <w:bookmarkEnd w:id="99"/>
      <w:bookmarkEnd w:id="100"/>
      <w:r>
        <w:rPr>
          <w:rtl w:val="true"/>
        </w:rPr>
        <w:t xml:space="preserve">الوجه الثاني </w:t>
      </w:r>
      <w:r>
        <w:rPr>
          <w:rtl w:val="true"/>
        </w:rPr>
        <w:t xml:space="preserve">: </w:t>
      </w:r>
      <w:r>
        <w:rPr>
          <w:rtl w:val="true"/>
        </w:rPr>
        <w:t>في بيان ما يدلّ على نجاسة الناصب من النصوص‌</w:t>
      </w:r>
      <w:bookmarkEnd w:id="101"/>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المذكورة، و هي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الناصب شرٌّ من اليهوديّ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بناءً على أنّ ثبوت نجاسة اليهوديّ يستلزم ثبوتها في الناصب بطريق أولى، لكونه شرًّا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تغتسل من البئر الّتي تجتمع فيها غسالة الحمّام، فإنّ فيها غسالة ولد الزنا و هو لا يطهر إلى سبعة آباء، و فيها غسالة الناصب و هو شرّهما، إنّ اللَّه لم يخلق خلقًا شرًّا من الكلب وإنّ الناصب أهون على اللَّه من الكلب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فيه عن خالد القلانسي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الذمّيّ فيصافحني،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امسحها بالتراب و بالحائط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والناصب </w:t>
      </w:r>
      <w:r>
        <w:rPr>
          <w:rStyle w:val="FootnoteAnchor"/>
          <w:rtl w:val="true"/>
        </w:rPr>
        <w:footnoteReference w:id="8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اغسلها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الصدوق في العلل في الموثّق عن عبداللَّه بن أبي يعفور </w:t>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أن ذكر اليهوديّ والنصرانيّ والمجوسيّ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والناصب لنا أهل البيت و هو شرّهم، فإنّ اللَّه لم يخلق خلقًا أنجس من الكلب وانّ الناصب لنا أهل البيت أنجس منه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المروية في الكافي في باب مناكحة النصاب والشكاك، 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عن فضيل بن يسار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يتزوّج المؤمن الناصبة المعروفة بذلك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الآخر عنه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 الناصبة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كرامة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واللَّه إنّي لأقول لك هذا ولو جاءني ببيت ملآن دراهم لما </w:t>
      </w:r>
      <w:r>
        <w:rPr>
          <w:rStyle w:val="FootnoteAnchor"/>
          <w:rtl w:val="true"/>
        </w:rPr>
        <w:footnoteReference w:id="90"/>
      </w:r>
      <w:r>
        <w:rPr>
          <w:rFonts w:ascii="IRNazanin" w:hAnsi="IRNazanin" w:eastAsia="IRNazanin"/>
          <w:color w:val="111111"/>
          <w:sz w:val="28"/>
          <w:sz w:val="28"/>
          <w:szCs w:val="28"/>
          <w:rtl w:val="true"/>
          <w:lang w:bidi="fa-IR"/>
        </w:rPr>
        <w:t xml:space="preserve">فعلت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عن جميل بن درّاج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أخشى أن لا يحلّ لي أن أتزوّج مَن لم يكن على أمري،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البُلْه من النساء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البُلْه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المستضعفات من اللّاتي لا ينصبن و لا يعرفن ما أنتم عليه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 السلام عن الناصب الّذي </w:t>
      </w:r>
      <w:bookmarkStart w:id="102" w:name="pg7069_58486"/>
    </w:p>
    <w:p>
      <w:pPr>
        <w:pStyle w:val="BookText"/>
        <w:rPr/>
      </w:pPr>
      <w:bookmarkEnd w:id="102"/>
      <w:r>
        <w:rPr>
          <w:rFonts w:ascii="IRNazanin" w:hAnsi="IRNazanin" w:eastAsia="IRNazanin"/>
          <w:color w:val="111111"/>
          <w:sz w:val="28"/>
          <w:sz w:val="28"/>
          <w:szCs w:val="28"/>
          <w:rtl w:val="true"/>
          <w:lang w:bidi="fa-IR"/>
        </w:rPr>
        <w:t xml:space="preserve">قد عرف نصبه و عداوته هل زوّجه </w:t>
      </w:r>
      <w:r>
        <w:rPr>
          <w:rStyle w:val="FootnoteAnchor"/>
          <w:rtl w:val="true"/>
        </w:rPr>
        <w:footnoteReference w:id="93"/>
      </w:r>
      <w:r>
        <w:rPr>
          <w:rFonts w:ascii="Amiri" w:hAnsi="Amiri" w:eastAsia="Amiri" w:cs="Amiri"/>
          <w:color w:val="111111"/>
          <w:sz w:val="28"/>
          <w:sz w:val="28"/>
          <w:szCs w:val="28"/>
          <w:rtl w:val="true"/>
          <w:lang w:bidi="ar-SA"/>
        </w:rPr>
        <w:t xml:space="preserve">المؤمنة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يزوّج المؤمن الناصبة و لا يتزوّج الناصب المؤمنة ولا يتزوّج المستضعف مؤمنة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 w:name="__RefHeading___Toc3345204_372815092"/>
      <w:bookmarkStart w:id="104" w:name="_Toc39"/>
      <w:bookmarkEnd w:id="103"/>
      <w:r>
        <w:rPr>
          <w:rtl w:val="true"/>
        </w:rPr>
        <w:t xml:space="preserve">البحث الثالث </w:t>
      </w:r>
      <w:r>
        <w:rPr>
          <w:rtl w:val="true"/>
        </w:rPr>
        <w:t xml:space="preserve">: </w:t>
      </w:r>
      <w:r>
        <w:rPr>
          <w:rtl w:val="true"/>
        </w:rPr>
        <w:t>في بيان نصوص الدالّة على كفرهم و بيان مَن قال به من الأصحاب الّذين وصل إلينا كلامهم‌</w:t>
      </w:r>
      <w:bookmarkEnd w:id="104"/>
    </w:p>
    <w:p>
      <w:pPr>
        <w:pStyle w:val="Heading3"/>
        <w:numPr>
          <w:ilvl w:val="2"/>
          <w:numId w:val="1"/>
        </w:numPr>
        <w:rPr/>
      </w:pPr>
      <w:bookmarkStart w:id="105" w:name="__RefHeading___Toc3345206_372815092"/>
      <w:bookmarkStart w:id="106" w:name="_Toc40"/>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المقنعة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لأحد من أهل الإيمان أن يغسل مخالفًا للحقّ في الولاية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نقل عن ابن البرّاج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عليه الشيخ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فالوجه فيه أنّ المخالف لأهل الحقّ كافر، فيجب عليه أن يكون حكمه حكم الكفّار إلّا ما خرج بالدليل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حكم الكفّار النجاسة، فيجب أن تكون ثابتة له إلى أن يخرج بالدليل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ابن إدريس بنجاسة مَن لم يعتقد الحقّ عدا المستضعف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مذهب السيّد في الحكم بنجاستهم مشهور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عن ابن إدريس أنّه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اختياره مذهب المفيد في عدم جواز الصلاة على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يعضده القرآن، و 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تصلّ على أحد منهم مات أبدًا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 يعني الكفّار والمخالف لأهل الحقّ </w:t>
      </w:r>
      <w:r>
        <w:rPr>
          <w:rStyle w:val="FootnoteAnchor"/>
          <w:rtl w:val="true"/>
        </w:rPr>
        <w:footnoteReference w:id="101"/>
      </w:r>
      <w:r>
        <w:rPr>
          <w:rFonts w:ascii="Amiri" w:hAnsi="Amiri" w:eastAsia="Amiri" w:cs="Amiri"/>
          <w:color w:val="111111"/>
          <w:sz w:val="28"/>
          <w:sz w:val="28"/>
          <w:szCs w:val="28"/>
          <w:rtl w:val="true"/>
          <w:lang w:bidi="ar-SA"/>
        </w:rPr>
        <w:t xml:space="preserve">كافر، بلا خلاف بيننا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مولانا الصالح المازندرانيّ في شرح أصول الكافي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أنكر الولاية فهو كافر من حيث أنكر أعظم ما جاء به الرسول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المنتهى في كتاب الزكاة في بيان اشتراط وصف المستحقّ بالإيمان ما صورته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الإمامة من أركان الدين و أصوله و قد علم ثبوتها من النبيّ صلى الله عليه وآله ضرورةً، فالجاحد بها لا يكون مصدّقًا للرسول في جميع ما جاء به، فيكون كافرًا، انتهى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الشريف القاضي في كتاب إحقاق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المعلوم أنّ الشهادتين بمجرّدهما </w:t>
      </w:r>
      <w:r>
        <w:rPr>
          <w:rStyle w:val="FootnoteAnchor"/>
          <w:rtl w:val="true"/>
        </w:rPr>
        <w:footnoteReference w:id="105"/>
      </w:r>
      <w:r>
        <w:rPr>
          <w:rFonts w:ascii="Amiri" w:hAnsi="Amiri" w:eastAsia="Amiri" w:cs="Amiri"/>
          <w:color w:val="111111"/>
          <w:sz w:val="28"/>
          <w:sz w:val="28"/>
          <w:szCs w:val="28"/>
          <w:rtl w:val="true"/>
          <w:lang w:bidi="ar-SA"/>
        </w:rPr>
        <w:t xml:space="preserve">غير كافيتين إلّا مع الإلتزام بجميع ما جاء به النبيّ صلى الله عليه وآله من أحوال المعاد والإمامة، كما يدلّ عليه ما اشتهر من قوله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 لم يعرف إمام زمانه فقد مات ميتةً جاهليّة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 و لا شكّ أنّ المنكر بشي‌ء من ذلك ليس بمؤمن و لا مسلم، فإنّ الغلاة والخوارج وإن كانا من فرق المسلمين نظرًا إلى الإقرار بالشهادتين، إلّا أنّهما من الكافرين </w:t>
      </w:r>
      <w:r>
        <w:rPr>
          <w:rStyle w:val="FootnoteAnchor"/>
          <w:rtl w:val="true"/>
        </w:rPr>
        <w:footnoteReference w:id="107"/>
      </w:r>
      <w:r>
        <w:rPr>
          <w:rFonts w:ascii="Amiri" w:hAnsi="Amiri" w:eastAsia="Amiri" w:cs="Amiri"/>
          <w:color w:val="111111"/>
          <w:sz w:val="28"/>
          <w:sz w:val="28"/>
          <w:szCs w:val="28"/>
          <w:rtl w:val="true"/>
          <w:lang w:bidi="ar-SA"/>
        </w:rPr>
        <w:t xml:space="preserve">نظرًا إلى جحودهما ما علم من الدين وليكن منه، بل من أعظم أصوله إمامة أميرالمؤمنين عليه السلام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الحدائق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المشهور بين متأخّري الأصحاب هو الحكم بإسلام المخالفين وطهارتهم وخصّوا الكفر والنجاسة بالناصب، و هو عندهم مَن أظهر عداوة أهل البيت عليهم السلام ؛ والمشهور في كلام أصحابنا المتقدّمين هو الحكم بكفرهم و نصبهم و نجاستهم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ابن نوبخت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متقدّمي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المسمّى فصّ الياقوت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دافعوا النص كفرة عند جمهور أصحابنا و من أصحابنا مَن يفسقهم،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دافعوا النصّ على أميرالمؤمنين عليه السلام بالإمامة، فقد ذهب أكثر أصحابنا إلى تكفيرهم، لأنّ النصّ معلوم بالتواتر من دين محمّد صلى الله عليه وآله، فيكون ضروريًّا،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من دينه ضرورةً، فجاحده يكون كافرًا كمن يجحد وجوب الصلاة و صوم شهر رمضان، انتهى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تفصيل المقام يقتضي بسط الكلام في مواضع </w:t>
      </w:r>
      <w:r>
        <w:rPr>
          <w:rFonts w:eastAsia="Amiri" w:cs="Amiri" w:ascii="Amiri" w:hAnsi="Amiri"/>
          <w:color w:val="111111"/>
          <w:sz w:val="28"/>
          <w:szCs w:val="28"/>
          <w:rtl w:val="true"/>
          <w:lang w:bidi="ar-SA"/>
        </w:rPr>
        <w:t xml:space="preserve">: </w:t>
      </w:r>
      <w:bookmarkStart w:id="107" w:name="pg7069_58490"/>
    </w:p>
    <w:p>
      <w:pPr>
        <w:pStyle w:val="Heading3"/>
        <w:numPr>
          <w:ilvl w:val="2"/>
          <w:numId w:val="1"/>
        </w:numPr>
        <w:rPr/>
      </w:pPr>
      <w:bookmarkStart w:id="108" w:name="__RefHeading___Toc3345208_372815092"/>
      <w:bookmarkStart w:id="109" w:name="_Toc41"/>
      <w:bookmarkEnd w:id="107"/>
      <w:bookmarkEnd w:id="108"/>
      <w:r>
        <w:rPr>
          <w:rtl w:val="true"/>
        </w:rPr>
        <w:t xml:space="preserve">الموضع الأوّل </w:t>
      </w:r>
      <w:r>
        <w:rPr>
          <w:rtl w:val="true"/>
        </w:rPr>
        <w:t xml:space="preserve">: </w:t>
      </w:r>
      <w:r>
        <w:rPr>
          <w:rtl w:val="true"/>
        </w:rPr>
        <w:t>في نجاسة الثلاثة المعلومة و كفرهم‌</w:t>
      </w:r>
      <w:bookmarkEnd w:id="109"/>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نجاستهم و كفرهم من أوضح الواضحات، لتكذيبهم الرسول صلى الله عليه وآله في مواضع معلومة، أهمّها في أمر الولاية حيث بلغهم الرسول صلى الله عليه وآله ولاية مولى الأمّة، فبايعوا ثمّ خالفوا و كذبوا الرسول ؛ و من الضروريّات أنّ مَن كذب الرسول وخالفه فهو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كثيرة، تغنينا عن تعرّضها بداهة هذه المسألة،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 فأمره جميعًا أمر اللَّه و نهيه كذلك، فمن خالفه صلى الله عليه وآله فقد خالف اللَّه، فيكون مِن أكفر الكفرة و أنجس من الكلاب الممطورة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مخالفتهم الرسول صلى الله عليه وآله و كفرهم نصّ الآية الشريفة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ارتدّوا على أدبارهم بعد ما تبيّن لهم الهدى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 والمراد بهم الثلاثة لما رواه في الكافي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نكت و نتف من التنزيل في الولاية، عن الصادق عليه السلام في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ارتدّوا على أدبارهم بعد ما تبيّن لهم 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و فلان وفلان، ارتدّوا عن الإيمان في ترك ولاية أميرالمؤمنين عليه السلام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المتواترة الواردة في تفسير الآيات القرآنيّة و غيرها تدلّ على كفرهم،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الباب المذكور عن الصادق عليه 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ثمّ كفروا ثمّ آمنوا ثمّ كفروا ثمّ ازدادوا كفرًا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تقبل توبتهم </w:t>
      </w:r>
      <w:r>
        <w:rPr>
          <w:rFonts w:eastAsia="IRNazanin" w:cs="IRNazanin"/>
          <w:color w:val="111111"/>
          <w:sz w:val="28"/>
          <w:szCs w:val="28"/>
          <w:rtl w:val="true"/>
          <w:lang w:bidi="fa-IR"/>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فلان و فلان و فلان، آمنوا بالنبيّ صلى الله عليه وآله في أوّل الأمر وكفروا حيث عرضت عليهم الولاية حين قال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آمنوا بالبيعة لأميرالمؤمنين عليه السلام، ثمّ كفروا حين مضى رسول اللَّه صلى الله عليه وآله، فلم يقرّوا بالبيعة، ثمّ ازدادوا كفرًا بأخذهم مَن بايعه بالبيعة لهم، فهؤلاء لم يبق فيهم من الإيمان شي‌ء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الباب المذكور عن أبي عبداللَّه عليه 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يُرِد فيه بإلحاد بظلم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فيهم حيث دخلوا الكعبة وتعاهدوا و تعاقدوا على كفرهم و جحودهم بما نزل في أميرالمؤمنين عليه السلام، فألحدوا في البيت بظلمهم الرسول صلى الله عليه وآله و وليّه، فبعدًا للقوم الظالمين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الباب أيضًا عن الصادق عليه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فلنذيقنّ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بتركهم ولاية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ولنجزينّهم أسوأ الّذي كانوا يعملون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الباب عن الصادق عليه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دافع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واللَّه نزل بها جبرئيل عليه السلام على محمّد صلى الله عليه وآله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الباب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بهذه الآية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 الحقّ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فليؤمن و من شاء فليكفر إنّا أعتدنا للظالمين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نارًا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الباب عن أبي جعفر عليه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لفي قولٍ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يؤفك عنه مَن أفك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عن الجنّة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الباب عن الصادق عليه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هدوا إلى الطيّب من القول و هدوا إلى صراط الحميد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حمزة و جعفر و عبيدة </w:t>
      </w:r>
    </w:p>
    <w:p>
      <w:pPr>
        <w:pStyle w:val="BookText"/>
        <w:rPr/>
      </w:pPr>
      <w:r>
        <w:rPr>
          <w:rFonts w:ascii="Amiri" w:hAnsi="Amiri" w:eastAsia="Amiri" w:cs="Amiri"/>
          <w:color w:val="111111"/>
          <w:sz w:val="28"/>
          <w:sz w:val="28"/>
          <w:szCs w:val="28"/>
          <w:rtl w:val="true"/>
          <w:lang w:bidi="ar-SA"/>
        </w:rPr>
        <w:t xml:space="preserve">وسلمان و أبوذرّ والمقداد بن الأسود و عمّار هدوا إلى أميرالمؤمنين عليه السلام ؛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حبّب إليكم الإيمان و زيّنه في قلوبكم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كَرّهَ إليكم الكفر والفسوق والعصيان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الأوّل والثاني والثالث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الباب عنه عليه السلام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فمنكم كافر و منكم مؤمن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اللَّه عزّوجلّ إيمانهم بموالاتنا و كفرهم بها يوم أخذ عليهم الميثاق و هم ذرّ في صلب آدم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الباب عن جعفر بن محمّد عن أبيه عن جدّه عليهم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يعرفون نعمة اللَّه ثمّ يُنكِرونها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 رسوله والّذين آمنوا الّذين يقيمون الصلاة و يؤتون الزكاة و هم راكعون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اجتمع نفرٌ من أصحاب رسول اللَّه صلى الله عليه وآله في مسجد المدينة،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هذه الآية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كفرنا بهذه الآية نكفر بسائرها، وإن آمنّا فإنّ هذا ذلّ حين يسلّط علينا ابن أبي طالب،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أنّ محمّدًا صادقٌ فيما يقول، و لكنّا نتولّاه و لا نطيع عليًّا فيما أمرنا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يعرفون نعمة اللَّه ثمّ يكفرونها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يعني ولاية عليّ و أكثرهم الكافرون </w:t>
      </w:r>
    </w:p>
    <w:p>
      <w:pPr>
        <w:pStyle w:val="BookText"/>
        <w:rPr/>
      </w:pPr>
      <w:r>
        <w:rPr>
          <w:rFonts w:ascii="Amiri" w:hAnsi="Amiri" w:eastAsia="Amiri" w:cs="Amiri"/>
          <w:color w:val="111111"/>
          <w:sz w:val="28"/>
          <w:sz w:val="28"/>
          <w:szCs w:val="28"/>
          <w:rtl w:val="true"/>
          <w:lang w:bidi="ar-SA"/>
        </w:rPr>
        <w:t xml:space="preserve">بالولاية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الباب عن أبي الحسن الماضي عليه السلام حيث سئل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ليطفئوا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متمّ نوره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متمّ الإمامة لقوله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باللَّه و رسوله والنور الّذي أنزلنا </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 فالنور هو الإمام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أرسل رسوله بالهدى و دين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أمر رسوله بالولاية لوصيّه والولاية هي دين الحقّ ؛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يظهره على جميع الأديان عند قيام القائم،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w:t>
      </w:r>
      <w:r>
        <w:rPr>
          <w:rStyle w:val="FootnoteAnchor"/>
          <w:rtl w:val="true"/>
        </w:rPr>
        <w:footnoteReference w:id="135"/>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عليه 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تنزيل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هذا الحروف </w:t>
      </w:r>
      <w:r>
        <w:rPr>
          <w:rStyle w:val="FootnoteAnchor"/>
          <w:rtl w:val="true"/>
        </w:rPr>
        <w:footnoteReference w:id="136"/>
      </w:r>
      <w:r>
        <w:rPr>
          <w:rFonts w:ascii="Amiri" w:hAnsi="Amiri" w:eastAsia="Amiri" w:cs="Amiri"/>
          <w:color w:val="111111"/>
          <w:sz w:val="28"/>
          <w:sz w:val="28"/>
          <w:szCs w:val="28"/>
          <w:rtl w:val="true"/>
          <w:lang w:bidi="ar-SA"/>
        </w:rPr>
        <w:t xml:space="preserve">فتنزيل و أمّا غيره فتأويل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آمنوا ثمّ كفروا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سمّى مَن لم يتّبع رسوله في ولاية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منافقين، و جعل مَن جحد وصيّه إمامته كمن جحد محمّدًا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كذب </w:t>
      </w:r>
      <w:r>
        <w:rPr>
          <w:rStyle w:val="FootnoteAnchor"/>
          <w:rtl w:val="true"/>
        </w:rPr>
        <w:footnoteReference w:id="138"/>
      </w:r>
      <w:r>
        <w:rPr>
          <w:rFonts w:ascii="Amiri" w:hAnsi="Amiri" w:eastAsia="Amiri" w:cs="Amiri"/>
          <w:color w:val="111111"/>
          <w:sz w:val="28"/>
          <w:sz w:val="28"/>
          <w:szCs w:val="28"/>
          <w:rtl w:val="true"/>
          <w:lang w:bidi="ar-SA"/>
        </w:rPr>
        <w:t xml:space="preserve">على ربّه و ما أمره اللَّه بهذا في عليّ عليه السلام، فأنزل اللَّه بذلك قرآنًا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 الحديث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باب مَن ادّعى الإمامة و ليس لها بأهل،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الإمامة وليس من أهلها فهو كافر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الكفر عليهم إمّا بعنوان الحقيقة، كما ربّما يشعر به بعض الأخبار المتقدّمة، فيشملهم ما دلّ على نجاسة الكافر و قد مرّ ؛ و إمّا لم يكن كذلك، فيحكم أيضًا بنجاستهم، لأنّ اللفظ عند تعذّر الحمل على الحقيقة يحمل على أقرب المجازات بالنسبة إلى الحقيقة من الأمور المبيّنة، و هو كون جميع أحكام الكفر ثابتًا لهم،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والخلود في جهنّم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ذووا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الحكم بعدم كفرهم و نجاستهم مع أنّهم فعلوا ما فعلوا حتّى أخرجوا أميرالمؤمنين عليه السلام قهرًا من بيته و أداروا الحطب في بيته ليحرقوه عليه،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كتابه الشريف نفس النبيّ صلى الله عليه وآله في آية المباهلة </w:t>
      </w:r>
      <w:r>
        <w:rPr>
          <w:rStyle w:val="FootnoteAnchor"/>
          <w:rtl w:val="true"/>
        </w:rPr>
        <w:footnoteReference w:id="142"/>
      </w:r>
      <w:r>
        <w:rPr>
          <w:rFonts w:ascii="Amiri" w:hAnsi="Amiri" w:eastAsia="Amiri" w:cs="Amiri"/>
          <w:color w:val="111111"/>
          <w:sz w:val="28"/>
          <w:sz w:val="28"/>
          <w:szCs w:val="28"/>
          <w:rtl w:val="true"/>
          <w:lang w:bidi="ar-SA"/>
        </w:rPr>
        <w:t xml:space="preserve">، فيجب أن يكون جميع ما ثبت للنبيّ صلى الله عليه وآله يكون ثابتًا له، إلّا ما خرج </w:t>
      </w:r>
      <w:r>
        <w:rPr>
          <w:rFonts w:eastAsia="Amiri" w:cs="Amiri" w:ascii="Amiri" w:hAnsi="Amiri"/>
          <w:color w:val="111111"/>
          <w:sz w:val="28"/>
          <w:szCs w:val="28"/>
          <w:rtl w:val="true"/>
          <w:lang w:bidi="ar-SA"/>
        </w:rPr>
        <w:t xml:space="preserve">. </w:t>
      </w:r>
      <w:bookmarkStart w:id="110" w:name="pg7069_58496"/>
    </w:p>
    <w:p>
      <w:pPr>
        <w:pStyle w:val="Heading3"/>
        <w:numPr>
          <w:ilvl w:val="2"/>
          <w:numId w:val="1"/>
        </w:numPr>
        <w:rPr/>
      </w:pPr>
      <w:bookmarkStart w:id="111" w:name="__RefHeading___Toc3345210_372815092"/>
      <w:bookmarkStart w:id="112" w:name="_Toc42"/>
      <w:bookmarkEnd w:id="110"/>
      <w:bookmarkEnd w:id="111"/>
      <w:r>
        <w:rPr>
          <w:rtl w:val="true"/>
        </w:rPr>
        <w:t xml:space="preserve">الموضع الثاني </w:t>
      </w:r>
      <w:r>
        <w:rPr>
          <w:rtl w:val="true"/>
        </w:rPr>
        <w:t xml:space="preserve">: </w:t>
      </w:r>
      <w:r>
        <w:rPr>
          <w:rtl w:val="true"/>
        </w:rPr>
        <w:t>في نجاسة من اطّلعوا من النبيّ صلى الله عليه وآله تبليغ الولاية من الّذين كانوا حاضرين في زمن الخطاب أو وصل إليهم بالتواتر، ثمّ أنكروا</w:t>
      </w:r>
      <w:bookmarkEnd w:id="112"/>
    </w:p>
    <w:p>
      <w:pPr>
        <w:pStyle w:val="BookText"/>
        <w:rPr/>
      </w:pPr>
      <w:r>
        <w:rPr>
          <w:rFonts w:ascii="Amiri" w:hAnsi="Amiri" w:eastAsia="Amiri" w:cs="Amiri"/>
          <w:color w:val="111111"/>
          <w:sz w:val="28"/>
          <w:sz w:val="28"/>
          <w:szCs w:val="28"/>
          <w:rtl w:val="true"/>
          <w:lang w:bidi="ar-SA"/>
        </w:rPr>
        <w:t xml:space="preserve">و نجاسة هؤلاء الكفرة أيضًا ممّا لا يدخل فيه ريبة، لأنّهم حينئذٍ مكذّبون للنبيّ صلى الله عليه وآله، و مكذّبه مكذّب اللَّه، فيكون كافرًا و نجسًا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هؤلاء الفجرة يكونون مبغضين لأهل العصمة و ناصبين لهم، فعلى هذا الأدلّة الدالّة على نجاسة مبغضيهم و كفرهم شاملة عليهم، والأدلّة في ذلك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في نجاسة الناصب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باب فرض طاعة الأئمّة عليهم السلام، عن أبي جعفر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حبّنا إيمان و بغضنا كفر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علل الشرائع في باب علّة الّتي من أجلها صار عليّ أبي طالب عليه السلام قسيم الجنّة والنار </w:t>
      </w:r>
      <w:r>
        <w:rPr>
          <w:rStyle w:val="FootnoteAnchor"/>
          <w:rtl w:val="true"/>
        </w:rPr>
        <w:footnoteReference w:id="144"/>
      </w:r>
      <w:r>
        <w:rPr>
          <w:rFonts w:ascii="Amiri" w:hAnsi="Amiri" w:eastAsia="Amiri" w:cs="Amiri"/>
          <w:color w:val="111111"/>
          <w:sz w:val="28"/>
          <w:sz w:val="28"/>
          <w:szCs w:val="28"/>
          <w:rtl w:val="true"/>
          <w:lang w:bidi="ar-SA"/>
        </w:rPr>
        <w:t xml:space="preserve">، عن الصادق عليه السلام، حيث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صار </w:t>
      </w:r>
      <w:bookmarkStart w:id="113" w:name="pg7069_58497"/>
    </w:p>
    <w:p>
      <w:pPr>
        <w:pStyle w:val="BookText"/>
        <w:rPr/>
      </w:pPr>
      <w:bookmarkEnd w:id="113"/>
      <w:r>
        <w:rPr>
          <w:rFonts w:ascii="Amiri" w:hAnsi="Amiri" w:eastAsia="Amiri" w:cs="Amiri"/>
          <w:color w:val="111111"/>
          <w:sz w:val="28"/>
          <w:sz w:val="28"/>
          <w:szCs w:val="28"/>
          <w:rtl w:val="true"/>
          <w:lang w:bidi="ar-SA"/>
        </w:rPr>
        <w:t xml:space="preserve">أميرالمؤمنين عليه السلام قسيم الجنّة والنار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حبّه إيمان و بغضه كفر، وإنّما خلقت الجنّة لأهل الإيمان، و خلقت النار لأهل الكفر، فهو عليه السلام قسيم الجنّة والنار لهذه العلّة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ثبت أنّ جميع أنبياء اللَّه و رسله و جميع المؤمنين كانوا لعليّ بن أبي طالب عليه السلام محبّين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ثبت أنّ أعدائهم والمخالفين لهم كانوا لهم ولجميع أهل محبّتهم مبغضين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يدخل الجنّة إلّا مَن أحبّه اللَّه من الأوّلين والآخرين، ولا يدخل النار إلّا مَن أبغضه من الأوّلين والآخرين، فهو إذن قسيم الجنّة والنار، الحديث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 و يدلّ عليه أيضًا في الموضع الرابع إن شاء اللَّه تعالى </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3345212_372815092"/>
      <w:bookmarkStart w:id="115" w:name="_Toc43"/>
      <w:bookmarkEnd w:id="114"/>
      <w:r>
        <w:rPr>
          <w:rtl w:val="true"/>
        </w:rPr>
        <w:t xml:space="preserve">الموضع الثالث </w:t>
      </w:r>
      <w:r>
        <w:rPr>
          <w:rtl w:val="true"/>
        </w:rPr>
        <w:t xml:space="preserve">: </w:t>
      </w:r>
      <w:r>
        <w:rPr>
          <w:rtl w:val="true"/>
        </w:rPr>
        <w:t>في نجاسة الناصب</w:t>
      </w:r>
      <w:bookmarkEnd w:id="11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 لا يخلو إمّا أن يكون ناصبًا لأحدٍ من الأئمّة عليهم السلام، فنجاسته </w:t>
      </w:r>
      <w:bookmarkStart w:id="116" w:name="pg7069_58498"/>
    </w:p>
    <w:p>
      <w:pPr>
        <w:pStyle w:val="BookText"/>
        <w:rPr/>
      </w:pPr>
      <w:bookmarkEnd w:id="116"/>
      <w:r>
        <w:rPr>
          <w:rFonts w:ascii="Amiri" w:hAnsi="Amiri" w:eastAsia="Amiri" w:cs="Amiri"/>
          <w:color w:val="111111"/>
          <w:sz w:val="28"/>
          <w:sz w:val="28"/>
          <w:szCs w:val="28"/>
          <w:rtl w:val="true"/>
          <w:lang w:bidi="ar-SA"/>
        </w:rPr>
        <w:t xml:space="preserve">وكفره أيضًا ممّا لا إشكال فيه، لكثيرٍ من الأدلّة، و قد مرّ بعضها في تفسير الناصب 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يكون ناصبًا لشيعتهم، لموالاتهم عليهم السلام، أو للتبرّي من أعدائهم، كما نشاهد الآن في كثير من المخالفين، حيث انّهم لا ينصبوا أهل البيت، بل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 المكرمين، لكن ينصبون شيعتهم لكونهم قائلين بإمامتهم عليهم السلام و متبرّئين من أعدائهم، فينبغي أيضًا الحكم بنجاستهم، لما مرّ من أنّ المراد بالناصب من نصب شيعتهم حيث دلّت عليه أخبارهم، فيدخلون تحت الأدلّة الدالّة على نجاسة الناصب مطلقًا، و يدلّ عليه أيضًا ما سيجي‌ء </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3345214_372815092"/>
      <w:bookmarkStart w:id="118" w:name="_Toc44"/>
      <w:bookmarkEnd w:id="117"/>
      <w:r>
        <w:rPr>
          <w:rtl w:val="true"/>
        </w:rPr>
        <w:t xml:space="preserve">الموضع الرابع </w:t>
      </w:r>
      <w:r>
        <w:rPr>
          <w:rtl w:val="true"/>
        </w:rPr>
        <w:t xml:space="preserve">: </w:t>
      </w:r>
      <w:r>
        <w:rPr>
          <w:rtl w:val="true"/>
        </w:rPr>
        <w:t>في ذكر الأدلّة الدالّة على نجاسة الجميع من التابعين للثلاثة</w:t>
      </w:r>
      <w:bookmarkEnd w:id="11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الدالّة على نجاستهم قول اللَّه الكريم في آية المباهلة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تعالوا ندع أبنائنا و أبنائكم و نسائنا و نسائكم و أنفسنا وأنفسكم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 حيث انّه تعالى عدّ مولى المؤمنين نفس النبيّ صلى الله عليه وآله، والحمل على الحقيقة غير ممكن كما </w:t>
      </w:r>
    </w:p>
    <w:p>
      <w:pPr>
        <w:pStyle w:val="BookText"/>
        <w:rPr/>
      </w:pPr>
      <w:r>
        <w:rPr>
          <w:rFonts w:ascii="Amiri" w:hAnsi="Amiri" w:eastAsia="Amiri" w:cs="Amiri"/>
          <w:color w:val="111111"/>
          <w:sz w:val="28"/>
          <w:sz w:val="28"/>
          <w:szCs w:val="28"/>
          <w:rtl w:val="true"/>
          <w:lang w:bidi="ar-SA"/>
        </w:rPr>
        <w:t xml:space="preserve">لا يخفى، فيجب حمل اللفظ على أقرب المجازات، و هو أن يكون جميع ما ثبت للنبيّ صلى الله عليه وآله ثابتًا للوليّ، إلّا ما خرج بالدليل، أو بلغ بالندرة غايتها حيث لم ينصرف الذهن عند إطلاق اللفظ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كما يكون منكر النبيّ صلى الله عليه وآله و مقدّم غيره عليه كافرًا و نجسًا، فكذا منكر الوليّ و مقدّم غيره عليه، كما أشرنا إليه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هم أركان الأرض،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به عليّ عليه السلام آخذ به و ما نهى عنه أنتهي عنه، جرى له من الفضل مثل ما جرى لمحمّد صلى الله عليه وآله و لمحمّد صلى الله عليه وآله الفضل على جميع من خلق اللَّه عزّوجلّ، المتعقّب عليه في شي‌ء من أحكامه كالمتعقّب على اللَّه و على رسوله، والرادّ عليه في صغيرة أو كبيرة على حدّ الشرك باللَّه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الباب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المعيّب على أميرالمؤمنين عليه السلام في شي‌ء من أحكامه كالمعيّب على اللَّه عزّوجلّ و على رسوله صلى الله عليه وآله، والرادّ عليه في صغيرة أو كبيرة على حدّ الشرك باللَّه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الباب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بين يدي أميرالمؤمنين عليه السلام </w:t>
      </w:r>
      <w:r>
        <w:rPr>
          <w:rStyle w:val="FootnoteAnchor"/>
          <w:rtl w:val="true"/>
        </w:rPr>
        <w:footnoteReference w:id="149"/>
      </w:r>
      <w:r>
        <w:rPr>
          <w:rFonts w:ascii="Amiri" w:hAnsi="Amiri" w:eastAsia="Amiri" w:cs="Amiri"/>
          <w:color w:val="111111"/>
          <w:sz w:val="28"/>
          <w:sz w:val="28"/>
          <w:szCs w:val="28"/>
          <w:rtl w:val="true"/>
          <w:lang w:bidi="ar-SA"/>
        </w:rPr>
        <w:t xml:space="preserve">كالمتقدّم بين يدي اللَّه و رسوله، والمتفضّل عليه كالمتفضّل </w:t>
      </w:r>
    </w:p>
    <w:p>
      <w:pPr>
        <w:pStyle w:val="BookText"/>
        <w:rPr/>
      </w:pPr>
      <w:r>
        <w:rPr>
          <w:rFonts w:ascii="Amiri" w:hAnsi="Amiri" w:eastAsia="Amiri" w:cs="Amiri"/>
          <w:color w:val="111111"/>
          <w:sz w:val="28"/>
          <w:sz w:val="28"/>
          <w:szCs w:val="28"/>
          <w:rtl w:val="true"/>
          <w:lang w:bidi="ar-SA"/>
        </w:rPr>
        <w:t xml:space="preserve">على رسول اللَّه صلى الله عليه وآله، الحديث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جحد إمامة عليّ عليه السلام كمن جحد محمّدًا صلى الله عليه وآله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الإمام والردّ عليه، عن جابر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يعبده من عرف اللَّه و عرف إمامه منّا أهل البيت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نتف من جوامع الكلم من الرواية في الولاية، عن أبي جعفر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عليًّا علمًا بينه و بين خلقه، فمن عرفه كان مؤمنًا، و من أنكره كان كافرًا، و من جهله كان ضالًّا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الباب عنه عليه السلام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بابٌ فتحه اللَّه، فمن دخله كان مؤمنًا، و من خرج منه كان كافرًا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الكتاب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الإمامة و ليس لها بأهل، عن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أشرك مع إمام إمامته من عند اللَّه من ليست إمامته من اللَّه كان كافرًا مشركًا باللَّه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إمام، عن أبي عبداللَّه عليه السلام في حديث طويل،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 لقول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 وليّ الّذين آمنوا يخرجهم من الظلمات إلى النور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ظلمات الذنوب إلى نور التوبة والمغفرة لولايتهم كلّ إمام عادل من اللَّه ؛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كفروا أولياؤهم الطاغوت يخرجونهم من النور إلى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بهذا أنّهم كانوا على نور الإسلام، فلمّا أن تولّوا كلّ إمام جائر ليس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بولايتهم من نور الإسلام إلى ظلمات الكفر، فأوجب اللَّه لهم النار مع الكفّار،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النار هم فيها خالدون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أمالي الصدوق عن مقاتل بن سليمان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قسيم الجنّة والنار، بمحبّتك يعرف الأبرار من الفجّار، و يميّز بين الأشرار والأخيار، و بين المؤمنين والكفّار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عنه أيضًا عن أبي حمزة عن عليّ بن الحسين عليهما السلام عن آبائه عليهم السلام، عن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رجل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إنّك تدعى أميرالمؤمنين، فمن أمرك عليهم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الرجل إلى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أيصدق عليّ فيما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أمره على خلقه ؟ فغضب النبيّ صلى الله عليه وآله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أمير المؤمنين بولاية من اللَّه </w:t>
      </w:r>
    </w:p>
    <w:p>
      <w:pPr>
        <w:pStyle w:val="BookText"/>
        <w:rPr/>
      </w:pPr>
      <w:r>
        <w:rPr>
          <w:rFonts w:ascii="Amiri" w:hAnsi="Amiri" w:eastAsia="Amiri" w:cs="Amiri"/>
          <w:color w:val="111111"/>
          <w:sz w:val="28"/>
          <w:sz w:val="28"/>
          <w:szCs w:val="28"/>
          <w:rtl w:val="true"/>
          <w:lang w:bidi="ar-SA"/>
        </w:rPr>
        <w:t xml:space="preserve">عزّوجلّ، عقدها له فوق عرشه، و أشهد على ذلك ملائكته، أنّ عليًّا خليفة اللَّه وحجّة اللَّه، وأنّه إمام المسلمين، طاعته مقرونة بطاعة اللَّه، و معصيته مقرونة بمعصية اللَّه، فمن جهله فقد جهلني، و من عرفه فقد عرفني، و من أنكر إمامته فقد أنكر نبوّتي، و من جحد إمرته فقد جحد رسالتي، الحديث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عنه أيضًا عن حذيفة بن أسيد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حذيفة، إنّ حجّة اللَّه عليكم بعدي عليّ بن أبي طالب، الكفر به كفر باللَّه، والشرك به شرك باللَّه، والشكّ فيه شكّ في اللَّه، والإلحاد فيه إلحاد في اللَّه، والإنكار له إنكار في اللَّه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حذيفة، لا تفارقن عليًّا فتفارقني، ولا تخالفن عليًّا فتخالفني، إنّ عليًّا منّي و أنا منه، من أسخطه فقد أسخطني، و من أرضاه فقد أرضاني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عنه عن الباقر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أبغضنا أهل البيت بعثه اللَّه يهوديًّا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إن أشهد الشهادتين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احتجز بهاتين الكلمتين عن سفك دمه، أو يؤدّي الجزية عن يد و هو صاغر، الحديث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عنه عن الرسول صلى الله عليه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إمامة عليّ بعدي كمن </w:t>
      </w:r>
    </w:p>
    <w:p>
      <w:pPr>
        <w:pStyle w:val="BookText"/>
        <w:rPr/>
      </w:pPr>
      <w:r>
        <w:rPr>
          <w:rFonts w:ascii="Amiri" w:hAnsi="Amiri" w:eastAsia="Amiri" w:cs="Amiri"/>
          <w:color w:val="111111"/>
          <w:sz w:val="28"/>
          <w:sz w:val="28"/>
          <w:szCs w:val="28"/>
          <w:rtl w:val="true"/>
          <w:lang w:bidi="ar-SA"/>
        </w:rPr>
        <w:t xml:space="preserve">أنكر نبوّتي في حياتي، و من أنكر نبوّتي كان كمن أنكر ربوبيّة ربّي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عنه عن جابر بن عبداللَّه الأنصاريّ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 أحدًا من أصحابي على عليّ فقد كفر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معاني الأخبار عن مجاهد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اختار منكم على عليّ إمامًا فقد اختار على نبيّنا، و من اختار على نبيًّا فقد اختار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العيون </w:t>
      </w:r>
      <w:r>
        <w:rPr>
          <w:rStyle w:val="FootnoteAnchor"/>
          <w:rtl w:val="true"/>
        </w:rPr>
        <w:footnoteReference w:id="164"/>
      </w:r>
      <w:r>
        <w:rPr>
          <w:rFonts w:ascii="Amiri" w:hAnsi="Amiri" w:eastAsia="Amiri" w:cs="Amiri"/>
          <w:color w:val="111111"/>
          <w:sz w:val="28"/>
          <w:sz w:val="28"/>
          <w:szCs w:val="28"/>
          <w:rtl w:val="true"/>
          <w:lang w:bidi="ar-SA"/>
        </w:rPr>
        <w:t xml:space="preserve">عن أبي حمزة الثمالي عن الصادق عليه السلام عن أبيه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جبرئيل عن ربّ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يشهد أن لا إله إلّا أنا وحدي </w:t>
      </w:r>
      <w:r>
        <w:rPr>
          <w:rStyle w:val="FootnoteAnchor"/>
          <w:rtl w:val="true"/>
        </w:rPr>
        <w:footnoteReference w:id="165"/>
      </w:r>
      <w:r>
        <w:rPr>
          <w:rFonts w:ascii="Amiri" w:hAnsi="Amiri" w:eastAsia="Amiri" w:cs="Amiri"/>
          <w:color w:val="111111"/>
          <w:sz w:val="28"/>
          <w:sz w:val="28"/>
          <w:szCs w:val="28"/>
          <w:rtl w:val="true"/>
          <w:lang w:bidi="ar-SA"/>
        </w:rPr>
        <w:t xml:space="preserve">، أو شهد بذلك ولم يشهد أنّ محمّدًا رسول اللَّه </w:t>
      </w:r>
      <w:r>
        <w:rPr>
          <w:rStyle w:val="FootnoteAnchor"/>
          <w:rtl w:val="true"/>
        </w:rPr>
        <w:footnoteReference w:id="166"/>
      </w:r>
      <w:r>
        <w:rPr>
          <w:rFonts w:ascii="Amiri" w:hAnsi="Amiri" w:eastAsia="Amiri" w:cs="Amiri"/>
          <w:color w:val="111111"/>
          <w:sz w:val="28"/>
          <w:sz w:val="28"/>
          <w:szCs w:val="28"/>
          <w:rtl w:val="true"/>
          <w:lang w:bidi="ar-SA"/>
        </w:rPr>
        <w:t xml:space="preserve">، أو شهد بذلك و لم يشهد أنّ عليّ بن أبي طالب خليفتي، أو شهد بذلك و لم يشهد أنّ الأئمّة من ولده حججي، فقد جحد نعمتي، و صغر عظمتي، و كفر بآياتي و كتبي، إن قصدني حجبته، وإن سألني حرمته، وإن ناداني لم أسمع نداءه، وإن دعاني لم أستجب دعاءه، وإن رجاني خيّبته، و ذلك جزاؤه منّي و ما أنا بظلّام للعبيد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عنه أيضًا عن أبي حمزة، عن أبيه، عن يحيى بن أبي القاسم، عن الصادق عليه السلام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اثنا عشر، أوّلهم عليّ بن أبي طالب، و آخرهم القائم، هم خلفائي و أوصيائي و أوليائي و حجج اللَّه على أمّتي بعدي، المقرّ بهم مؤمن، والمنكر لهم كافر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تمّت الرسالة الشريفة </w:t>
      </w:r>
      <w:r>
        <w:rPr>
          <w:rFonts w:eastAsia="Amiri" w:cs="Amiri" w:ascii="Amiri" w:hAnsi="Amiri"/>
          <w:color w:val="111111"/>
          <w:sz w:val="28"/>
          <w:szCs w:val="28"/>
          <w:rtl w:val="true"/>
          <w:lang w:bidi="ar-SA"/>
        </w:rPr>
        <w:t xml:space="preserve">] </w:t>
      </w:r>
      <w:bookmarkStart w:id="119" w:name="pg7069_58505"/>
    </w:p>
    <w:p>
      <w:pPr>
        <w:pStyle w:val="Heading2"/>
        <w:numPr>
          <w:ilvl w:val="1"/>
          <w:numId w:val="1"/>
        </w:numPr>
        <w:rPr/>
      </w:pPr>
      <w:bookmarkStart w:id="120" w:name="__RefHeading___Toc3345216_372815092"/>
      <w:bookmarkStart w:id="121" w:name="_Toc45"/>
      <w:bookmarkEnd w:id="119"/>
      <w:bookmarkEnd w:id="120"/>
      <w:r>
        <w:rPr>
          <w:rtl w:val="true"/>
        </w:rPr>
        <w:t>فهرس مصادر التحقيق‌</w:t>
      </w:r>
      <w:bookmarkEnd w:id="1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على أهل اللجاج، لأبي منصور أحمد بن عليّ بن أبي طالب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محمّد باقر الخراسان، دار النعمان للطباعة والنشر، النجف الأشرف،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إحقاق الحقّ، القاضي الشهيد نور اللَّه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برنامج مكتبة أهل البيت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فيما اختلف من الأخبار ، لشيخ الطائفة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حسن الخرسان، دار الكتب الإسلاميّة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للشيخ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عليهم السلام،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البعثة،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النعمانيّة، للسيّد نعمة اللَّه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الفجر، بيروت،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 للعلّامة الحلّي جمال الدّين 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آل البيت عليهم السلام لإحياء التراث،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الحسن 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طيب الموسويّ الجزائري، مؤسّسة دار الكتاب،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للشيخ 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هاشم الحسيني الطهراني، منشورات جماعة المدرّسين،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 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حسن الموسويّ الخرسان، دار الكتب الإسلامية،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 عقاب الأعمال ، 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مهدي السيّد حسن الخرسان، منشورات الشريف الرضي، قم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في شرح القواعد، للمحقّق الثاني عليّ بن الحسين بن عبدالعالي الكركي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و تحقيق مؤسّسة آل البيت عليهم السلام لإحياء التراث،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للشيخ يوسف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تقي الإيرواني، مؤسّسة النشر الإسلامي،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الشريف المرتضى ، لأبي القاسم علي بن الحسين الموسوي المعروف بعلم الهدى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السيّد مهدي الرجائي، نشر دار القرآن الكريم مدرسة آية اللَّه الگلپايگاني،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 الجنان في شرح إرشاد الأذهان، للشهيد الثاني زين الدّين بن عليّ بن أحمد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مؤسّسة آل البيت عليهم السلام،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 لمحمّد بن منصور بن أحمد بن إدريس العجلي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أصول الكافي، للمولى محمّد صالح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الميرزا أبوالحسن الشعرانيّ، ضبط وتصحيح السيّد عليّ عاشور، دار احياء التراث العربيّ،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الشهاب الثاقب في بيان معنى الناصب، للمحقّق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نشر المحقّق، أمير،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الشيعة، 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كانون انتشارات عابدي، تهران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في معرفة مذاهب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موسى بن جعفر بن محمّد بن طاووس الحسنيّ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علي عاشور، مؤسسّة الأعلمي للمطبوعات، بيروت،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المكتبة الحيدريّة، النجف الأشرف،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اللّألئ الحديثيّة، لابن أبي جمهور الأحسائي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الحاج آقا مجتبى العراقي، سيّد الشهداء،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 السلام، 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حسين الأعلمي، مؤسّسة الأعلمي للمطبوعات،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العليّة في شرح الجعفريّة، للفاضل الجواد الشيخ جواد بن سعد بن جواد الكاظميّ البغداديّ، من مخطوطات مكتبة مجلس الشورى، تحت الرقم </w:t>
      </w:r>
      <w:r>
        <w:rPr>
          <w:rFonts w:eastAsia="Amiri" w:cs="Amiri" w:ascii="Amiri" w:hAnsi="Amiri"/>
          <w:color w:val="111111"/>
          <w:sz w:val="28"/>
          <w:szCs w:val="28"/>
          <w:lang w:bidi="ar-SA"/>
        </w:rPr>
        <w:t>7134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لأبي جعفر ثقة الإسلام محمّد بن يعقوب بن إسحاق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دار الكتب الإسلاميّة،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 يحضره الفقيه ، 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نشر جامعة المدرّسين،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حقائق غوامض التنزيل و عيون الأقاويل في وجوه التأويل، لأبي القاسم جار اللَّه محمود بن عمر الزمخشري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العربي، بيروت،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عن قواعد الأحكام ، للشيخ بهاء الدّين محمّد بن الحسن الإصفهاني المعروف بالفاضل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التابعة لجماعة المدرّسين بقم المشرّفة،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في النصّ على الاثني عشر، لأبي القاسم عليّ بن محمّد بن عليّ الخزّاز القمّي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عبداللطيف الحسيني الكوهكمريّ، نشر بيدار،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 تمام النعمة، 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علي أكبر الغفّاري، مؤسّسة النشر الإسلاميّ،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في حلّ مشكلات القواعد، للسيّد عميد الدين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لشيخ الطائفة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تقي الكشفي، نشر المكتبة المرتضويّة،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و مطلع النيّرين ، للشيخ فخر الدّين محمّد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الحسيني، مكتبة نشر الثقافة الإسلاميّة،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في أحكام الشريعة ، للعلّامة الحلّي الحسن بن يوسف ب </w:t>
      </w:r>
    </w:p>
    <w:p>
      <w:pPr>
        <w:pStyle w:val="BookText"/>
        <w:rPr/>
      </w:pPr>
      <w:r>
        <w:rPr>
          <w:rFonts w:ascii="Amiri" w:hAnsi="Amiri" w:eastAsia="Amiri" w:cs="Amiri"/>
          <w:color w:val="111111"/>
          <w:sz w:val="28"/>
          <w:sz w:val="28"/>
          <w:szCs w:val="28"/>
          <w:rtl w:val="true"/>
          <w:lang w:bidi="ar-SA"/>
        </w:rPr>
        <w:t xml:space="preserve">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لجنة التحقيق، مؤسسة النشر الإسلامي التابعة لجماعة المدرسين،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للعلّامة محمّد باقر بن محمّد تقي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هاشم الرسوليّ، دار الكتب الإسلاميّة، تهران،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للشيخ الفقيه أبي عبداللَّه محمّد بن أحمد 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لجنة التحقيق، مؤسسة النشر الإسلامي،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للشيخ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مؤسّسة النشر الإسلاميّ،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المقاصد العليّة في شرح الرسالة الألفيّة، للشهيد الثاني زين الدّين بن عليّ بن أحمد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المطبوعة مع حاشيتا الألفيّة، تحقيق مركز الأبحاث والدراسات الإسلاميّة،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لأبي عبداللَّه محمّد بن محمّد بن النعمان البغدادي، المعروف بالشيخ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ملاذ الأخيار في فهم تهذيب الأخبار، للعلّامة الشيخ محمّد باقر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مكتبة آية اللَّه المرعشيّ،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في تحقيق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جمال الدّين 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قسم الفقه في مجمع البحوث الإسلامية، مشهد،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للقاضي إبن البرّاج أبي القاسم عبدالعزيز بن نحرير بن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بإشراف الشيخ جعفر السبحاني، نشر جامعة المدرّسين،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الإحكام في معرفة الأحكام ، للعلّامة الحلّي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مؤسسة إسماعيليان،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للمولى محمّد محسن بن الشاه مرتضى المشهور بالفيض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ضياء الدين الحسيني الاصفهاني، اصفهان،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وسائل الشيعة إلى تحصيل مسائل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محمّد بن الحسن الحرّ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آل البيت عليهم السلام لإحياء التراث،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7069_58513"/>
      <w:bookmarkStart w:id="123" w:name="pg7069_58513"/>
      <w:bookmarkEnd w:id="123"/>
    </w:p>
    <w:p>
      <w:pPr>
        <w:pStyle w:val="Heading2"/>
        <w:numPr>
          <w:ilvl w:val="1"/>
          <w:numId w:val="1"/>
        </w:numPr>
        <w:rPr/>
      </w:pPr>
      <w:bookmarkStart w:id="124" w:name="pg7069_58513"/>
      <w:bookmarkStart w:id="125" w:name="__RefHeading___Toc3345218_372815092"/>
      <w:bookmarkStart w:id="126" w:name="_Toc46"/>
      <w:bookmarkEnd w:id="124"/>
      <w:bookmarkEnd w:id="125"/>
      <w:r>
        <w:rPr>
          <w:rtl w:val="true"/>
        </w:rPr>
        <w:t>فهرس المطالب</w:t>
      </w:r>
      <w:bookmarkEnd w:id="126"/>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لمحةٌ من حياة المؤلّف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اسمه و نسبه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ولادته و نشأته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إطراء العلماء له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زهده و عبادته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إقامته الحدود الشرعيّة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أساتذته و مشايخ روايته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تآليفه القيّمة </w:t>
      </w:r>
      <w:r>
        <w:rPr>
          <w:rFonts w:eastAsia="Amiri" w:cs="Amiri" w:ascii="Amiri" w:hAnsi="Amiri"/>
          <w:color w:val="111111"/>
          <w:sz w:val="28"/>
          <w:szCs w:val="28"/>
          <w:lang w:bidi="ar-SA"/>
        </w:rPr>
        <w:t>16</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الكتب و الرسائل الفقهيّة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الكتب و الرسائل الحديثيّة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الكتب و الرسائل الأصوليّة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الكتب و الرسائل الرجاليّة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الكتب و الرسائل المتفرّقة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وفاته و مرقده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الكتاب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منهجيّة التحقيق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رسالة في نجاسة المخالفين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البحث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نجاسة المجبّرة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المجبّرة </w:t>
      </w:r>
      <w:r>
        <w:rPr>
          <w:rFonts w:eastAsia="Amiri" w:cs="Amiri" w:ascii="Amiri" w:hAnsi="Amiri"/>
          <w:color w:val="111111"/>
          <w:sz w:val="28"/>
          <w:szCs w:val="28"/>
          <w:lang w:bidi="ar-SA"/>
        </w:rPr>
        <w:t>36</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أنّهم كافرون أم لا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نجاسة الناصب و كفره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الناصب و بيان كون المخالف ناصبًا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رأي المؤلّف قدس سره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يدلّ على نجاسة الناصب من النصوص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البحث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بيان نصوص الدالّة على كفرهم</w:t>
      </w:r>
    </w:p>
    <w:p>
      <w:pPr>
        <w:pStyle w:val="BookText"/>
        <w:rPr/>
      </w:pPr>
      <w:r>
        <w:rPr>
          <w:rFonts w:ascii="Amiri" w:hAnsi="Amiri" w:eastAsia="Amiri" w:cs="Amiri"/>
          <w:color w:val="111111"/>
          <w:sz w:val="28"/>
          <w:sz w:val="28"/>
          <w:szCs w:val="28"/>
          <w:rtl w:val="true"/>
          <w:lang w:bidi="ar-SA"/>
        </w:rPr>
        <w:t xml:space="preserve">و بيان مَن قال به من الأصحاب الّذين وصل إلينا كلامهم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الموضع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نجاسة الثلاثة المعلومة و كفرهم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نجاسة من اطّلعوا من النبيّ صلى الله عليه وآله تبليغ الولاية من الّذين</w:t>
      </w:r>
    </w:p>
    <w:p>
      <w:pPr>
        <w:pStyle w:val="BookText"/>
        <w:rPr/>
      </w:pPr>
      <w:r>
        <w:rPr>
          <w:rFonts w:ascii="Amiri" w:hAnsi="Amiri" w:eastAsia="Amiri" w:cs="Amiri"/>
          <w:color w:val="111111"/>
          <w:sz w:val="28"/>
          <w:sz w:val="28"/>
          <w:szCs w:val="28"/>
          <w:rtl w:val="true"/>
          <w:lang w:bidi="ar-SA"/>
        </w:rPr>
        <w:t xml:space="preserve">كانوا حاضرين في زمن الخطاب أو وصل إليهم بالتواتر، ثمّ أنكروا </w:t>
      </w:r>
      <w:r>
        <w:rPr>
          <w:rFonts w:eastAsia="Amiri" w:cs="Amiri" w:ascii="Amiri" w:hAnsi="Amiri"/>
          <w:color w:val="111111"/>
          <w:sz w:val="28"/>
          <w:szCs w:val="28"/>
          <w:lang w:bidi="ar-SA"/>
        </w:rPr>
        <w:t>62</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نجاسة الناصب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الأدلّة الدالّة على نجاسة الجميع من التابعين للثلاثة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lang w:bidi="ar-SA"/>
        </w:rPr>
        <w:t>71</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المطالب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والثاني ؛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لباب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موسوعة الإمام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تذكرة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ومشاهير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وفيات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بغية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هدية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أعلام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ذكره صاحب الترجمة في ديباجة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صاحب الترجمة قدس سره في بعض إجازاته،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المولى الساطع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فزنا بالاستفادة من جنابه في أوائل التحصيل في علم الأصول، و قرأنا عليه من مصنّفاته ما هو مشهور بالفوائد العتيق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آقا محمّد باقر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نفسه قدس سره في حواشي بعض إجازاته،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حُرِمنا من شرافة مجاورة العتبات العاليات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مشرفها آلاف التحيّة و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انتقلنا منها إلى ديار العجم في سنة خمس ومائتين بعد الألف، وكان مولانا مولى الكلّ آقا محمّد باقر البهبهاني في الحيات، ثمّ انتقل إلى الفردوس الأعلى في سنة ستّ ومائتين بعد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تعالى روحه السعيد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المترجم له قدس سره في حاشية بعض إجازاته ما هذا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المرحوم المغفور مير عبدالباقي إلى دار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تعالى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ورودي في اصبهان في سنة سبع و مائتين بعد الألف من الهجرة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سيّدنا المترجم رحمه الله في حاشية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اتّفق لي في سنة مائتين و خمس عشر بعد الألف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الارتحال من اصبهان إلى بلدة قم، و مكثت فيها أربعة أشهر أو أكثر، وكنت مشتغلًا بكتابة هذا المجلّد من الشرح </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طرائف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نفسه قدس سره في مناسكه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أشار بذلك الميرزا حبيب اللَّه نيّر رحمه الله ضمن مرثيته للمترجم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بهذا التاريخ معاصره الأديب الفاضل الميرزا محمّد عليّ الطباطبائي الزوّاري، المتخلّص بوفا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تذكرته الموسومة بالمآثر الباقريّة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الّتي جمع فيها بعض من القصائد والمقطّعات الّتي أنشدها الشعراء في مدح حجّة الإسلام قدس سره ووصف مسجده الأعظم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أنشأه في 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من محلّات أصفهان العظيمة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أحكام القناة للمترجم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ترجمة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أحسن الوديعة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ماضي النجف وحاضرها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لباب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الكرام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موسوعة الإمام شرف الدين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الشرق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ومشاهير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و 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التواريخ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قاجار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علماى معاصرين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الصفا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موسوعة الإمام شرف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بزرگان ودانشمندان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نجوم السماء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الفكر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نجوم السماء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مكارم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آثار ملّى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السيّد حجّة الإسلام قدس سره في الرسالة الثانية بأنّه كتب في تحقيق أحواله رسالتان، حيث قال في 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كتبت في سالف الزمان رسالة في تحقيق الحال في إبراهيم بن هاشم وأغفلت فيها بعض ما ينبغي التنبيه عليه، أبرزت هذه الكلمات في ذلك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الذريعة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اسماعيل الواقع في صدر بعض أسانيد الكافي، للسيّد حجّة الإسلام الاصفهاني، طبعت مع رسائله، فرغ من أصله سنة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ثمّ بعد مدّة كتب عليه حاشية منه سنة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أكثر هذه الرسائل في مجلّد واحد بتحقيق الحجّة الحاج السيّد مهدي الرجائي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بركاته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قامت بطبعها مكتبة مسجد السيّد حجّة الإسلام الشفتي قدس سره باصفهان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التاريخ مطابق لما كتبه صاحب الروضات رحمه الله في بياضه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النهريّة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وكذا مطابق لما كتبه العلّامة الشيخ محمّد جعفر بن محمّد إبراهيم الكرباسي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ظهر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الرشاد في شرح إرشاد الأذهان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فهرس مخطوطات مكتبة مركز إحياء التراث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وضبطه كذلك العالم الفاضل الشاعر رضا قليخان هما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تاريخ وفاته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يقولون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يدلّ على أنّ الجاحدين لما قلناه مكابرون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المجبّرة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المقاصد العليّة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العيون، و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يكلّفهم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الأولى على الألفيّة، للشهيد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العليّة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ملاذ الأخيار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والشهاب الثاقب في بيان معنى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تتوالونا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العليّة في شرح الجعفريّة، للفاضل 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مذبذبين بين ذلك لا إلى هؤلاء و لا إلى هؤلاء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الفوائد في حلّ مشكلات القواعد، للسيّد عميد الدين الأعرج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ممّا يتمّ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الأخبار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الإماميّة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بالوقوع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أعادوه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تتبرّؤون من أعدائنا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أنّكم من شيعتنا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صفات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اللألي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35326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اللألي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فالناصب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26317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26318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26286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نزوّجه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عبد اللَّه بن مسكان مثله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26319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الشريف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والمخالف للحقّ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بمجرّدها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مات و لا يعرف إمامه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أنّهما من الكافرين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فهما من قبل الكافرين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بقيّة الآية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يكن اللَّه ليغفر لهم و لا ليهديهم سبيلًا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أوّل الآية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الّذين كفروا بعد إيمانهم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كذّاب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قسيم اللَّه بين الجنّة والنار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بين يديه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جعل من جحد وصيّه إمامته كمن جحد محمّدًا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العيون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اللَّه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عبدي و رسولي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image" Target="media/image2.jpeg"/><Relationship Id="rId89" Type="http://schemas.openxmlformats.org/officeDocument/2006/relationships/image" Target="media/image2.jpeg"/><Relationship Id="rId90" Type="http://schemas.openxmlformats.org/officeDocument/2006/relationships/footer" Target="footer83.xml"/><Relationship Id="rId91" Type="http://schemas.openxmlformats.org/officeDocument/2006/relationships/footnotes" Target="footnotes.xml"/><Relationship Id="rId92" Type="http://schemas.openxmlformats.org/officeDocument/2006/relationships/numbering" Target="numbering.xml"/><Relationship Id="rId93" Type="http://schemas.openxmlformats.org/officeDocument/2006/relationships/fontTable" Target="fontTable.xml"/><Relationship Id="rId94" Type="http://schemas.openxmlformats.org/officeDocument/2006/relationships/settings" Target="settings.xml"/><Relationship Id="rId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Pages>
  <Words>13828</Words>
  <Characters>50519</Characters>
  <CharactersWithSpaces>63855</CharactersWithSpaces>
  <Paragraphs>775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2026-08-27T07:38:36Z</dcterms:created>
  <dc:creator>ghaemiyeh.com</dc:creator>
  <dc:description/>
  <dc:language>en-US</dc:language>
  <cp:lastModifiedBy/>
  <dcterms:modified xsi:type="dcterms:W3CDTF">2026-08-27T11:08:39Z</dcterms:modified>
  <cp:revision>1</cp:revision>
  <dc:subject/>
  <dc:title>رسالةٌ فی نجاسة المخالفین و عدمها</dc:title>
</cp:coreProperties>
</file>

<file path=docProps/custom.xml><?xml version="1.0" encoding="utf-8"?>
<Properties xmlns="http://schemas.openxmlformats.org/officeDocument/2006/custom-properties" xmlns:vt="http://schemas.openxmlformats.org/officeDocument/2006/docPropsVTypes"/>
</file>